
<file path=[Content_Types].xml><?xml version="1.0" encoding="utf-8"?>
<Types xmlns="http://schemas.openxmlformats.org/package/2006/content-types">
  <Default Extension="bin" ContentType="application/vnd.openxmlformats-officedocument.oleObject"/>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0"/>
        <w:rPr>
          <w:rFonts w:hint="eastAsia" w:ascii="方正小标宋_GBK" w:eastAsia="方正小标宋_GBK"/>
          <w:b w:val="0"/>
          <w:bCs/>
          <w:color w:val="auto"/>
          <w:sz w:val="44"/>
          <w:szCs w:val="44"/>
          <w:highlight w:val="none"/>
        </w:rPr>
      </w:pPr>
    </w:p>
    <w:p>
      <w:pPr>
        <w:adjustRightInd w:val="0"/>
        <w:snapToGrid w:val="0"/>
        <w:jc w:val="center"/>
        <w:outlineLvl w:val="0"/>
        <w:rPr>
          <w:rFonts w:hint="eastAsia" w:ascii="方正小标宋_GBK" w:eastAsia="方正小标宋_GBK"/>
          <w:bCs/>
          <w:color w:val="auto"/>
          <w:sz w:val="72"/>
          <w:szCs w:val="72"/>
          <w:highlight w:val="none"/>
        </w:rPr>
      </w:pPr>
      <w:r>
        <w:rPr>
          <w:rFonts w:hint="eastAsia" w:ascii="方正小标宋_GBK" w:eastAsia="方正小标宋_GBK"/>
          <w:b w:val="0"/>
          <w:bCs/>
          <w:color w:val="auto"/>
          <w:sz w:val="72"/>
          <w:szCs w:val="72"/>
          <w:highlight w:val="none"/>
        </w:rPr>
        <w:t>建设项目</w:t>
      </w:r>
      <w:r>
        <w:rPr>
          <w:rFonts w:hint="eastAsia" w:ascii="方正小标宋_GBK" w:hAnsi="Times New Roman" w:eastAsia="方正小标宋_GBK" w:cs="Times New Roman"/>
          <w:b w:val="0"/>
          <w:bCs/>
          <w:color w:val="auto"/>
          <w:sz w:val="72"/>
          <w:szCs w:val="72"/>
          <w:highlight w:val="none"/>
        </w:rPr>
        <w:t>环境影响报告</w:t>
      </w:r>
      <w:r>
        <w:rPr>
          <w:rFonts w:hint="eastAsia" w:ascii="方正小标宋_GBK" w:eastAsia="方正小标宋_GBK"/>
          <w:b w:val="0"/>
          <w:bCs/>
          <w:color w:val="auto"/>
          <w:sz w:val="72"/>
          <w:szCs w:val="72"/>
          <w:highlight w:val="none"/>
        </w:rPr>
        <w:t>表</w:t>
      </w:r>
    </w:p>
    <w:p>
      <w:pPr>
        <w:adjustRightInd w:val="0"/>
        <w:snapToGrid w:val="0"/>
        <w:spacing w:before="192" w:beforeLines="80"/>
        <w:jc w:val="center"/>
        <w:rPr>
          <w:rFonts w:hint="eastAsia" w:ascii="楷体_GB2312" w:eastAsia="楷体_GB2312"/>
          <w:bCs/>
          <w:color w:val="auto"/>
          <w:sz w:val="48"/>
          <w:szCs w:val="48"/>
          <w:highlight w:val="none"/>
        </w:rPr>
      </w:pPr>
      <w:r>
        <w:rPr>
          <w:rFonts w:hint="eastAsia" w:ascii="楷体_GB2312" w:eastAsia="楷体_GB2312"/>
          <w:bCs/>
          <w:color w:val="auto"/>
          <w:sz w:val="48"/>
          <w:szCs w:val="48"/>
          <w:highlight w:val="none"/>
        </w:rPr>
        <w:t>（污染影响类）</w:t>
      </w:r>
    </w:p>
    <w:p>
      <w:pPr>
        <w:jc w:val="center"/>
        <w:rPr>
          <w:rFonts w:hint="eastAsia" w:eastAsia="仿宋"/>
          <w:color w:val="auto"/>
          <w:sz w:val="52"/>
          <w:szCs w:val="52"/>
          <w:highlight w:val="none"/>
          <w:lang w:eastAsia="zh-CN"/>
        </w:rPr>
      </w:pPr>
    </w:p>
    <w:p>
      <w:pPr>
        <w:jc w:val="center"/>
        <w:rPr>
          <w:rFonts w:hint="eastAsia" w:eastAsia="仿宋"/>
          <w:color w:val="auto"/>
          <w:sz w:val="52"/>
          <w:szCs w:val="52"/>
          <w:highlight w:val="none"/>
          <w:lang w:eastAsia="zh-CN"/>
        </w:rPr>
      </w:pPr>
      <w:r>
        <w:rPr>
          <w:rFonts w:hint="eastAsia" w:eastAsia="仿宋"/>
          <w:color w:val="auto"/>
          <w:sz w:val="40"/>
          <w:szCs w:val="40"/>
          <w:highlight w:val="none"/>
          <w:lang w:eastAsia="zh-CN"/>
        </w:rPr>
        <w:t>（</w:t>
      </w:r>
      <w:r>
        <w:rPr>
          <w:rFonts w:hint="eastAsia" w:eastAsia="仿宋"/>
          <w:color w:val="auto"/>
          <w:sz w:val="40"/>
          <w:szCs w:val="40"/>
          <w:highlight w:val="none"/>
          <w:lang w:val="en-US" w:eastAsia="zh-CN"/>
        </w:rPr>
        <w:t>送审稿</w:t>
      </w:r>
      <w:r>
        <w:rPr>
          <w:rFonts w:hint="eastAsia" w:eastAsia="仿宋"/>
          <w:color w:val="auto"/>
          <w:sz w:val="40"/>
          <w:szCs w:val="40"/>
          <w:highlight w:val="none"/>
          <w:lang w:eastAsia="zh-CN"/>
        </w:rPr>
        <w:t>）</w:t>
      </w:r>
    </w:p>
    <w:p>
      <w:pPr>
        <w:ind w:firstLine="1040"/>
        <w:jc w:val="center"/>
        <w:rPr>
          <w:rFonts w:eastAsia="仿宋"/>
          <w:color w:val="auto"/>
          <w:sz w:val="52"/>
          <w:szCs w:val="52"/>
          <w:highlight w:val="none"/>
        </w:rPr>
      </w:pPr>
    </w:p>
    <w:p>
      <w:pPr>
        <w:ind w:firstLine="1040"/>
        <w:jc w:val="center"/>
        <w:rPr>
          <w:rFonts w:eastAsia="仿宋"/>
          <w:color w:val="auto"/>
          <w:sz w:val="52"/>
          <w:szCs w:val="52"/>
          <w:highlight w:val="none"/>
        </w:rPr>
      </w:pPr>
    </w:p>
    <w:p>
      <w:pPr>
        <w:ind w:firstLine="880"/>
        <w:rPr>
          <w:rFonts w:eastAsia="仿宋"/>
          <w:color w:val="auto"/>
          <w:sz w:val="44"/>
          <w:szCs w:val="44"/>
          <w:highlight w:val="none"/>
        </w:rPr>
      </w:pPr>
    </w:p>
    <w:p>
      <w:pPr>
        <w:ind w:firstLine="880"/>
        <w:rPr>
          <w:rFonts w:eastAsia="仿宋"/>
          <w:color w:val="auto"/>
          <w:sz w:val="44"/>
          <w:szCs w:val="44"/>
          <w:highlight w:val="none"/>
        </w:rPr>
      </w:pPr>
    </w:p>
    <w:p>
      <w:pPr>
        <w:ind w:firstLine="880"/>
        <w:rPr>
          <w:rFonts w:eastAsia="仿宋"/>
          <w:color w:val="auto"/>
          <w:sz w:val="44"/>
          <w:szCs w:val="44"/>
          <w:highlight w:val="none"/>
        </w:rPr>
      </w:pPr>
    </w:p>
    <w:p>
      <w:pPr>
        <w:ind w:firstLine="880"/>
        <w:rPr>
          <w:rFonts w:eastAsia="仿宋"/>
          <w:color w:val="auto"/>
          <w:sz w:val="44"/>
          <w:szCs w:val="44"/>
          <w:highlight w:val="none"/>
        </w:rPr>
      </w:pPr>
    </w:p>
    <w:p>
      <w:pPr>
        <w:pStyle w:val="2"/>
      </w:pPr>
    </w:p>
    <w:p>
      <w:pPr>
        <w:adjustRightInd w:val="0"/>
        <w:snapToGrid w:val="0"/>
        <w:spacing w:line="360" w:lineRule="auto"/>
        <w:ind w:firstLine="720" w:firstLineChars="200"/>
        <w:rPr>
          <w:rFonts w:eastAsia="仿宋_GB2312"/>
          <w:color w:val="auto"/>
          <w:sz w:val="36"/>
          <w:szCs w:val="36"/>
          <w:highlight w:val="none"/>
          <w:u w:val="single"/>
        </w:rPr>
      </w:pPr>
      <w:r>
        <w:rPr>
          <w:rFonts w:eastAsia="仿宋_GB2312"/>
          <w:color w:val="auto"/>
          <w:sz w:val="36"/>
          <w:szCs w:val="36"/>
          <w:highlight w:val="none"/>
        </w:rPr>
        <w:t>项目名称：</w:t>
      </w:r>
      <w:r>
        <w:rPr>
          <w:rFonts w:hint="eastAsia" w:eastAsia="仿宋_GB2312"/>
          <w:color w:val="auto"/>
          <w:sz w:val="36"/>
          <w:szCs w:val="36"/>
          <w:highlight w:val="none"/>
          <w:u w:val="single"/>
          <w:lang w:val="en-US" w:eastAsia="zh-CN"/>
        </w:rPr>
        <w:t>宁德核电场地平整富余渣料资源利用项目</w:t>
      </w:r>
    </w:p>
    <w:p>
      <w:pPr>
        <w:adjustRightInd w:val="0"/>
        <w:snapToGrid w:val="0"/>
        <w:spacing w:line="360" w:lineRule="auto"/>
        <w:ind w:firstLine="720" w:firstLineChars="200"/>
        <w:rPr>
          <w:rFonts w:eastAsia="仿宋_GB2312"/>
          <w:color w:val="auto"/>
          <w:sz w:val="36"/>
          <w:szCs w:val="36"/>
          <w:highlight w:val="none"/>
          <w:u w:val="single"/>
        </w:rPr>
      </w:pPr>
      <w:r>
        <w:rPr>
          <w:rFonts w:eastAsia="仿宋_GB2312"/>
          <w:color w:val="auto"/>
          <w:sz w:val="36"/>
          <w:szCs w:val="36"/>
          <w:highlight w:val="none"/>
        </w:rPr>
        <w:t>建设单位(盖章)：</w:t>
      </w:r>
      <w:r>
        <w:rPr>
          <w:rFonts w:eastAsia="仿宋_GB2312"/>
          <w:color w:val="auto"/>
          <w:sz w:val="36"/>
          <w:szCs w:val="36"/>
          <w:highlight w:val="none"/>
          <w:u w:val="single"/>
        </w:rPr>
        <w:t xml:space="preserve"> </w:t>
      </w:r>
      <w:r>
        <w:rPr>
          <w:rFonts w:hint="eastAsia" w:eastAsia="仿宋_GB2312"/>
          <w:color w:val="auto"/>
          <w:sz w:val="36"/>
          <w:szCs w:val="36"/>
          <w:highlight w:val="none"/>
          <w:u w:val="single"/>
          <w:lang w:val="en-US" w:eastAsia="zh-CN"/>
        </w:rPr>
        <w:t xml:space="preserve">   福鼎市嘉邦建材</w:t>
      </w:r>
      <w:r>
        <w:rPr>
          <w:rFonts w:hint="eastAsia" w:eastAsia="仿宋_GB2312"/>
          <w:color w:val="auto"/>
          <w:sz w:val="36"/>
          <w:szCs w:val="36"/>
          <w:highlight w:val="none"/>
          <w:u w:val="single"/>
          <w:lang w:eastAsia="zh-CN"/>
        </w:rPr>
        <w:t>有限公司</w:t>
      </w:r>
      <w:r>
        <w:rPr>
          <w:rFonts w:hint="eastAsia" w:eastAsia="仿宋_GB2312"/>
          <w:color w:val="auto"/>
          <w:sz w:val="36"/>
          <w:szCs w:val="36"/>
          <w:highlight w:val="none"/>
          <w:u w:val="single"/>
        </w:rPr>
        <w:t xml:space="preserve"> </w:t>
      </w:r>
      <w:r>
        <w:rPr>
          <w:rFonts w:hint="eastAsia" w:eastAsia="仿宋_GB2312"/>
          <w:color w:val="auto"/>
          <w:sz w:val="36"/>
          <w:szCs w:val="36"/>
          <w:highlight w:val="none"/>
          <w:u w:val="single"/>
          <w:lang w:val="en-US" w:eastAsia="zh-CN"/>
        </w:rPr>
        <w:t xml:space="preserve"> </w:t>
      </w:r>
      <w:r>
        <w:rPr>
          <w:rFonts w:hint="eastAsia" w:eastAsia="仿宋_GB2312"/>
          <w:color w:val="auto"/>
          <w:sz w:val="36"/>
          <w:szCs w:val="36"/>
          <w:highlight w:val="none"/>
          <w:u w:val="single"/>
        </w:rPr>
        <w:t xml:space="preserve"> </w:t>
      </w:r>
      <w:r>
        <w:rPr>
          <w:rFonts w:eastAsia="仿宋_GB2312"/>
          <w:color w:val="auto"/>
          <w:sz w:val="36"/>
          <w:szCs w:val="36"/>
          <w:highlight w:val="none"/>
          <w:u w:val="single"/>
        </w:rPr>
        <w:t xml:space="preserve"> </w:t>
      </w:r>
    </w:p>
    <w:p>
      <w:pPr>
        <w:adjustRightInd w:val="0"/>
        <w:snapToGrid w:val="0"/>
        <w:spacing w:line="360" w:lineRule="auto"/>
        <w:ind w:firstLine="720" w:firstLineChars="200"/>
        <w:rPr>
          <w:rFonts w:eastAsia="仿宋_GB2312"/>
          <w:color w:val="auto"/>
          <w:sz w:val="36"/>
          <w:szCs w:val="36"/>
          <w:highlight w:val="none"/>
          <w:u w:val="single"/>
        </w:rPr>
      </w:pPr>
      <w:r>
        <w:rPr>
          <w:rFonts w:eastAsia="仿宋_GB2312"/>
          <w:color w:val="auto"/>
          <w:sz w:val="36"/>
          <w:szCs w:val="36"/>
          <w:highlight w:val="none"/>
        </w:rPr>
        <w:t>编制日期：</w:t>
      </w:r>
      <w:r>
        <w:rPr>
          <w:rFonts w:eastAsia="仿宋_GB2312"/>
          <w:color w:val="auto"/>
          <w:sz w:val="36"/>
          <w:szCs w:val="36"/>
          <w:highlight w:val="none"/>
          <w:u w:val="single"/>
        </w:rPr>
        <w:t xml:space="preserve">              202</w:t>
      </w:r>
      <w:r>
        <w:rPr>
          <w:rFonts w:hint="eastAsia" w:eastAsia="仿宋_GB2312"/>
          <w:color w:val="auto"/>
          <w:sz w:val="36"/>
          <w:szCs w:val="36"/>
          <w:highlight w:val="none"/>
          <w:u w:val="single"/>
          <w:lang w:val="en-US" w:eastAsia="zh-CN"/>
        </w:rPr>
        <w:t>3</w:t>
      </w:r>
      <w:r>
        <w:rPr>
          <w:rFonts w:eastAsia="仿宋_GB2312"/>
          <w:color w:val="auto"/>
          <w:sz w:val="36"/>
          <w:szCs w:val="36"/>
          <w:highlight w:val="none"/>
          <w:u w:val="single"/>
        </w:rPr>
        <w:t>年</w:t>
      </w:r>
      <w:r>
        <w:rPr>
          <w:rFonts w:hint="eastAsia" w:eastAsia="仿宋_GB2312"/>
          <w:color w:val="auto"/>
          <w:sz w:val="36"/>
          <w:szCs w:val="36"/>
          <w:highlight w:val="none"/>
          <w:u w:val="single"/>
          <w:lang w:val="en-US" w:eastAsia="zh-CN"/>
        </w:rPr>
        <w:t>2</w:t>
      </w:r>
      <w:r>
        <w:rPr>
          <w:rFonts w:eastAsia="仿宋_GB2312"/>
          <w:color w:val="auto"/>
          <w:sz w:val="36"/>
          <w:szCs w:val="36"/>
          <w:highlight w:val="none"/>
          <w:u w:val="single"/>
        </w:rPr>
        <w:t xml:space="preserve">月           </w:t>
      </w:r>
    </w:p>
    <w:p>
      <w:pPr>
        <w:adjustRightInd w:val="0"/>
        <w:snapToGrid w:val="0"/>
        <w:spacing w:line="288" w:lineRule="auto"/>
        <w:ind w:firstLine="720"/>
        <w:rPr>
          <w:rFonts w:eastAsia="仿宋_GB2312"/>
          <w:color w:val="auto"/>
          <w:sz w:val="36"/>
          <w:szCs w:val="36"/>
          <w:highlight w:val="none"/>
          <w:u w:val="single"/>
        </w:rPr>
      </w:pPr>
      <w:bookmarkStart w:id="0" w:name="_Hlk57884087"/>
    </w:p>
    <w:p>
      <w:pPr>
        <w:adjustRightInd w:val="0"/>
        <w:snapToGrid w:val="0"/>
        <w:spacing w:line="288" w:lineRule="auto"/>
        <w:ind w:firstLine="720"/>
        <w:rPr>
          <w:rFonts w:eastAsia="仿宋_GB2312"/>
          <w:color w:val="auto"/>
          <w:sz w:val="36"/>
          <w:szCs w:val="36"/>
          <w:highlight w:val="none"/>
        </w:rPr>
      </w:pPr>
    </w:p>
    <w:p>
      <w:pPr>
        <w:adjustRightInd w:val="0"/>
        <w:snapToGrid w:val="0"/>
        <w:spacing w:line="288" w:lineRule="auto"/>
        <w:ind w:firstLine="720"/>
        <w:rPr>
          <w:rFonts w:eastAsia="仿宋_GB2312"/>
          <w:color w:val="auto"/>
          <w:sz w:val="36"/>
          <w:szCs w:val="36"/>
          <w:highlight w:val="none"/>
        </w:rPr>
      </w:pPr>
    </w:p>
    <w:p>
      <w:pPr>
        <w:adjustRightInd w:val="0"/>
        <w:snapToGrid w:val="0"/>
        <w:spacing w:line="288" w:lineRule="auto"/>
        <w:ind w:firstLine="720"/>
        <w:rPr>
          <w:rFonts w:eastAsia="仿宋_GB2312"/>
          <w:color w:val="auto"/>
          <w:sz w:val="36"/>
          <w:szCs w:val="36"/>
          <w:highlight w:val="none"/>
        </w:rPr>
      </w:pPr>
    </w:p>
    <w:bookmarkEnd w:id="0"/>
    <w:p>
      <w:pPr>
        <w:adjustRightInd w:val="0"/>
        <w:snapToGrid w:val="0"/>
        <w:spacing w:line="288" w:lineRule="auto"/>
        <w:ind w:firstLine="720"/>
        <w:jc w:val="center"/>
        <w:rPr>
          <w:rFonts w:eastAsia="楷体_GB2312"/>
          <w:color w:val="auto"/>
          <w:sz w:val="36"/>
          <w:szCs w:val="36"/>
          <w:highlight w:val="none"/>
        </w:rPr>
      </w:pPr>
      <w:r>
        <w:rPr>
          <w:rFonts w:eastAsia="楷体_GB2312"/>
          <w:color w:val="auto"/>
          <w:sz w:val="36"/>
          <w:szCs w:val="36"/>
          <w:highlight w:val="none"/>
        </w:rPr>
        <w:t>中华人民共和国生态环境部制</w:t>
      </w:r>
    </w:p>
    <w:p>
      <w:pPr>
        <w:adjustRightInd w:val="0"/>
        <w:snapToGrid w:val="0"/>
        <w:spacing w:line="288" w:lineRule="auto"/>
        <w:ind w:firstLine="720"/>
        <w:rPr>
          <w:rFonts w:eastAsia="仿宋_GB2312"/>
          <w:color w:val="auto"/>
          <w:sz w:val="36"/>
          <w:szCs w:val="36"/>
          <w:highlight w:val="none"/>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20"/>
        <w:ind w:firstLine="600"/>
        <w:jc w:val="center"/>
        <w:outlineLvl w:val="0"/>
        <w:rPr>
          <w:rFonts w:ascii="Times New Roman" w:hAnsi="Times New Roman" w:eastAsia="黑体"/>
          <w:snapToGrid w:val="0"/>
          <w:color w:val="auto"/>
          <w:sz w:val="30"/>
          <w:szCs w:val="30"/>
          <w:highlight w:val="none"/>
        </w:rPr>
      </w:pPr>
      <w:r>
        <w:rPr>
          <w:rFonts w:ascii="Times New Roman" w:hAnsi="Times New Roman" w:eastAsia="黑体"/>
          <w:snapToGrid w:val="0"/>
          <w:color w:val="auto"/>
          <w:sz w:val="30"/>
          <w:szCs w:val="30"/>
          <w:highlight w:val="none"/>
        </w:rPr>
        <w:t>一、建设项目基本情况</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842"/>
        <w:gridCol w:w="2177"/>
        <w:gridCol w:w="1948"/>
        <w:gridCol w:w="264"/>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42" w:type="dxa"/>
            <w:noWrap w:val="0"/>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建设项目名称</w:t>
            </w:r>
          </w:p>
        </w:tc>
        <w:tc>
          <w:tcPr>
            <w:tcW w:w="7028" w:type="dxa"/>
            <w:gridSpan w:val="4"/>
            <w:noWrap w:val="0"/>
            <w:vAlign w:val="center"/>
          </w:tcPr>
          <w:p>
            <w:pPr>
              <w:adjustRightInd w:val="0"/>
              <w:snapToGrid w:val="0"/>
              <w:jc w:val="center"/>
              <w:rPr>
                <w:color w:val="auto"/>
                <w:sz w:val="24"/>
                <w:highlight w:val="none"/>
              </w:rPr>
            </w:pPr>
            <w:r>
              <w:rPr>
                <w:rFonts w:hint="eastAsia" w:ascii="Times New Roman" w:hAnsi="Times New Roman" w:eastAsia="宋体" w:cs="Times New Roman"/>
                <w:color w:val="auto"/>
                <w:sz w:val="24"/>
                <w:highlight w:val="none"/>
                <w:u w:val="none"/>
                <w:lang w:val="en-US" w:eastAsia="zh-CN"/>
              </w:rPr>
              <w:t>宁德核电场地平整富余渣料资源利用项目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42" w:type="dxa"/>
            <w:noWrap w:val="0"/>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项目代码</w:t>
            </w:r>
          </w:p>
        </w:tc>
        <w:tc>
          <w:tcPr>
            <w:tcW w:w="7028" w:type="dxa"/>
            <w:gridSpan w:val="4"/>
            <w:noWrap w:val="0"/>
            <w:vAlign w:val="center"/>
          </w:tcPr>
          <w:p>
            <w:pPr>
              <w:adjustRightInd w:val="0"/>
              <w:snapToGrid w:val="0"/>
              <w:jc w:val="center"/>
              <w:rPr>
                <w:rFonts w:hint="default" w:eastAsia="宋体"/>
                <w:color w:val="auto"/>
                <w:sz w:val="24"/>
                <w:highlight w:val="none"/>
                <w:lang w:val="en-US" w:eastAsia="zh-CN"/>
              </w:rPr>
            </w:pPr>
            <w:r>
              <w:rPr>
                <w:rFonts w:hint="eastAsia"/>
                <w:color w:val="auto"/>
                <w:sz w:val="24"/>
                <w:highlight w:val="none"/>
                <w:lang w:val="en-US" w:eastAsia="zh-CN"/>
              </w:rPr>
              <w:t>2302-350982-04-01-641986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42" w:type="dxa"/>
            <w:noWrap w:val="0"/>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建设单位联系人</w:t>
            </w:r>
          </w:p>
        </w:tc>
        <w:tc>
          <w:tcPr>
            <w:tcW w:w="2177" w:type="dxa"/>
            <w:noWrap w:val="0"/>
            <w:vAlign w:val="center"/>
          </w:tcPr>
          <w:p>
            <w:pPr>
              <w:adjustRightInd w:val="0"/>
              <w:snapToGrid w:val="0"/>
              <w:jc w:val="center"/>
              <w:rPr>
                <w:rFonts w:hint="eastAsia" w:eastAsia="宋体"/>
                <w:color w:val="auto"/>
                <w:sz w:val="24"/>
                <w:highlight w:val="none"/>
                <w:lang w:eastAsia="zh-CN"/>
              </w:rPr>
            </w:pPr>
          </w:p>
        </w:tc>
        <w:tc>
          <w:tcPr>
            <w:tcW w:w="2212" w:type="dxa"/>
            <w:gridSpan w:val="2"/>
            <w:noWrap w:val="0"/>
            <w:vAlign w:val="center"/>
          </w:tcPr>
          <w:p>
            <w:pPr>
              <w:adjustRightInd w:val="0"/>
              <w:snapToGrid w:val="0"/>
              <w:jc w:val="center"/>
              <w:rPr>
                <w:color w:val="auto"/>
                <w:sz w:val="24"/>
                <w:highlight w:val="none"/>
              </w:rPr>
            </w:pPr>
            <w:r>
              <w:rPr>
                <w:color w:val="auto"/>
                <w:sz w:val="24"/>
                <w:highlight w:val="none"/>
              </w:rPr>
              <w:t>联系方式</w:t>
            </w:r>
          </w:p>
        </w:tc>
        <w:tc>
          <w:tcPr>
            <w:tcW w:w="2639" w:type="dxa"/>
            <w:noWrap w:val="0"/>
            <w:vAlign w:val="center"/>
          </w:tcPr>
          <w:p>
            <w:pPr>
              <w:adjustRightInd w:val="0"/>
              <w:snapToGrid w:val="0"/>
              <w:jc w:val="center"/>
              <w:rPr>
                <w:rFonts w:hint="eastAsia" w:eastAsia="宋体"/>
                <w:color w:val="auto"/>
                <w:sz w:val="24"/>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42" w:type="dxa"/>
            <w:noWrap w:val="0"/>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建设地点</w:t>
            </w:r>
          </w:p>
        </w:tc>
        <w:tc>
          <w:tcPr>
            <w:tcW w:w="7028" w:type="dxa"/>
            <w:gridSpan w:val="4"/>
            <w:noWrap w:val="0"/>
            <w:vAlign w:val="center"/>
          </w:tcPr>
          <w:p>
            <w:pPr>
              <w:adjustRightInd w:val="0"/>
              <w:snapToGrid w:val="0"/>
              <w:jc w:val="center"/>
              <w:rPr>
                <w:color w:val="auto"/>
                <w:sz w:val="24"/>
                <w:highlight w:val="none"/>
              </w:rPr>
            </w:pPr>
            <w:r>
              <w:rPr>
                <w:color w:val="auto"/>
                <w:sz w:val="24"/>
                <w:highlight w:val="none"/>
                <w:u w:val="single"/>
              </w:rPr>
              <w:t xml:space="preserve">  福建  </w:t>
            </w:r>
            <w:r>
              <w:rPr>
                <w:color w:val="auto"/>
                <w:sz w:val="24"/>
                <w:highlight w:val="none"/>
              </w:rPr>
              <w:t>省(自治区)</w:t>
            </w:r>
            <w:r>
              <w:rPr>
                <w:color w:val="auto"/>
                <w:sz w:val="24"/>
                <w:highlight w:val="none"/>
                <w:u w:val="single"/>
              </w:rPr>
              <w:t xml:space="preserve"> 宁德  </w:t>
            </w:r>
            <w:r>
              <w:rPr>
                <w:color w:val="auto"/>
                <w:sz w:val="24"/>
                <w:highlight w:val="none"/>
              </w:rPr>
              <w:t>市</w:t>
            </w:r>
            <w:r>
              <w:rPr>
                <w:color w:val="auto"/>
                <w:sz w:val="24"/>
                <w:highlight w:val="none"/>
                <w:u w:val="single"/>
              </w:rPr>
              <w:t xml:space="preserve">  福鼎市  </w:t>
            </w:r>
            <w:r>
              <w:rPr>
                <w:color w:val="auto"/>
                <w:sz w:val="24"/>
                <w:highlight w:val="none"/>
              </w:rPr>
              <w:t>县(区)</w:t>
            </w:r>
            <w:r>
              <w:rPr>
                <w:color w:val="auto"/>
                <w:sz w:val="24"/>
                <w:highlight w:val="none"/>
                <w:u w:val="single"/>
              </w:rPr>
              <w:t xml:space="preserve"> </w:t>
            </w:r>
            <w:r>
              <w:rPr>
                <w:rFonts w:hint="eastAsia"/>
                <w:color w:val="auto"/>
                <w:sz w:val="24"/>
                <w:highlight w:val="none"/>
                <w:u w:val="single"/>
                <w:lang w:val="en-US" w:eastAsia="zh-CN"/>
              </w:rPr>
              <w:t>山前</w:t>
            </w:r>
            <w:r>
              <w:rPr>
                <w:color w:val="auto"/>
                <w:sz w:val="24"/>
                <w:highlight w:val="none"/>
                <w:u w:val="single"/>
              </w:rPr>
              <w:t xml:space="preserve">  </w:t>
            </w:r>
            <w:r>
              <w:rPr>
                <w:color w:val="auto"/>
                <w:sz w:val="24"/>
                <w:highlight w:val="none"/>
              </w:rPr>
              <w:t>乡(街道)</w:t>
            </w:r>
            <w:r>
              <w:rPr>
                <w:color w:val="auto"/>
                <w:sz w:val="24"/>
                <w:highlight w:val="none"/>
                <w:u w:val="single"/>
              </w:rPr>
              <w:t xml:space="preserve"> </w:t>
            </w:r>
            <w:r>
              <w:rPr>
                <w:rFonts w:hint="eastAsia"/>
                <w:color w:val="auto"/>
                <w:sz w:val="24"/>
                <w:highlight w:val="none"/>
                <w:u w:val="single"/>
                <w:lang w:val="en-US" w:eastAsia="zh-CN"/>
              </w:rPr>
              <w:t>百胜村鸡母岩君德码头</w:t>
            </w:r>
            <w:r>
              <w:rPr>
                <w:color w:val="auto"/>
                <w:sz w:val="24"/>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42" w:type="dxa"/>
            <w:noWrap w:val="0"/>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地理坐标</w:t>
            </w:r>
          </w:p>
        </w:tc>
        <w:tc>
          <w:tcPr>
            <w:tcW w:w="7028" w:type="dxa"/>
            <w:gridSpan w:val="4"/>
            <w:noWrap w:val="0"/>
            <w:vAlign w:val="center"/>
          </w:tcPr>
          <w:p>
            <w:pPr>
              <w:jc w:val="center"/>
              <w:rPr>
                <w:color w:val="auto"/>
                <w:sz w:val="24"/>
                <w:highlight w:val="none"/>
              </w:rPr>
            </w:pPr>
            <w:r>
              <w:rPr>
                <w:color w:val="auto"/>
                <w:sz w:val="24"/>
                <w:highlight w:val="none"/>
              </w:rPr>
              <w:t>(</w:t>
            </w:r>
            <w:r>
              <w:rPr>
                <w:color w:val="auto"/>
                <w:sz w:val="24"/>
                <w:highlight w:val="none"/>
                <w:u w:val="single"/>
              </w:rPr>
              <w:t xml:space="preserve"> 120 </w:t>
            </w:r>
            <w:r>
              <w:rPr>
                <w:color w:val="auto"/>
                <w:sz w:val="24"/>
                <w:highlight w:val="none"/>
              </w:rPr>
              <w:t>度</w:t>
            </w:r>
            <w:r>
              <w:rPr>
                <w:color w:val="auto"/>
                <w:sz w:val="24"/>
                <w:highlight w:val="none"/>
                <w:u w:val="single"/>
              </w:rPr>
              <w:t xml:space="preserve"> </w:t>
            </w:r>
            <w:r>
              <w:rPr>
                <w:rFonts w:hint="eastAsia"/>
                <w:color w:val="auto"/>
                <w:sz w:val="24"/>
                <w:highlight w:val="none"/>
                <w:u w:val="single"/>
                <w:lang w:val="en-US" w:eastAsia="zh-CN"/>
              </w:rPr>
              <w:t xml:space="preserve">15 </w:t>
            </w:r>
            <w:r>
              <w:rPr>
                <w:color w:val="auto"/>
                <w:sz w:val="24"/>
                <w:highlight w:val="none"/>
              </w:rPr>
              <w:t>分</w:t>
            </w:r>
            <w:r>
              <w:rPr>
                <w:color w:val="auto"/>
                <w:sz w:val="24"/>
                <w:highlight w:val="none"/>
                <w:u w:val="single"/>
              </w:rPr>
              <w:t xml:space="preserve"> </w:t>
            </w:r>
            <w:r>
              <w:rPr>
                <w:rFonts w:hint="eastAsia"/>
                <w:color w:val="auto"/>
                <w:sz w:val="24"/>
                <w:highlight w:val="none"/>
                <w:u w:val="single"/>
                <w:lang w:val="en-US" w:eastAsia="zh-CN"/>
              </w:rPr>
              <w:t>30.113</w:t>
            </w:r>
            <w:r>
              <w:rPr>
                <w:color w:val="auto"/>
                <w:sz w:val="24"/>
                <w:highlight w:val="none"/>
                <w:u w:val="single"/>
              </w:rPr>
              <w:t xml:space="preserve"> </w:t>
            </w:r>
            <w:r>
              <w:rPr>
                <w:color w:val="auto"/>
                <w:sz w:val="24"/>
                <w:highlight w:val="none"/>
              </w:rPr>
              <w:t>秒，</w:t>
            </w:r>
            <w:r>
              <w:rPr>
                <w:color w:val="auto"/>
                <w:sz w:val="24"/>
                <w:highlight w:val="none"/>
                <w:u w:val="single"/>
              </w:rPr>
              <w:t xml:space="preserve"> 27 </w:t>
            </w:r>
            <w:r>
              <w:rPr>
                <w:color w:val="auto"/>
                <w:sz w:val="24"/>
                <w:highlight w:val="none"/>
              </w:rPr>
              <w:t>度</w:t>
            </w:r>
            <w:r>
              <w:rPr>
                <w:color w:val="auto"/>
                <w:sz w:val="24"/>
                <w:highlight w:val="none"/>
                <w:u w:val="single"/>
              </w:rPr>
              <w:t xml:space="preserve"> </w:t>
            </w:r>
            <w:r>
              <w:rPr>
                <w:rFonts w:hint="eastAsia"/>
                <w:color w:val="auto"/>
                <w:sz w:val="24"/>
                <w:highlight w:val="none"/>
                <w:u w:val="single"/>
                <w:lang w:val="en-US" w:eastAsia="zh-CN"/>
              </w:rPr>
              <w:t>17</w:t>
            </w:r>
            <w:r>
              <w:rPr>
                <w:color w:val="auto"/>
                <w:sz w:val="24"/>
                <w:highlight w:val="none"/>
                <w:u w:val="single"/>
              </w:rPr>
              <w:t xml:space="preserve"> </w:t>
            </w:r>
            <w:r>
              <w:rPr>
                <w:color w:val="auto"/>
                <w:sz w:val="24"/>
                <w:highlight w:val="none"/>
              </w:rPr>
              <w:t>分</w:t>
            </w:r>
            <w:r>
              <w:rPr>
                <w:color w:val="auto"/>
                <w:sz w:val="24"/>
                <w:highlight w:val="none"/>
                <w:u w:val="single"/>
              </w:rPr>
              <w:t xml:space="preserve"> </w:t>
            </w:r>
            <w:r>
              <w:rPr>
                <w:rFonts w:hint="eastAsia"/>
                <w:color w:val="auto"/>
                <w:sz w:val="24"/>
                <w:highlight w:val="none"/>
                <w:u w:val="single"/>
                <w:lang w:val="en-US" w:eastAsia="zh-CN"/>
              </w:rPr>
              <w:t>25.763</w:t>
            </w:r>
            <w:r>
              <w:rPr>
                <w:color w:val="auto"/>
                <w:sz w:val="24"/>
                <w:highlight w:val="none"/>
                <w:u w:val="single"/>
              </w:rPr>
              <w:t xml:space="preserve"> </w:t>
            </w:r>
            <w:r>
              <w:rPr>
                <w:color w:val="auto"/>
                <w:sz w:val="24"/>
                <w:highlight w:val="none"/>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842" w:type="dxa"/>
            <w:noWrap w:val="0"/>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国民经济</w:t>
            </w:r>
          </w:p>
          <w:p>
            <w:pPr>
              <w:adjustRightInd w:val="0"/>
              <w:snapToGrid w:val="0"/>
              <w:jc w:val="center"/>
              <w:rPr>
                <w:color w:val="auto"/>
                <w:sz w:val="24"/>
                <w:highlight w:val="none"/>
              </w:rPr>
            </w:pPr>
            <w:r>
              <w:rPr>
                <w:color w:val="auto"/>
                <w:sz w:val="24"/>
                <w:highlight w:val="none"/>
              </w:rPr>
              <w:t>行业类别</w:t>
            </w:r>
          </w:p>
        </w:tc>
        <w:tc>
          <w:tcPr>
            <w:tcW w:w="2177" w:type="dxa"/>
            <w:noWrap w:val="0"/>
            <w:vAlign w:val="center"/>
          </w:tcPr>
          <w:p>
            <w:pPr>
              <w:adjustRightInd w:val="0"/>
              <w:snapToGrid w:val="0"/>
              <w:jc w:val="center"/>
              <w:rPr>
                <w:color w:val="auto"/>
                <w:sz w:val="24"/>
                <w:highlight w:val="none"/>
              </w:rPr>
            </w:pPr>
            <w:r>
              <w:rPr>
                <w:color w:val="auto"/>
                <w:sz w:val="24"/>
                <w:highlight w:val="none"/>
              </w:rPr>
              <w:t>C3039 其他建筑材料制造</w:t>
            </w:r>
          </w:p>
        </w:tc>
        <w:tc>
          <w:tcPr>
            <w:tcW w:w="1948" w:type="dxa"/>
            <w:noWrap w:val="0"/>
            <w:vAlign w:val="center"/>
          </w:tcPr>
          <w:p>
            <w:pPr>
              <w:adjustRightInd w:val="0"/>
              <w:snapToGrid w:val="0"/>
              <w:jc w:val="center"/>
              <w:rPr>
                <w:color w:val="auto"/>
                <w:sz w:val="24"/>
                <w:highlight w:val="none"/>
              </w:rPr>
            </w:pPr>
            <w:bookmarkStart w:id="1" w:name="_Hlk49843745"/>
            <w:r>
              <w:rPr>
                <w:color w:val="auto"/>
                <w:sz w:val="24"/>
                <w:highlight w:val="none"/>
              </w:rPr>
              <w:t>建设项目</w:t>
            </w:r>
          </w:p>
          <w:p>
            <w:pPr>
              <w:adjustRightInd w:val="0"/>
              <w:snapToGrid w:val="0"/>
              <w:jc w:val="center"/>
              <w:rPr>
                <w:color w:val="auto"/>
                <w:sz w:val="24"/>
                <w:highlight w:val="none"/>
              </w:rPr>
            </w:pPr>
            <w:r>
              <w:rPr>
                <w:color w:val="auto"/>
                <w:sz w:val="24"/>
                <w:highlight w:val="none"/>
              </w:rPr>
              <w:t>行业类别</w:t>
            </w:r>
            <w:bookmarkEnd w:id="1"/>
          </w:p>
        </w:tc>
        <w:tc>
          <w:tcPr>
            <w:tcW w:w="2903" w:type="dxa"/>
            <w:gridSpan w:val="2"/>
            <w:noWrap w:val="0"/>
            <w:vAlign w:val="center"/>
          </w:tcPr>
          <w:p>
            <w:pPr>
              <w:adjustRightInd w:val="0"/>
              <w:snapToGrid w:val="0"/>
              <w:rPr>
                <w:color w:val="auto"/>
                <w:sz w:val="24"/>
                <w:highlight w:val="none"/>
              </w:rPr>
            </w:pPr>
            <w:r>
              <w:rPr>
                <w:color w:val="auto"/>
                <w:sz w:val="24"/>
                <w:highlight w:val="none"/>
              </w:rPr>
              <w:t>二十七、非金属矿物制品业30-56、砖瓦、石材等建筑材料制造303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842" w:type="dxa"/>
            <w:noWrap w:val="0"/>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建设性质</w:t>
            </w:r>
          </w:p>
        </w:tc>
        <w:tc>
          <w:tcPr>
            <w:tcW w:w="2177" w:type="dxa"/>
            <w:noWrap w:val="0"/>
            <w:vAlign w:val="center"/>
          </w:tcPr>
          <w:p>
            <w:pPr>
              <w:jc w:val="left"/>
              <w:rPr>
                <w:color w:val="auto"/>
                <w:sz w:val="24"/>
                <w:highlight w:val="none"/>
              </w:rPr>
            </w:pPr>
            <w:r>
              <w:rPr>
                <w:color w:val="auto"/>
                <w:sz w:val="24"/>
                <w:highlight w:val="none"/>
              </w:rPr>
              <w:sym w:font="Wingdings 2" w:char="0052"/>
            </w:r>
            <w:r>
              <w:rPr>
                <w:color w:val="auto"/>
                <w:sz w:val="24"/>
                <w:highlight w:val="none"/>
              </w:rPr>
              <w:t>新建(迁建)</w:t>
            </w:r>
          </w:p>
          <w:p>
            <w:pPr>
              <w:jc w:val="left"/>
              <w:rPr>
                <w:color w:val="auto"/>
                <w:sz w:val="24"/>
                <w:highlight w:val="none"/>
              </w:rPr>
            </w:pPr>
            <w:r>
              <w:rPr>
                <w:color w:val="auto"/>
                <w:sz w:val="24"/>
                <w:highlight w:val="none"/>
              </w:rPr>
              <w:sym w:font="Wingdings 2" w:char="00A3"/>
            </w:r>
            <w:r>
              <w:rPr>
                <w:color w:val="auto"/>
                <w:sz w:val="24"/>
                <w:highlight w:val="none"/>
              </w:rPr>
              <w:t>改建</w:t>
            </w:r>
          </w:p>
          <w:p>
            <w:pPr>
              <w:jc w:val="left"/>
              <w:rPr>
                <w:color w:val="auto"/>
                <w:sz w:val="24"/>
                <w:highlight w:val="none"/>
              </w:rPr>
            </w:pPr>
            <w:r>
              <w:rPr>
                <w:color w:val="auto"/>
                <w:sz w:val="24"/>
                <w:highlight w:val="none"/>
              </w:rPr>
              <w:sym w:font="Wingdings 2" w:char="00A3"/>
            </w:r>
            <w:r>
              <w:rPr>
                <w:color w:val="auto"/>
                <w:sz w:val="24"/>
                <w:highlight w:val="none"/>
              </w:rPr>
              <w:t>扩建</w:t>
            </w:r>
          </w:p>
          <w:p>
            <w:pPr>
              <w:jc w:val="left"/>
              <w:rPr>
                <w:color w:val="auto"/>
                <w:sz w:val="24"/>
                <w:highlight w:val="none"/>
              </w:rPr>
            </w:pPr>
            <w:r>
              <w:rPr>
                <w:color w:val="auto"/>
                <w:sz w:val="24"/>
                <w:highlight w:val="none"/>
              </w:rPr>
              <w:sym w:font="Wingdings 2" w:char="00A3"/>
            </w:r>
            <w:r>
              <w:rPr>
                <w:color w:val="auto"/>
                <w:sz w:val="24"/>
                <w:highlight w:val="none"/>
              </w:rPr>
              <w:t>技术改造</w:t>
            </w:r>
          </w:p>
        </w:tc>
        <w:tc>
          <w:tcPr>
            <w:tcW w:w="1948" w:type="dxa"/>
            <w:noWrap w:val="0"/>
            <w:vAlign w:val="center"/>
          </w:tcPr>
          <w:p>
            <w:pPr>
              <w:adjustRightInd w:val="0"/>
              <w:snapToGrid w:val="0"/>
              <w:jc w:val="center"/>
              <w:rPr>
                <w:color w:val="auto"/>
                <w:sz w:val="24"/>
                <w:highlight w:val="none"/>
              </w:rPr>
            </w:pPr>
            <w:r>
              <w:rPr>
                <w:color w:val="auto"/>
                <w:sz w:val="24"/>
                <w:highlight w:val="none"/>
              </w:rPr>
              <w:t>建设项目</w:t>
            </w:r>
          </w:p>
          <w:p>
            <w:pPr>
              <w:adjustRightInd w:val="0"/>
              <w:snapToGrid w:val="0"/>
              <w:jc w:val="center"/>
              <w:rPr>
                <w:color w:val="auto"/>
                <w:sz w:val="24"/>
                <w:highlight w:val="none"/>
              </w:rPr>
            </w:pPr>
            <w:r>
              <w:rPr>
                <w:color w:val="auto"/>
                <w:sz w:val="24"/>
                <w:highlight w:val="none"/>
              </w:rPr>
              <w:t>申报情形</w:t>
            </w:r>
          </w:p>
        </w:tc>
        <w:tc>
          <w:tcPr>
            <w:tcW w:w="2903" w:type="dxa"/>
            <w:gridSpan w:val="2"/>
            <w:noWrap w:val="0"/>
            <w:vAlign w:val="center"/>
          </w:tcPr>
          <w:p>
            <w:pPr>
              <w:jc w:val="left"/>
              <w:rPr>
                <w:color w:val="auto"/>
                <w:sz w:val="24"/>
                <w:highlight w:val="none"/>
              </w:rPr>
            </w:pPr>
            <w:r>
              <w:rPr>
                <w:color w:val="auto"/>
                <w:sz w:val="24"/>
                <w:highlight w:val="none"/>
              </w:rPr>
              <w:sym w:font="Wingdings 2" w:char="0052"/>
            </w:r>
            <w:r>
              <w:rPr>
                <w:color w:val="auto"/>
                <w:sz w:val="24"/>
                <w:highlight w:val="none"/>
              </w:rPr>
              <w:t xml:space="preserve">首次申报项目             </w:t>
            </w:r>
          </w:p>
          <w:p>
            <w:pPr>
              <w:jc w:val="left"/>
              <w:rPr>
                <w:color w:val="auto"/>
                <w:sz w:val="24"/>
                <w:highlight w:val="none"/>
              </w:rPr>
            </w:pPr>
            <w:r>
              <w:rPr>
                <w:color w:val="auto"/>
                <w:sz w:val="24"/>
                <w:highlight w:val="none"/>
              </w:rPr>
              <w:t>□不予批准后再次申报项目</w:t>
            </w:r>
          </w:p>
          <w:p>
            <w:pPr>
              <w:jc w:val="left"/>
              <w:rPr>
                <w:color w:val="auto"/>
                <w:sz w:val="24"/>
                <w:highlight w:val="none"/>
              </w:rPr>
            </w:pPr>
            <w:r>
              <w:rPr>
                <w:color w:val="auto"/>
                <w:sz w:val="24"/>
                <w:highlight w:val="none"/>
              </w:rPr>
              <w:t xml:space="preserve">□超五年重新审核项目     </w:t>
            </w:r>
          </w:p>
          <w:p>
            <w:pPr>
              <w:jc w:val="left"/>
              <w:rPr>
                <w:color w:val="auto"/>
                <w:sz w:val="24"/>
                <w:highlight w:val="none"/>
              </w:rPr>
            </w:pPr>
            <w:r>
              <w:rPr>
                <w:color w:val="auto"/>
                <w:sz w:val="24"/>
                <w:highlight w:val="none"/>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842" w:type="dxa"/>
            <w:noWrap w:val="0"/>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项目审批(核准/</w:t>
            </w:r>
          </w:p>
          <w:p>
            <w:pPr>
              <w:adjustRightInd w:val="0"/>
              <w:snapToGrid w:val="0"/>
              <w:jc w:val="center"/>
              <w:rPr>
                <w:color w:val="auto"/>
                <w:sz w:val="24"/>
                <w:highlight w:val="none"/>
              </w:rPr>
            </w:pPr>
            <w:r>
              <w:rPr>
                <w:color w:val="auto"/>
                <w:sz w:val="24"/>
                <w:highlight w:val="none"/>
              </w:rPr>
              <w:t>备案)部门(选填)</w:t>
            </w:r>
          </w:p>
        </w:tc>
        <w:tc>
          <w:tcPr>
            <w:tcW w:w="2177" w:type="dxa"/>
            <w:noWrap w:val="0"/>
            <w:vAlign w:val="center"/>
          </w:tcPr>
          <w:p>
            <w:pPr>
              <w:adjustRightInd w:val="0"/>
              <w:snapToGrid w:val="0"/>
              <w:jc w:val="center"/>
              <w:rPr>
                <w:color w:val="auto"/>
                <w:sz w:val="24"/>
                <w:highlight w:val="none"/>
              </w:rPr>
            </w:pPr>
            <w:r>
              <w:rPr>
                <w:rFonts w:hint="default"/>
                <w:color w:val="auto"/>
                <w:sz w:val="24"/>
                <w:highlight w:val="none"/>
                <w:lang w:val="en-US" w:eastAsia="zh-CN"/>
              </w:rPr>
              <w:t>福鼎市</w:t>
            </w:r>
            <w:r>
              <w:rPr>
                <w:rFonts w:hint="eastAsia"/>
                <w:color w:val="auto"/>
                <w:sz w:val="24"/>
                <w:highlight w:val="none"/>
                <w:lang w:val="en-US" w:eastAsia="zh-CN"/>
              </w:rPr>
              <w:t>发展和改革局</w:t>
            </w:r>
          </w:p>
        </w:tc>
        <w:tc>
          <w:tcPr>
            <w:tcW w:w="1948" w:type="dxa"/>
            <w:noWrap w:val="0"/>
            <w:vAlign w:val="center"/>
          </w:tcPr>
          <w:p>
            <w:pPr>
              <w:adjustRightInd w:val="0"/>
              <w:snapToGrid w:val="0"/>
              <w:jc w:val="center"/>
              <w:rPr>
                <w:color w:val="auto"/>
                <w:sz w:val="24"/>
                <w:highlight w:val="none"/>
              </w:rPr>
            </w:pPr>
            <w:r>
              <w:rPr>
                <w:color w:val="auto"/>
                <w:sz w:val="24"/>
                <w:highlight w:val="none"/>
              </w:rPr>
              <w:t>项目审批(核准/</w:t>
            </w:r>
          </w:p>
          <w:p>
            <w:pPr>
              <w:adjustRightInd w:val="0"/>
              <w:snapToGrid w:val="0"/>
              <w:jc w:val="center"/>
              <w:rPr>
                <w:color w:val="auto"/>
                <w:sz w:val="24"/>
                <w:highlight w:val="none"/>
              </w:rPr>
            </w:pPr>
            <w:r>
              <w:rPr>
                <w:color w:val="auto"/>
                <w:sz w:val="24"/>
                <w:highlight w:val="none"/>
              </w:rPr>
              <w:t>备案)文号(选填)</w:t>
            </w:r>
          </w:p>
        </w:tc>
        <w:tc>
          <w:tcPr>
            <w:tcW w:w="2903"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楷体_GB2312"/>
                <w:color w:val="auto"/>
                <w:highlight w:val="none"/>
                <w:lang w:val="en-US" w:eastAsia="zh-CN"/>
              </w:rPr>
            </w:pPr>
            <w:r>
              <w:rPr>
                <w:rFonts w:hint="default" w:ascii="Times New Roman" w:hAnsi="Times New Roman" w:eastAsia="宋体" w:cs="Times New Roman"/>
                <w:color w:val="auto"/>
                <w:sz w:val="24"/>
                <w:szCs w:val="24"/>
                <w:highlight w:val="none"/>
                <w:lang w:val="en-US" w:eastAsia="zh-CN"/>
              </w:rPr>
              <w:t>闽发改备</w:t>
            </w:r>
            <w:r>
              <w:rPr>
                <w:rFonts w:hint="default" w:ascii="Times New Roman" w:hAnsi="Times New Roman" w:eastAsia="宋体" w:cs="Times New Roman"/>
                <w:color w:val="auto"/>
                <w:sz w:val="24"/>
                <w:szCs w:val="24"/>
                <w:highlight w:val="none"/>
              </w:rPr>
              <w:t>[202</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]J0300</w:t>
            </w:r>
            <w:r>
              <w:rPr>
                <w:rFonts w:hint="default"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3</w:t>
            </w:r>
            <w:r>
              <w:rPr>
                <w:rFonts w:hint="default" w:ascii="Times New Roman" w:hAnsi="Times New Roman" w:eastAsia="宋体" w:cs="Times New Roman"/>
                <w:color w:val="auto"/>
                <w:sz w:val="24"/>
                <w:szCs w:val="24"/>
                <w:highlight w:val="none"/>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42" w:type="dxa"/>
            <w:noWrap w:val="0"/>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总投资(万元)</w:t>
            </w:r>
          </w:p>
        </w:tc>
        <w:tc>
          <w:tcPr>
            <w:tcW w:w="2177" w:type="dxa"/>
            <w:noWrap w:val="0"/>
            <w:vAlign w:val="center"/>
          </w:tcPr>
          <w:p>
            <w:pPr>
              <w:adjustRightInd w:val="0"/>
              <w:snapToGrid w:val="0"/>
              <w:jc w:val="center"/>
              <w:rPr>
                <w:rFonts w:hint="default" w:eastAsia="宋体"/>
                <w:color w:val="auto"/>
                <w:sz w:val="24"/>
                <w:highlight w:val="none"/>
                <w:lang w:val="en-US" w:eastAsia="zh-CN"/>
              </w:rPr>
            </w:pPr>
            <w:r>
              <w:rPr>
                <w:rFonts w:hint="eastAsia"/>
                <w:color w:val="auto"/>
                <w:sz w:val="24"/>
                <w:highlight w:val="none"/>
                <w:lang w:val="en-US" w:eastAsia="zh-CN"/>
              </w:rPr>
              <w:t>300</w:t>
            </w:r>
          </w:p>
        </w:tc>
        <w:tc>
          <w:tcPr>
            <w:tcW w:w="1948" w:type="dxa"/>
            <w:noWrap w:val="0"/>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环保投资(万元)</w:t>
            </w:r>
          </w:p>
        </w:tc>
        <w:tc>
          <w:tcPr>
            <w:tcW w:w="2903" w:type="dxa"/>
            <w:gridSpan w:val="2"/>
            <w:noWrap w:val="0"/>
            <w:vAlign w:val="center"/>
          </w:tcPr>
          <w:p>
            <w:pPr>
              <w:adjustRightInd w:val="0"/>
              <w:snapToGrid w:val="0"/>
              <w:jc w:val="center"/>
              <w:rPr>
                <w:rFonts w:hint="default" w:eastAsia="宋体"/>
                <w:color w:val="auto"/>
                <w:sz w:val="24"/>
                <w:highlight w:val="none"/>
                <w:lang w:val="en-US" w:eastAsia="zh-CN"/>
              </w:rPr>
            </w:pPr>
            <w:r>
              <w:rPr>
                <w:rFonts w:hint="eastAsia"/>
                <w:color w:val="auto"/>
                <w:sz w:val="24"/>
                <w:highlight w:val="none"/>
                <w:lang w:val="en-US" w:eastAsia="zh-CN"/>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42" w:type="dxa"/>
            <w:noWrap w:val="0"/>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环保投资占比(%)</w:t>
            </w:r>
          </w:p>
        </w:tc>
        <w:tc>
          <w:tcPr>
            <w:tcW w:w="2177" w:type="dxa"/>
            <w:noWrap w:val="0"/>
            <w:vAlign w:val="center"/>
          </w:tcPr>
          <w:p>
            <w:pPr>
              <w:adjustRightInd w:val="0"/>
              <w:snapToGrid w:val="0"/>
              <w:jc w:val="center"/>
              <w:rPr>
                <w:rFonts w:hint="default" w:eastAsia="宋体"/>
                <w:color w:val="auto"/>
                <w:sz w:val="24"/>
                <w:highlight w:val="none"/>
                <w:lang w:val="en-US" w:eastAsia="zh-CN"/>
              </w:rPr>
            </w:pPr>
            <w:r>
              <w:rPr>
                <w:rFonts w:hint="eastAsia"/>
                <w:color w:val="auto"/>
                <w:sz w:val="24"/>
                <w:highlight w:val="none"/>
                <w:lang w:val="en-US" w:eastAsia="zh-CN"/>
              </w:rPr>
              <w:t>10</w:t>
            </w:r>
          </w:p>
        </w:tc>
        <w:tc>
          <w:tcPr>
            <w:tcW w:w="1948" w:type="dxa"/>
            <w:noWrap w:val="0"/>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施工工期</w:t>
            </w:r>
          </w:p>
        </w:tc>
        <w:tc>
          <w:tcPr>
            <w:tcW w:w="2903" w:type="dxa"/>
            <w:gridSpan w:val="2"/>
            <w:noWrap w:val="0"/>
            <w:vAlign w:val="center"/>
          </w:tcPr>
          <w:p>
            <w:pPr>
              <w:adjustRightInd w:val="0"/>
              <w:snapToGrid w:val="0"/>
              <w:jc w:val="center"/>
              <w:rPr>
                <w:color w:val="auto"/>
                <w:sz w:val="24"/>
                <w:highlight w:val="none"/>
              </w:rPr>
            </w:pPr>
            <w:r>
              <w:rPr>
                <w:rFonts w:hint="eastAsia"/>
                <w:color w:val="auto"/>
                <w:sz w:val="24"/>
                <w:highlight w:val="none"/>
                <w:lang w:val="en-US" w:eastAsia="zh-CN"/>
              </w:rPr>
              <w:t>10</w:t>
            </w:r>
            <w:r>
              <w:rPr>
                <w:color w:val="auto"/>
                <w:sz w:val="24"/>
                <w:highlight w:val="non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42" w:type="dxa"/>
            <w:noWrap w:val="0"/>
            <w:tcMar>
              <w:top w:w="16" w:type="dxa"/>
              <w:left w:w="16" w:type="dxa"/>
              <w:right w:w="16" w:type="dxa"/>
            </w:tcMar>
            <w:vAlign w:val="center"/>
          </w:tcPr>
          <w:p>
            <w:pPr>
              <w:adjustRightInd w:val="0"/>
              <w:snapToGrid w:val="0"/>
              <w:jc w:val="center"/>
              <w:rPr>
                <w:color w:val="auto"/>
                <w:sz w:val="24"/>
                <w:highlight w:val="none"/>
              </w:rPr>
            </w:pPr>
            <w:r>
              <w:rPr>
                <w:color w:val="auto"/>
                <w:sz w:val="24"/>
                <w:highlight w:val="none"/>
              </w:rPr>
              <w:t>是否开工建设</w:t>
            </w:r>
          </w:p>
        </w:tc>
        <w:tc>
          <w:tcPr>
            <w:tcW w:w="2177" w:type="dxa"/>
            <w:noWrap w:val="0"/>
            <w:vAlign w:val="center"/>
          </w:tcPr>
          <w:p>
            <w:pPr>
              <w:adjustRightInd w:val="0"/>
              <w:snapToGrid w:val="0"/>
              <w:rPr>
                <w:color w:val="auto"/>
                <w:sz w:val="24"/>
                <w:highlight w:val="none"/>
              </w:rPr>
            </w:pPr>
            <w:r>
              <w:rPr>
                <w:color w:val="auto"/>
                <w:sz w:val="24"/>
                <w:highlight w:val="none"/>
              </w:rPr>
              <w:sym w:font="Wingdings 2" w:char="00A3"/>
            </w:r>
            <w:r>
              <w:rPr>
                <w:color w:val="auto"/>
                <w:sz w:val="24"/>
                <w:highlight w:val="none"/>
              </w:rPr>
              <w:t>否</w:t>
            </w:r>
          </w:p>
          <w:p>
            <w:pPr>
              <w:adjustRightInd w:val="0"/>
              <w:snapToGrid w:val="0"/>
              <w:rPr>
                <w:color w:val="auto"/>
                <w:sz w:val="24"/>
                <w:highlight w:val="none"/>
              </w:rPr>
            </w:pPr>
            <w:r>
              <w:rPr>
                <w:color w:val="auto"/>
                <w:sz w:val="24"/>
                <w:highlight w:val="none"/>
              </w:rPr>
              <w:sym w:font="Wingdings 2" w:char="0052"/>
            </w:r>
            <w:r>
              <w:rPr>
                <w:color w:val="auto"/>
                <w:sz w:val="24"/>
                <w:highlight w:val="none"/>
              </w:rPr>
              <w:t>是：</w:t>
            </w:r>
            <w:r>
              <w:rPr>
                <w:rFonts w:hint="eastAsia" w:ascii="Times New Roman" w:hAnsi="Times New Roman" w:eastAsia="宋体" w:cs="Times New Roman"/>
                <w:color w:val="auto"/>
                <w:sz w:val="24"/>
                <w:highlight w:val="none"/>
                <w:u w:val="single"/>
                <w:lang w:val="en-US" w:eastAsia="zh-CN"/>
              </w:rPr>
              <w:t>安装部分生产设备，未进行生产。目前宁德市福鼎生态局正在办理处罚手续</w:t>
            </w:r>
          </w:p>
        </w:tc>
        <w:tc>
          <w:tcPr>
            <w:tcW w:w="1948" w:type="dxa"/>
            <w:noWrap w:val="0"/>
            <w:tcMar>
              <w:top w:w="16" w:type="dxa"/>
              <w:left w:w="16" w:type="dxa"/>
              <w:right w:w="16" w:type="dxa"/>
            </w:tcMar>
            <w:vAlign w:val="center"/>
          </w:tcPr>
          <w:p>
            <w:pPr>
              <w:adjustRightInd w:val="0"/>
              <w:snapToGrid w:val="0"/>
              <w:jc w:val="center"/>
              <w:rPr>
                <w:color w:val="auto"/>
                <w:spacing w:val="-6"/>
                <w:sz w:val="24"/>
                <w:highlight w:val="none"/>
              </w:rPr>
            </w:pPr>
            <w:r>
              <w:rPr>
                <w:color w:val="auto"/>
                <w:spacing w:val="-6"/>
                <w:sz w:val="24"/>
                <w:highlight w:val="none"/>
              </w:rPr>
              <w:t>用地(用海)</w:t>
            </w:r>
          </w:p>
          <w:p>
            <w:pPr>
              <w:adjustRightInd w:val="0"/>
              <w:snapToGrid w:val="0"/>
              <w:jc w:val="center"/>
              <w:rPr>
                <w:color w:val="auto"/>
                <w:sz w:val="24"/>
                <w:highlight w:val="none"/>
              </w:rPr>
            </w:pPr>
            <w:r>
              <w:rPr>
                <w:color w:val="auto"/>
                <w:spacing w:val="-6"/>
                <w:sz w:val="24"/>
                <w:highlight w:val="none"/>
              </w:rPr>
              <w:t>面积(m</w:t>
            </w:r>
            <w:r>
              <w:rPr>
                <w:color w:val="auto"/>
                <w:spacing w:val="-6"/>
                <w:sz w:val="24"/>
                <w:highlight w:val="none"/>
                <w:vertAlign w:val="superscript"/>
              </w:rPr>
              <w:t>2</w:t>
            </w:r>
            <w:r>
              <w:rPr>
                <w:color w:val="auto"/>
                <w:spacing w:val="-6"/>
                <w:sz w:val="24"/>
                <w:highlight w:val="none"/>
              </w:rPr>
              <w:t>)</w:t>
            </w:r>
          </w:p>
        </w:tc>
        <w:tc>
          <w:tcPr>
            <w:tcW w:w="2903" w:type="dxa"/>
            <w:gridSpan w:val="2"/>
            <w:noWrap w:val="0"/>
            <w:vAlign w:val="center"/>
          </w:tcPr>
          <w:p>
            <w:pPr>
              <w:adjustRightInd w:val="0"/>
              <w:snapToGrid w:val="0"/>
              <w:jc w:val="center"/>
              <w:rPr>
                <w:color w:val="auto"/>
                <w:sz w:val="24"/>
                <w:highlight w:val="none"/>
              </w:rPr>
            </w:pPr>
            <w:r>
              <w:rPr>
                <w:rFonts w:hint="eastAsia"/>
                <w:color w:val="auto"/>
                <w:spacing w:val="-6"/>
                <w:sz w:val="24"/>
                <w:highlight w:val="none"/>
                <w:lang w:val="en-US" w:eastAsia="zh-CN"/>
              </w:rPr>
              <w:t>10000</w:t>
            </w:r>
            <w:r>
              <w:rPr>
                <w:color w:val="auto"/>
                <w:spacing w:val="-6"/>
                <w:sz w:val="24"/>
                <w:highlight w:val="none"/>
              </w:rPr>
              <w:t>m</w:t>
            </w:r>
            <w:r>
              <w:rPr>
                <w:color w:val="auto"/>
                <w:spacing w:val="-6"/>
                <w:sz w:val="24"/>
                <w:highlight w:val="none"/>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842" w:type="dxa"/>
            <w:noWrap w:val="0"/>
            <w:vAlign w:val="center"/>
          </w:tcPr>
          <w:p>
            <w:pPr>
              <w:autoSpaceDE w:val="0"/>
              <w:autoSpaceDN w:val="0"/>
              <w:adjustRightInd w:val="0"/>
              <w:snapToGrid w:val="0"/>
              <w:jc w:val="center"/>
              <w:rPr>
                <w:color w:val="auto"/>
                <w:kern w:val="0"/>
                <w:sz w:val="24"/>
                <w:highlight w:val="none"/>
              </w:rPr>
            </w:pPr>
            <w:r>
              <w:rPr>
                <w:color w:val="auto"/>
                <w:kern w:val="0"/>
                <w:sz w:val="24"/>
                <w:highlight w:val="none"/>
              </w:rPr>
              <w:t>专项评价设置情况</w:t>
            </w:r>
          </w:p>
        </w:tc>
        <w:tc>
          <w:tcPr>
            <w:tcW w:w="7028" w:type="dxa"/>
            <w:gridSpan w:val="4"/>
            <w:noWrap w:val="0"/>
            <w:vAlign w:val="center"/>
          </w:tcPr>
          <w:p>
            <w:pPr>
              <w:pStyle w:val="98"/>
              <w:bidi w:val="0"/>
              <w:rPr>
                <w:rFonts w:hint="default"/>
                <w:color w:val="auto"/>
                <w:highlight w:val="none"/>
                <w:lang w:val="en-US" w:eastAsia="zh-CN"/>
              </w:rPr>
            </w:pPr>
            <w:r>
              <w:rPr>
                <w:rFonts w:hint="eastAsia"/>
                <w:color w:val="auto"/>
                <w:highlight w:val="none"/>
                <w:lang w:val="en-US" w:eastAsia="zh-CN"/>
              </w:rPr>
              <w:t>根据《建设项目环境影响报告表编制技术指南（污染影响类）》（试行）中表1专项评价原则表可知，本项目专项评价设置判定结果如下表所示：</w:t>
            </w:r>
          </w:p>
          <w:tbl>
            <w:tblPr>
              <w:tblStyle w:val="25"/>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107"/>
              <w:gridCol w:w="44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7" w:type="dxa"/>
                  <w:noWrap w:val="0"/>
                  <w:vAlign w:val="center"/>
                </w:tcPr>
                <w:p>
                  <w:pPr>
                    <w:autoSpaceDE w:val="0"/>
                    <w:autoSpaceDN w:val="0"/>
                    <w:adjustRightInd w:val="0"/>
                    <w:snapToGrid w:val="0"/>
                    <w:spacing w:line="240" w:lineRule="auto"/>
                    <w:jc w:val="center"/>
                    <w:rPr>
                      <w:color w:val="auto"/>
                      <w:sz w:val="21"/>
                      <w:szCs w:val="21"/>
                      <w:highlight w:val="none"/>
                    </w:rPr>
                  </w:pPr>
                  <w:r>
                    <w:rPr>
                      <w:color w:val="auto"/>
                      <w:kern w:val="0"/>
                      <w:sz w:val="21"/>
                      <w:szCs w:val="21"/>
                      <w:highlight w:val="none"/>
                    </w:rPr>
                    <w:t>专项类别</w:t>
                  </w:r>
                </w:p>
              </w:tc>
              <w:tc>
                <w:tcPr>
                  <w:tcW w:w="1107" w:type="dxa"/>
                  <w:noWrap w:val="0"/>
                  <w:vAlign w:val="center"/>
                </w:tcPr>
                <w:p>
                  <w:pPr>
                    <w:autoSpaceDE w:val="0"/>
                    <w:autoSpaceDN w:val="0"/>
                    <w:adjustRightInd w:val="0"/>
                    <w:snapToGrid w:val="0"/>
                    <w:spacing w:line="240" w:lineRule="auto"/>
                    <w:jc w:val="center"/>
                    <w:rPr>
                      <w:color w:val="auto"/>
                      <w:sz w:val="21"/>
                      <w:szCs w:val="21"/>
                      <w:highlight w:val="none"/>
                    </w:rPr>
                  </w:pPr>
                  <w:r>
                    <w:rPr>
                      <w:color w:val="auto"/>
                      <w:kern w:val="0"/>
                      <w:sz w:val="21"/>
                      <w:szCs w:val="21"/>
                      <w:highlight w:val="none"/>
                    </w:rPr>
                    <w:t>开展情况</w:t>
                  </w:r>
                </w:p>
              </w:tc>
              <w:tc>
                <w:tcPr>
                  <w:tcW w:w="4467" w:type="dxa"/>
                  <w:noWrap w:val="0"/>
                  <w:vAlign w:val="center"/>
                </w:tcPr>
                <w:p>
                  <w:pPr>
                    <w:autoSpaceDE w:val="0"/>
                    <w:autoSpaceDN w:val="0"/>
                    <w:adjustRightInd w:val="0"/>
                    <w:snapToGrid w:val="0"/>
                    <w:spacing w:line="240" w:lineRule="auto"/>
                    <w:jc w:val="center"/>
                    <w:rPr>
                      <w:color w:val="auto"/>
                      <w:sz w:val="21"/>
                      <w:szCs w:val="21"/>
                      <w:highlight w:val="none"/>
                    </w:rPr>
                  </w:pPr>
                  <w:r>
                    <w:rPr>
                      <w:color w:val="auto"/>
                      <w:kern w:val="0"/>
                      <w:sz w:val="21"/>
                      <w:szCs w:val="21"/>
                      <w:highlight w:val="none"/>
                    </w:rPr>
                    <w:t>设置说明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7" w:type="dxa"/>
                  <w:noWrap w:val="0"/>
                  <w:vAlign w:val="center"/>
                </w:tcPr>
                <w:p>
                  <w:pPr>
                    <w:autoSpaceDE w:val="0"/>
                    <w:autoSpaceDN w:val="0"/>
                    <w:adjustRightInd w:val="0"/>
                    <w:snapToGrid w:val="0"/>
                    <w:spacing w:line="240" w:lineRule="auto"/>
                    <w:jc w:val="center"/>
                    <w:rPr>
                      <w:color w:val="auto"/>
                      <w:sz w:val="21"/>
                      <w:szCs w:val="21"/>
                      <w:highlight w:val="none"/>
                    </w:rPr>
                  </w:pPr>
                  <w:r>
                    <w:rPr>
                      <w:color w:val="auto"/>
                      <w:sz w:val="21"/>
                      <w:szCs w:val="21"/>
                      <w:highlight w:val="none"/>
                    </w:rPr>
                    <w:t>大气</w:t>
                  </w:r>
                </w:p>
              </w:tc>
              <w:tc>
                <w:tcPr>
                  <w:tcW w:w="1107" w:type="dxa"/>
                  <w:noWrap w:val="0"/>
                  <w:vAlign w:val="center"/>
                </w:tcPr>
                <w:p>
                  <w:pPr>
                    <w:autoSpaceDE w:val="0"/>
                    <w:autoSpaceDN w:val="0"/>
                    <w:adjustRightInd w:val="0"/>
                    <w:snapToGrid w:val="0"/>
                    <w:spacing w:line="240" w:lineRule="auto"/>
                    <w:jc w:val="center"/>
                    <w:rPr>
                      <w:color w:val="auto"/>
                      <w:sz w:val="21"/>
                      <w:szCs w:val="21"/>
                      <w:highlight w:val="none"/>
                    </w:rPr>
                  </w:pPr>
                  <w:r>
                    <w:rPr>
                      <w:color w:val="auto"/>
                      <w:sz w:val="21"/>
                      <w:szCs w:val="21"/>
                      <w:highlight w:val="none"/>
                    </w:rPr>
                    <w:t>无</w:t>
                  </w:r>
                </w:p>
              </w:tc>
              <w:tc>
                <w:tcPr>
                  <w:tcW w:w="4467" w:type="dxa"/>
                  <w:noWrap w:val="0"/>
                  <w:vAlign w:val="center"/>
                </w:tcPr>
                <w:p>
                  <w:pPr>
                    <w:autoSpaceDE w:val="0"/>
                    <w:autoSpaceDN w:val="0"/>
                    <w:adjustRightInd w:val="0"/>
                    <w:snapToGrid w:val="0"/>
                    <w:spacing w:line="240" w:lineRule="auto"/>
                    <w:jc w:val="center"/>
                    <w:rPr>
                      <w:color w:val="auto"/>
                      <w:sz w:val="21"/>
                      <w:szCs w:val="21"/>
                      <w:highlight w:val="none"/>
                    </w:rPr>
                  </w:pPr>
                  <w:r>
                    <w:rPr>
                      <w:color w:val="auto"/>
                      <w:kern w:val="0"/>
                      <w:sz w:val="21"/>
                      <w:szCs w:val="21"/>
                      <w:highlight w:val="none"/>
                    </w:rPr>
                    <w:t>项目排放的废气不涉及有毒有害污染物、二噁英、苯并[a]芘、氰化物、氯气。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7" w:type="dxa"/>
                  <w:noWrap w:val="0"/>
                  <w:vAlign w:val="center"/>
                </w:tcPr>
                <w:p>
                  <w:pPr>
                    <w:autoSpaceDE w:val="0"/>
                    <w:autoSpaceDN w:val="0"/>
                    <w:adjustRightInd w:val="0"/>
                    <w:snapToGrid w:val="0"/>
                    <w:spacing w:line="240" w:lineRule="auto"/>
                    <w:jc w:val="center"/>
                    <w:rPr>
                      <w:color w:val="auto"/>
                      <w:sz w:val="21"/>
                      <w:szCs w:val="21"/>
                      <w:highlight w:val="none"/>
                    </w:rPr>
                  </w:pPr>
                  <w:r>
                    <w:rPr>
                      <w:color w:val="auto"/>
                      <w:kern w:val="0"/>
                      <w:sz w:val="21"/>
                      <w:szCs w:val="21"/>
                      <w:highlight w:val="none"/>
                    </w:rPr>
                    <w:t>地表水</w:t>
                  </w:r>
                </w:p>
              </w:tc>
              <w:tc>
                <w:tcPr>
                  <w:tcW w:w="1107" w:type="dxa"/>
                  <w:noWrap w:val="0"/>
                  <w:vAlign w:val="center"/>
                </w:tcPr>
                <w:p>
                  <w:pPr>
                    <w:autoSpaceDE w:val="0"/>
                    <w:autoSpaceDN w:val="0"/>
                    <w:adjustRightInd w:val="0"/>
                    <w:snapToGrid w:val="0"/>
                    <w:spacing w:line="240" w:lineRule="auto"/>
                    <w:jc w:val="center"/>
                    <w:rPr>
                      <w:color w:val="auto"/>
                      <w:sz w:val="21"/>
                      <w:szCs w:val="21"/>
                      <w:highlight w:val="none"/>
                    </w:rPr>
                  </w:pPr>
                  <w:r>
                    <w:rPr>
                      <w:color w:val="auto"/>
                      <w:sz w:val="21"/>
                      <w:szCs w:val="21"/>
                      <w:highlight w:val="none"/>
                    </w:rPr>
                    <w:t>无</w:t>
                  </w:r>
                </w:p>
              </w:tc>
              <w:tc>
                <w:tcPr>
                  <w:tcW w:w="4467" w:type="dxa"/>
                  <w:noWrap w:val="0"/>
                  <w:vAlign w:val="center"/>
                </w:tcPr>
                <w:p>
                  <w:pPr>
                    <w:autoSpaceDE w:val="0"/>
                    <w:autoSpaceDN w:val="0"/>
                    <w:adjustRightInd w:val="0"/>
                    <w:snapToGrid w:val="0"/>
                    <w:spacing w:line="240" w:lineRule="auto"/>
                    <w:jc w:val="center"/>
                    <w:rPr>
                      <w:color w:val="auto"/>
                      <w:sz w:val="21"/>
                      <w:szCs w:val="21"/>
                      <w:highlight w:val="none"/>
                    </w:rPr>
                  </w:pPr>
                  <w:r>
                    <w:rPr>
                      <w:rFonts w:hint="eastAsia"/>
                      <w:color w:val="auto"/>
                      <w:sz w:val="21"/>
                      <w:szCs w:val="21"/>
                      <w:highlight w:val="none"/>
                    </w:rPr>
                    <w:t>项目无直排废水。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7" w:type="dxa"/>
                  <w:noWrap w:val="0"/>
                  <w:vAlign w:val="center"/>
                </w:tcPr>
                <w:p>
                  <w:pPr>
                    <w:autoSpaceDE w:val="0"/>
                    <w:autoSpaceDN w:val="0"/>
                    <w:adjustRightInd w:val="0"/>
                    <w:snapToGrid w:val="0"/>
                    <w:spacing w:line="240" w:lineRule="auto"/>
                    <w:jc w:val="center"/>
                    <w:rPr>
                      <w:color w:val="auto"/>
                      <w:sz w:val="21"/>
                      <w:szCs w:val="21"/>
                      <w:highlight w:val="none"/>
                    </w:rPr>
                  </w:pPr>
                  <w:r>
                    <w:rPr>
                      <w:color w:val="auto"/>
                      <w:kern w:val="0"/>
                      <w:sz w:val="21"/>
                      <w:szCs w:val="21"/>
                      <w:highlight w:val="none"/>
                    </w:rPr>
                    <w:t>环境风险</w:t>
                  </w:r>
                </w:p>
              </w:tc>
              <w:tc>
                <w:tcPr>
                  <w:tcW w:w="1107" w:type="dxa"/>
                  <w:noWrap w:val="0"/>
                  <w:vAlign w:val="center"/>
                </w:tcPr>
                <w:p>
                  <w:pPr>
                    <w:autoSpaceDE w:val="0"/>
                    <w:autoSpaceDN w:val="0"/>
                    <w:adjustRightInd w:val="0"/>
                    <w:snapToGrid w:val="0"/>
                    <w:spacing w:line="240" w:lineRule="auto"/>
                    <w:jc w:val="center"/>
                    <w:rPr>
                      <w:rFonts w:hint="eastAsia" w:eastAsia="宋体"/>
                      <w:color w:val="auto"/>
                      <w:sz w:val="21"/>
                      <w:szCs w:val="21"/>
                      <w:highlight w:val="none"/>
                      <w:lang w:eastAsia="zh-CN"/>
                    </w:rPr>
                  </w:pPr>
                  <w:r>
                    <w:rPr>
                      <w:rFonts w:hint="eastAsia"/>
                      <w:color w:val="auto"/>
                      <w:sz w:val="21"/>
                      <w:szCs w:val="21"/>
                      <w:highlight w:val="none"/>
                      <w:lang w:val="en-US" w:eastAsia="zh-CN"/>
                    </w:rPr>
                    <w:t>无</w:t>
                  </w:r>
                </w:p>
              </w:tc>
              <w:tc>
                <w:tcPr>
                  <w:tcW w:w="4467" w:type="dxa"/>
                  <w:noWrap w:val="0"/>
                  <w:vAlign w:val="center"/>
                </w:tcPr>
                <w:p>
                  <w:pPr>
                    <w:autoSpaceDE w:val="0"/>
                    <w:autoSpaceDN w:val="0"/>
                    <w:adjustRightInd w:val="0"/>
                    <w:snapToGrid w:val="0"/>
                    <w:spacing w:line="240" w:lineRule="auto"/>
                    <w:jc w:val="center"/>
                    <w:rPr>
                      <w:color w:val="auto"/>
                      <w:sz w:val="21"/>
                      <w:szCs w:val="21"/>
                      <w:highlight w:val="none"/>
                    </w:rPr>
                  </w:pPr>
                  <w:r>
                    <w:rPr>
                      <w:rFonts w:hint="eastAsia"/>
                      <w:color w:val="auto"/>
                      <w:sz w:val="21"/>
                      <w:szCs w:val="21"/>
                      <w:highlight w:val="none"/>
                    </w:rPr>
                    <w:t>项目</w:t>
                  </w:r>
                  <w:r>
                    <w:rPr>
                      <w:rFonts w:hint="eastAsia"/>
                      <w:color w:val="auto"/>
                      <w:sz w:val="21"/>
                      <w:szCs w:val="21"/>
                      <w:highlight w:val="none"/>
                      <w:lang w:val="en-US" w:eastAsia="zh-CN"/>
                    </w:rPr>
                    <w:t>不涉及有毒有害和易燃易爆危险物质</w:t>
                  </w:r>
                  <w:r>
                    <w:rPr>
                      <w:rFonts w:hint="eastAsia"/>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7" w:type="dxa"/>
                  <w:noWrap w:val="0"/>
                  <w:vAlign w:val="center"/>
                </w:tcPr>
                <w:p>
                  <w:pPr>
                    <w:autoSpaceDE w:val="0"/>
                    <w:autoSpaceDN w:val="0"/>
                    <w:adjustRightInd w:val="0"/>
                    <w:snapToGrid w:val="0"/>
                    <w:spacing w:line="240" w:lineRule="auto"/>
                    <w:jc w:val="center"/>
                    <w:rPr>
                      <w:color w:val="auto"/>
                      <w:sz w:val="21"/>
                      <w:szCs w:val="21"/>
                      <w:highlight w:val="none"/>
                    </w:rPr>
                  </w:pPr>
                  <w:r>
                    <w:rPr>
                      <w:color w:val="auto"/>
                      <w:kern w:val="0"/>
                      <w:sz w:val="21"/>
                      <w:szCs w:val="21"/>
                      <w:highlight w:val="none"/>
                    </w:rPr>
                    <w:t>生态</w:t>
                  </w:r>
                </w:p>
              </w:tc>
              <w:tc>
                <w:tcPr>
                  <w:tcW w:w="1107" w:type="dxa"/>
                  <w:noWrap w:val="0"/>
                  <w:vAlign w:val="center"/>
                </w:tcPr>
                <w:p>
                  <w:pPr>
                    <w:autoSpaceDE w:val="0"/>
                    <w:autoSpaceDN w:val="0"/>
                    <w:adjustRightInd w:val="0"/>
                    <w:snapToGrid w:val="0"/>
                    <w:spacing w:line="240" w:lineRule="auto"/>
                    <w:jc w:val="center"/>
                    <w:rPr>
                      <w:color w:val="auto"/>
                      <w:sz w:val="21"/>
                      <w:szCs w:val="21"/>
                      <w:highlight w:val="none"/>
                    </w:rPr>
                  </w:pPr>
                  <w:r>
                    <w:rPr>
                      <w:color w:val="auto"/>
                      <w:sz w:val="21"/>
                      <w:szCs w:val="21"/>
                      <w:highlight w:val="none"/>
                    </w:rPr>
                    <w:t>无</w:t>
                  </w:r>
                </w:p>
              </w:tc>
              <w:tc>
                <w:tcPr>
                  <w:tcW w:w="4467" w:type="dxa"/>
                  <w:noWrap w:val="0"/>
                  <w:vAlign w:val="center"/>
                </w:tcPr>
                <w:p>
                  <w:pPr>
                    <w:widowControl/>
                    <w:spacing w:line="240" w:lineRule="auto"/>
                    <w:jc w:val="center"/>
                    <w:rPr>
                      <w:color w:val="auto"/>
                      <w:sz w:val="21"/>
                      <w:szCs w:val="21"/>
                      <w:highlight w:val="none"/>
                    </w:rPr>
                  </w:pPr>
                  <w:r>
                    <w:rPr>
                      <w:rFonts w:hint="eastAsia"/>
                      <w:color w:val="auto"/>
                      <w:sz w:val="21"/>
                      <w:szCs w:val="21"/>
                      <w:highlight w:val="none"/>
                    </w:rPr>
                    <w:t>项目不涉及新增河道取水。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7" w:type="dxa"/>
                  <w:noWrap w:val="0"/>
                  <w:vAlign w:val="center"/>
                </w:tcPr>
                <w:p>
                  <w:pPr>
                    <w:autoSpaceDE w:val="0"/>
                    <w:autoSpaceDN w:val="0"/>
                    <w:adjustRightInd w:val="0"/>
                    <w:snapToGrid w:val="0"/>
                    <w:spacing w:line="240" w:lineRule="auto"/>
                    <w:jc w:val="center"/>
                    <w:rPr>
                      <w:color w:val="auto"/>
                      <w:sz w:val="21"/>
                      <w:szCs w:val="21"/>
                      <w:highlight w:val="none"/>
                    </w:rPr>
                  </w:pPr>
                  <w:r>
                    <w:rPr>
                      <w:color w:val="auto"/>
                      <w:kern w:val="0"/>
                      <w:sz w:val="21"/>
                      <w:szCs w:val="21"/>
                      <w:highlight w:val="none"/>
                    </w:rPr>
                    <w:t>海洋</w:t>
                  </w:r>
                </w:p>
              </w:tc>
              <w:tc>
                <w:tcPr>
                  <w:tcW w:w="1107" w:type="dxa"/>
                  <w:noWrap w:val="0"/>
                  <w:vAlign w:val="center"/>
                </w:tcPr>
                <w:p>
                  <w:pPr>
                    <w:autoSpaceDE w:val="0"/>
                    <w:autoSpaceDN w:val="0"/>
                    <w:adjustRightInd w:val="0"/>
                    <w:snapToGrid w:val="0"/>
                    <w:spacing w:line="240" w:lineRule="auto"/>
                    <w:jc w:val="center"/>
                    <w:rPr>
                      <w:color w:val="auto"/>
                      <w:sz w:val="21"/>
                      <w:szCs w:val="21"/>
                      <w:highlight w:val="none"/>
                    </w:rPr>
                  </w:pPr>
                  <w:r>
                    <w:rPr>
                      <w:color w:val="auto"/>
                      <w:sz w:val="21"/>
                      <w:szCs w:val="21"/>
                      <w:highlight w:val="none"/>
                    </w:rPr>
                    <w:t>无</w:t>
                  </w:r>
                </w:p>
              </w:tc>
              <w:tc>
                <w:tcPr>
                  <w:tcW w:w="4467" w:type="dxa"/>
                  <w:noWrap w:val="0"/>
                  <w:vAlign w:val="center"/>
                </w:tcPr>
                <w:p>
                  <w:pPr>
                    <w:autoSpaceDE w:val="0"/>
                    <w:autoSpaceDN w:val="0"/>
                    <w:adjustRightInd w:val="0"/>
                    <w:snapToGrid w:val="0"/>
                    <w:spacing w:line="240" w:lineRule="auto"/>
                    <w:jc w:val="center"/>
                    <w:rPr>
                      <w:color w:val="auto"/>
                      <w:sz w:val="21"/>
                      <w:szCs w:val="21"/>
                      <w:highlight w:val="none"/>
                    </w:rPr>
                  </w:pPr>
                  <w:r>
                    <w:rPr>
                      <w:color w:val="auto"/>
                      <w:kern w:val="0"/>
                      <w:sz w:val="21"/>
                      <w:szCs w:val="21"/>
                      <w:highlight w:val="none"/>
                    </w:rPr>
                    <w:t>不属于海洋工程建设项目。</w:t>
                  </w:r>
                </w:p>
              </w:tc>
            </w:tr>
          </w:tbl>
          <w:p>
            <w:pPr>
              <w:pStyle w:val="98"/>
              <w:ind w:firstLine="480"/>
              <w:jc w:val="center"/>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1842" w:type="dxa"/>
            <w:noWrap w:val="0"/>
            <w:vAlign w:val="center"/>
          </w:tcPr>
          <w:p>
            <w:pPr>
              <w:autoSpaceDE w:val="0"/>
              <w:autoSpaceDN w:val="0"/>
              <w:adjustRightInd w:val="0"/>
              <w:snapToGrid w:val="0"/>
              <w:jc w:val="center"/>
              <w:rPr>
                <w:color w:val="auto"/>
                <w:kern w:val="0"/>
                <w:sz w:val="24"/>
                <w:highlight w:val="none"/>
              </w:rPr>
            </w:pPr>
            <w:r>
              <w:rPr>
                <w:color w:val="auto"/>
                <w:sz w:val="24"/>
                <w:highlight w:val="none"/>
              </w:rPr>
              <w:t>规划情况</w:t>
            </w:r>
          </w:p>
        </w:tc>
        <w:tc>
          <w:tcPr>
            <w:tcW w:w="7028" w:type="dxa"/>
            <w:gridSpan w:val="4"/>
            <w:noWrap w:val="0"/>
            <w:vAlign w:val="center"/>
          </w:tcPr>
          <w:p>
            <w:pPr>
              <w:pStyle w:val="98"/>
              <w:spacing w:line="360" w:lineRule="auto"/>
              <w:ind w:left="0" w:leftChars="0" w:firstLine="0" w:firstLineChars="0"/>
              <w:jc w:val="both"/>
              <w:rPr>
                <w:rFonts w:hint="eastAsia"/>
                <w:b w:val="0"/>
                <w:bCs w:val="0"/>
                <w:color w:val="auto"/>
                <w:sz w:val="24"/>
                <w:szCs w:val="24"/>
                <w:highlight w:val="none"/>
                <w:lang w:eastAsia="zh-CN"/>
              </w:rPr>
            </w:pPr>
            <w:r>
              <w:rPr>
                <w:rFonts w:hint="eastAsia"/>
                <w:b w:val="0"/>
                <w:bCs w:val="0"/>
                <w:color w:val="auto"/>
                <w:sz w:val="24"/>
                <w:szCs w:val="24"/>
                <w:highlight w:val="none"/>
                <w:lang w:val="en-US" w:eastAsia="zh-CN"/>
              </w:rPr>
              <w:t>规划名称：</w:t>
            </w:r>
            <w:r>
              <w:rPr>
                <w:rFonts w:hint="eastAsia"/>
                <w:b w:val="0"/>
                <w:bCs w:val="0"/>
                <w:color w:val="auto"/>
                <w:sz w:val="24"/>
                <w:szCs w:val="24"/>
                <w:highlight w:val="none"/>
                <w:lang w:eastAsia="zh-CN"/>
              </w:rPr>
              <w:t>《</w:t>
            </w:r>
            <w:r>
              <w:rPr>
                <w:rFonts w:hint="eastAsia"/>
                <w:b w:val="0"/>
                <w:bCs w:val="0"/>
                <w:color w:val="auto"/>
                <w:sz w:val="24"/>
                <w:szCs w:val="24"/>
                <w:highlight w:val="none"/>
              </w:rPr>
              <w:t>福鼎市城市总体规划（2017-2030</w:t>
            </w:r>
            <w:r>
              <w:rPr>
                <w:rFonts w:hint="eastAsia"/>
                <w:b w:val="0"/>
                <w:bCs w:val="0"/>
                <w:color w:val="auto"/>
                <w:sz w:val="24"/>
                <w:szCs w:val="24"/>
                <w:highlight w:val="none"/>
                <w:lang w:eastAsia="zh-CN"/>
              </w:rPr>
              <w:t>）》</w:t>
            </w:r>
          </w:p>
          <w:p>
            <w:pPr>
              <w:pStyle w:val="98"/>
              <w:spacing w:line="360" w:lineRule="auto"/>
              <w:ind w:left="0" w:leftChars="0" w:firstLine="0" w:firstLineChars="0"/>
              <w:jc w:val="both"/>
              <w:rPr>
                <w:rFonts w:hint="default"/>
                <w:b w:val="0"/>
                <w:bCs w:val="0"/>
                <w:color w:val="auto"/>
                <w:sz w:val="24"/>
                <w:szCs w:val="24"/>
                <w:highlight w:val="none"/>
                <w:lang w:val="en-US" w:eastAsia="zh-CN"/>
              </w:rPr>
            </w:pPr>
            <w:r>
              <w:rPr>
                <w:rFonts w:hint="eastAsia"/>
                <w:b w:val="0"/>
                <w:bCs w:val="0"/>
                <w:color w:val="auto"/>
                <w:sz w:val="24"/>
                <w:szCs w:val="24"/>
                <w:highlight w:val="none"/>
                <w:lang w:val="en-US" w:eastAsia="zh-CN"/>
              </w:rPr>
              <w:t>审批机关：/</w:t>
            </w:r>
          </w:p>
          <w:p>
            <w:pPr>
              <w:keepNext w:val="0"/>
              <w:keepLines w:val="0"/>
              <w:widowControl/>
              <w:suppressLineNumbers w:val="0"/>
              <w:spacing w:line="360" w:lineRule="auto"/>
              <w:jc w:val="left"/>
              <w:rPr>
                <w:rFonts w:hint="eastAsia"/>
                <w:b/>
                <w:bCs/>
                <w:color w:val="auto"/>
                <w:highlight w:val="none"/>
                <w:lang w:val="en-US" w:eastAsia="zh-CN"/>
              </w:rPr>
            </w:pPr>
            <w:r>
              <w:rPr>
                <w:rFonts w:hint="eastAsia"/>
                <w:b w:val="0"/>
                <w:bCs w:val="0"/>
                <w:color w:val="auto"/>
                <w:sz w:val="24"/>
                <w:szCs w:val="24"/>
                <w:highlight w:val="none"/>
                <w:lang w:val="en-US" w:eastAsia="zh-CN"/>
              </w:rPr>
              <w:t>审批文件名称及文号：/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842" w:type="dxa"/>
            <w:noWrap w:val="0"/>
            <w:vAlign w:val="center"/>
          </w:tcPr>
          <w:p>
            <w:pPr>
              <w:adjustRightInd w:val="0"/>
              <w:snapToGrid w:val="0"/>
              <w:jc w:val="center"/>
              <w:rPr>
                <w:color w:val="auto"/>
                <w:sz w:val="24"/>
                <w:highlight w:val="none"/>
              </w:rPr>
            </w:pPr>
            <w:r>
              <w:rPr>
                <w:color w:val="auto"/>
                <w:sz w:val="24"/>
                <w:highlight w:val="none"/>
              </w:rPr>
              <w:t>规划环境影响</w:t>
            </w:r>
          </w:p>
          <w:p>
            <w:pPr>
              <w:adjustRightInd w:val="0"/>
              <w:snapToGrid w:val="0"/>
              <w:jc w:val="center"/>
              <w:rPr>
                <w:color w:val="auto"/>
                <w:kern w:val="0"/>
                <w:sz w:val="24"/>
                <w:highlight w:val="none"/>
              </w:rPr>
            </w:pPr>
            <w:r>
              <w:rPr>
                <w:color w:val="auto"/>
                <w:sz w:val="24"/>
                <w:highlight w:val="none"/>
              </w:rPr>
              <w:t>评价情况</w:t>
            </w:r>
          </w:p>
        </w:tc>
        <w:tc>
          <w:tcPr>
            <w:tcW w:w="7028" w:type="dxa"/>
            <w:gridSpan w:val="4"/>
            <w:noWrap w:val="0"/>
            <w:vAlign w:val="center"/>
          </w:tcPr>
          <w:p>
            <w:pPr>
              <w:pStyle w:val="98"/>
              <w:spacing w:line="360" w:lineRule="auto"/>
              <w:ind w:left="0" w:leftChars="0" w:firstLine="0" w:firstLineChars="0"/>
              <w:jc w:val="center"/>
              <w:rPr>
                <w:rFonts w:hint="eastAsia"/>
                <w:color w:val="auto"/>
                <w:highlight w:val="none"/>
                <w:lang w:val="en-US" w:eastAsia="zh-CN"/>
              </w:rPr>
            </w:pPr>
            <w:r>
              <w:rPr>
                <w:rFonts w:hint="eastAsia"/>
                <w:color w:val="auto"/>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6" w:hRule="atLeast"/>
          <w:jc w:val="center"/>
        </w:trPr>
        <w:tc>
          <w:tcPr>
            <w:tcW w:w="1842" w:type="dxa"/>
            <w:noWrap w:val="0"/>
            <w:vAlign w:val="center"/>
          </w:tcPr>
          <w:p>
            <w:pPr>
              <w:autoSpaceDE w:val="0"/>
              <w:autoSpaceDN w:val="0"/>
              <w:adjustRightInd w:val="0"/>
              <w:snapToGrid w:val="0"/>
              <w:jc w:val="center"/>
              <w:rPr>
                <w:color w:val="auto"/>
                <w:kern w:val="0"/>
                <w:sz w:val="24"/>
                <w:highlight w:val="none"/>
              </w:rPr>
            </w:pPr>
            <w:r>
              <w:rPr>
                <w:color w:val="auto"/>
                <w:kern w:val="0"/>
                <w:sz w:val="24"/>
                <w:highlight w:val="none"/>
              </w:rPr>
              <w:t>规划及规划环境影响评价符合性分析</w:t>
            </w:r>
          </w:p>
        </w:tc>
        <w:tc>
          <w:tcPr>
            <w:tcW w:w="7028" w:type="dxa"/>
            <w:gridSpan w:val="4"/>
            <w:noWrap w:val="0"/>
            <w:vAlign w:val="center"/>
          </w:tcPr>
          <w:p>
            <w:pPr>
              <w:pStyle w:val="98"/>
              <w:ind w:left="0" w:leftChars="0" w:firstLine="480" w:firstLineChars="200"/>
              <w:jc w:val="both"/>
              <w:rPr>
                <w:rFonts w:hint="eastAsia"/>
                <w:color w:val="auto"/>
                <w:kern w:val="0"/>
                <w:szCs w:val="21"/>
                <w:highlight w:val="none"/>
              </w:rPr>
            </w:pPr>
            <w:r>
              <w:rPr>
                <w:rFonts w:hint="eastAsia"/>
                <w:color w:val="auto"/>
                <w:kern w:val="0"/>
                <w:szCs w:val="21"/>
                <w:highlight w:val="none"/>
              </w:rPr>
              <w:t>《福鼎市城市总体规划（2017-2030）》中水运规划：新建鸡母岩货运作业区位于双岳港与桐山溪交汇处，为通用公共码头，规模500-2000吨。该作业区由福建君德实业开发有限公司投资建设，本项目租用福建君德实业开发有限公司位于福鼎市山前街道百胜鸡母岩君德码头预留场地作为项目用地，因临时加工需要，根据福鼎市自然资源局的复函（附件5：鼎自然资函[2023]44号），原则同意福鼎市嘉邦建材有限公司与本项目租赁君德码头场地作为宁德核电5、6号机组场地平整工厂富余渣料临时堆放点及临时加工点，本项目属于临时建设的短期行为（18个月），不改变其原有用地功能，且经过用地规划主管部门同意，因此本项目建设与《福鼎市城市总体规划（2017-2030）》不冲突。</w:t>
            </w:r>
          </w:p>
          <w:p>
            <w:pPr>
              <w:pStyle w:val="98"/>
              <w:jc w:val="both"/>
              <w:rPr>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842" w:type="dxa"/>
            <w:noWrap w:val="0"/>
            <w:vAlign w:val="center"/>
          </w:tcPr>
          <w:p>
            <w:pPr>
              <w:autoSpaceDE w:val="0"/>
              <w:autoSpaceDN w:val="0"/>
              <w:adjustRightInd w:val="0"/>
              <w:snapToGrid w:val="0"/>
              <w:jc w:val="center"/>
              <w:rPr>
                <w:color w:val="auto"/>
                <w:kern w:val="0"/>
                <w:sz w:val="24"/>
                <w:highlight w:val="none"/>
              </w:rPr>
            </w:pPr>
            <w:r>
              <w:rPr>
                <w:color w:val="auto"/>
                <w:kern w:val="0"/>
                <w:sz w:val="24"/>
                <w:highlight w:val="none"/>
              </w:rPr>
              <w:t>其他符合性分析</w:t>
            </w:r>
          </w:p>
        </w:tc>
        <w:tc>
          <w:tcPr>
            <w:tcW w:w="7028" w:type="dxa"/>
            <w:gridSpan w:val="4"/>
            <w:noWrap w:val="0"/>
            <w:vAlign w:val="center"/>
          </w:tcPr>
          <w:p>
            <w:pPr>
              <w:pStyle w:val="3"/>
              <w:rPr>
                <w:color w:val="auto"/>
                <w:highlight w:val="none"/>
              </w:rPr>
            </w:pPr>
            <w:r>
              <w:rPr>
                <w:color w:val="auto"/>
                <w:highlight w:val="none"/>
              </w:rPr>
              <w:t>1、</w:t>
            </w:r>
            <w:r>
              <w:rPr>
                <w:rFonts w:hint="eastAsia"/>
                <w:color w:val="auto"/>
                <w:highlight w:val="none"/>
                <w:lang w:val="en-US" w:eastAsia="zh-CN"/>
              </w:rPr>
              <w:t>产业政策</w:t>
            </w:r>
            <w:r>
              <w:rPr>
                <w:color w:val="auto"/>
                <w:highlight w:val="none"/>
              </w:rPr>
              <w:t>符合性分析</w:t>
            </w:r>
          </w:p>
          <w:p>
            <w:pPr>
              <w:pStyle w:val="98"/>
              <w:ind w:firstLine="480"/>
              <w:rPr>
                <w:color w:val="auto"/>
                <w:highlight w:val="none"/>
              </w:rPr>
            </w:pPr>
            <w:r>
              <w:rPr>
                <w:color w:val="auto"/>
                <w:highlight w:val="none"/>
              </w:rPr>
              <w:t>本项目</w:t>
            </w:r>
            <w:r>
              <w:rPr>
                <w:rFonts w:hint="eastAsia"/>
                <w:color w:val="auto"/>
                <w:highlight w:val="none"/>
                <w:lang w:val="en-US" w:eastAsia="zh-CN"/>
              </w:rPr>
              <w:t>利用宁德核电场地平整富余渣料进行砂石的生产</w:t>
            </w:r>
            <w:r>
              <w:rPr>
                <w:color w:val="auto"/>
                <w:highlight w:val="none"/>
              </w:rPr>
              <w:t>，根据国家发展和改革委员会第29号令《产业结构调整指导目录(2019年本)》，项目属于鼓励类中“四十三、环境保护与资源节约综合利用--25、尾矿、废渣等资源综合利用”。本项目于202</w:t>
            </w:r>
            <w:r>
              <w:rPr>
                <w:rFonts w:hint="eastAsia"/>
                <w:color w:val="auto"/>
                <w:highlight w:val="none"/>
                <w:lang w:val="en-US" w:eastAsia="zh-CN"/>
              </w:rPr>
              <w:t>3</w:t>
            </w:r>
            <w:r>
              <w:rPr>
                <w:color w:val="auto"/>
                <w:highlight w:val="none"/>
              </w:rPr>
              <w:t>年</w:t>
            </w:r>
            <w:r>
              <w:rPr>
                <w:rFonts w:hint="eastAsia"/>
                <w:color w:val="auto"/>
                <w:highlight w:val="none"/>
                <w:lang w:val="en-US" w:eastAsia="zh-CN"/>
              </w:rPr>
              <w:t>2</w:t>
            </w:r>
            <w:r>
              <w:rPr>
                <w:color w:val="auto"/>
                <w:highlight w:val="none"/>
              </w:rPr>
              <w:t>月</w:t>
            </w:r>
            <w:r>
              <w:rPr>
                <w:rFonts w:hint="eastAsia"/>
                <w:color w:val="auto"/>
                <w:highlight w:val="none"/>
                <w:lang w:val="en-US" w:eastAsia="zh-CN"/>
              </w:rPr>
              <w:t>10</w:t>
            </w:r>
            <w:r>
              <w:rPr>
                <w:color w:val="auto"/>
                <w:highlight w:val="none"/>
              </w:rPr>
              <w:t>日取得</w:t>
            </w:r>
            <w:r>
              <w:rPr>
                <w:rFonts w:hint="eastAsia"/>
                <w:color w:val="auto"/>
                <w:highlight w:val="none"/>
                <w:lang w:val="en-US" w:eastAsia="zh-CN"/>
              </w:rPr>
              <w:t>福鼎市发展和改革局</w:t>
            </w:r>
            <w:r>
              <w:rPr>
                <w:color w:val="auto"/>
                <w:highlight w:val="none"/>
              </w:rPr>
              <w:t>出具的《福建省企业投资项目备案表》(闽</w:t>
            </w:r>
            <w:r>
              <w:rPr>
                <w:rFonts w:hint="eastAsia"/>
                <w:color w:val="auto"/>
                <w:highlight w:val="none"/>
                <w:lang w:val="en-US" w:eastAsia="zh-CN"/>
              </w:rPr>
              <w:t>发改</w:t>
            </w:r>
            <w:r>
              <w:rPr>
                <w:color w:val="auto"/>
                <w:highlight w:val="none"/>
              </w:rPr>
              <w:t>备[202</w:t>
            </w:r>
            <w:r>
              <w:rPr>
                <w:rFonts w:hint="eastAsia"/>
                <w:color w:val="auto"/>
                <w:highlight w:val="none"/>
                <w:lang w:val="en-US" w:eastAsia="zh-CN"/>
              </w:rPr>
              <w:t>3</w:t>
            </w:r>
            <w:r>
              <w:rPr>
                <w:color w:val="auto"/>
                <w:highlight w:val="none"/>
              </w:rPr>
              <w:t>]J030003号)。因此，本项目建设符合国家和地方的产业政策要求。</w:t>
            </w:r>
          </w:p>
          <w:p>
            <w:pPr>
              <w:pStyle w:val="3"/>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w:t>
            </w:r>
            <w:r>
              <w:rPr>
                <w:rFonts w:hint="default" w:ascii="Times New Roman" w:hAnsi="Times New Roman" w:eastAsia="宋体" w:cs="Times New Roman"/>
                <w:color w:val="auto"/>
                <w:highlight w:val="none"/>
                <w:lang w:val="en-US" w:eastAsia="zh-CN"/>
              </w:rPr>
              <w:t>与《福建省机制砂行业企业规范》的符合性分析</w:t>
            </w:r>
          </w:p>
          <w:p>
            <w:pPr>
              <w:pStyle w:val="98"/>
              <w:ind w:firstLine="480"/>
              <w:rPr>
                <w:rFonts w:hint="eastAsia"/>
                <w:color w:val="auto"/>
                <w:highlight w:val="none"/>
              </w:rPr>
            </w:pPr>
            <w:r>
              <w:rPr>
                <w:rFonts w:hint="eastAsia"/>
                <w:color w:val="auto"/>
                <w:highlight w:val="none"/>
              </w:rPr>
              <w:t>根据福建省工业和信息化厅福建省住房和城乡建设厅关于印发《福建省机制砂行业企业规范》的通知（闽工信联法规﹝2021﹞92号）</w:t>
            </w:r>
            <w:r>
              <w:rPr>
                <w:rFonts w:hint="eastAsia"/>
                <w:color w:val="auto"/>
                <w:highlight w:val="none"/>
                <w:lang w:val="en-US" w:eastAsia="zh-CN"/>
              </w:rPr>
              <w:t>要求</w:t>
            </w:r>
            <w:r>
              <w:rPr>
                <w:rFonts w:hint="eastAsia"/>
                <w:color w:val="auto"/>
                <w:highlight w:val="none"/>
              </w:rPr>
              <w:t>，本项目与《福建省机制砂行业企业规范》的符合性分析如下表：</w:t>
            </w:r>
          </w:p>
          <w:p>
            <w:pPr>
              <w:pStyle w:val="98"/>
              <w:ind w:firstLine="480"/>
              <w:rPr>
                <w:rFonts w:hint="eastAsia"/>
                <w:color w:val="auto"/>
                <w:highlight w:val="none"/>
              </w:rPr>
            </w:pPr>
          </w:p>
          <w:p>
            <w:pPr>
              <w:pStyle w:val="57"/>
              <w:rPr>
                <w:rFonts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lang w:val="en-US" w:eastAsia="zh-CN"/>
              </w:rPr>
              <w:t>项</w:t>
            </w:r>
            <w:r>
              <w:rPr>
                <w:rFonts w:hint="default" w:ascii="Times New Roman" w:hAnsi="Times New Roman" w:eastAsia="宋体" w:cs="Times New Roman"/>
                <w:color w:val="auto"/>
                <w:kern w:val="0"/>
                <w:sz w:val="24"/>
                <w:highlight w:val="none"/>
              </w:rPr>
              <w:t>目与《福建省机制砂行业企业规范》的符合性</w:t>
            </w:r>
            <w:r>
              <w:rPr>
                <w:rFonts w:ascii="Times New Roman" w:hAnsi="Times New Roman" w:eastAsia="宋体" w:cs="Times New Roman"/>
                <w:color w:val="auto"/>
                <w:kern w:val="0"/>
                <w:sz w:val="24"/>
                <w:highlight w:val="none"/>
              </w:rPr>
              <w:t>分析</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83"/>
              <w:gridCol w:w="3362"/>
              <w:gridCol w:w="2270"/>
              <w:gridCol w:w="7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745" w:type="dxa"/>
                  <w:gridSpan w:val="2"/>
                  <w:noWrap w:val="0"/>
                  <w:vAlign w:val="center"/>
                </w:tcPr>
                <w:p>
                  <w:pPr>
                    <w:autoSpaceDE w:val="0"/>
                    <w:autoSpaceDN w:val="0"/>
                    <w:adjustRightInd w:val="0"/>
                    <w:snapToGrid w:val="0"/>
                    <w:jc w:val="center"/>
                    <w:rPr>
                      <w:bCs/>
                      <w:color w:val="auto"/>
                      <w:szCs w:val="21"/>
                      <w:highlight w:val="none"/>
                    </w:rPr>
                  </w:pPr>
                  <w:r>
                    <w:rPr>
                      <w:rFonts w:hint="eastAsia"/>
                      <w:bCs/>
                      <w:color w:val="auto"/>
                      <w:szCs w:val="21"/>
                      <w:highlight w:val="none"/>
                    </w:rPr>
                    <w:t>规范</w:t>
                  </w:r>
                  <w:r>
                    <w:rPr>
                      <w:bCs/>
                      <w:color w:val="auto"/>
                      <w:szCs w:val="21"/>
                      <w:highlight w:val="none"/>
                    </w:rPr>
                    <w:t>要求</w:t>
                  </w:r>
                </w:p>
              </w:tc>
              <w:tc>
                <w:tcPr>
                  <w:tcW w:w="2270" w:type="dxa"/>
                  <w:noWrap w:val="0"/>
                  <w:vAlign w:val="center"/>
                </w:tcPr>
                <w:p>
                  <w:pPr>
                    <w:autoSpaceDE w:val="0"/>
                    <w:autoSpaceDN w:val="0"/>
                    <w:adjustRightInd w:val="0"/>
                    <w:snapToGrid w:val="0"/>
                    <w:jc w:val="center"/>
                    <w:rPr>
                      <w:bCs/>
                      <w:color w:val="auto"/>
                      <w:szCs w:val="21"/>
                      <w:highlight w:val="none"/>
                    </w:rPr>
                  </w:pPr>
                  <w:r>
                    <w:rPr>
                      <w:bCs/>
                      <w:color w:val="auto"/>
                      <w:szCs w:val="21"/>
                      <w:highlight w:val="none"/>
                    </w:rPr>
                    <w:t>项目现状</w:t>
                  </w:r>
                </w:p>
              </w:tc>
              <w:tc>
                <w:tcPr>
                  <w:tcW w:w="787" w:type="dxa"/>
                  <w:noWrap w:val="0"/>
                  <w:vAlign w:val="center"/>
                </w:tcPr>
                <w:p>
                  <w:pPr>
                    <w:autoSpaceDE w:val="0"/>
                    <w:autoSpaceDN w:val="0"/>
                    <w:adjustRightInd w:val="0"/>
                    <w:snapToGrid w:val="0"/>
                    <w:jc w:val="center"/>
                    <w:rPr>
                      <w:bCs/>
                      <w:color w:val="auto"/>
                      <w:szCs w:val="21"/>
                      <w:highlight w:val="none"/>
                    </w:rPr>
                  </w:pPr>
                  <w:r>
                    <w:rPr>
                      <w:bCs/>
                      <w:color w:val="auto"/>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83" w:type="dxa"/>
                  <w:vMerge w:val="restart"/>
                  <w:noWrap w:val="0"/>
                  <w:vAlign w:val="center"/>
                </w:tcPr>
                <w:p>
                  <w:pPr>
                    <w:autoSpaceDE w:val="0"/>
                    <w:autoSpaceDN w:val="0"/>
                    <w:adjustRightInd w:val="0"/>
                    <w:snapToGrid w:val="0"/>
                    <w:jc w:val="center"/>
                    <w:rPr>
                      <w:bCs/>
                      <w:color w:val="auto"/>
                      <w:szCs w:val="21"/>
                      <w:highlight w:val="none"/>
                    </w:rPr>
                  </w:pPr>
                  <w:r>
                    <w:rPr>
                      <w:rFonts w:hint="eastAsia"/>
                      <w:bCs/>
                      <w:color w:val="auto"/>
                      <w:szCs w:val="21"/>
                      <w:highlight w:val="none"/>
                    </w:rPr>
                    <w:t>规划与规模</w:t>
                  </w:r>
                </w:p>
              </w:tc>
              <w:tc>
                <w:tcPr>
                  <w:tcW w:w="3362" w:type="dxa"/>
                  <w:noWrap w:val="0"/>
                  <w:vAlign w:val="center"/>
                </w:tcPr>
                <w:p>
                  <w:pPr>
                    <w:autoSpaceDE w:val="0"/>
                    <w:autoSpaceDN w:val="0"/>
                    <w:adjustRightInd w:val="0"/>
                    <w:snapToGrid w:val="0"/>
                    <w:jc w:val="center"/>
                    <w:rPr>
                      <w:bCs/>
                      <w:color w:val="auto"/>
                      <w:szCs w:val="21"/>
                      <w:highlight w:val="none"/>
                    </w:rPr>
                  </w:pPr>
                  <w:r>
                    <w:rPr>
                      <w:rFonts w:hint="eastAsia"/>
                      <w:bCs/>
                      <w:color w:val="auto"/>
                      <w:szCs w:val="21"/>
                      <w:highlight w:val="none"/>
                    </w:rPr>
                    <w:t>机制砂项目应符合国家产业政策和当地产业政策、主体功能区规划、矿产资源规划等总体规划要求，以及省和当地行业发展计划方案要求。企业应当具备项目建设备案、统一信用代码证、项目土地审批或使用权证（协议）、环境影响评价报告、排污许可证、安全标准化证书（或安全预评价报告）等相关证照或审批文件；机制砂企业配套矿山的，应依法取得采矿许可证、安全生产许可证。</w:t>
                  </w:r>
                </w:p>
              </w:tc>
              <w:tc>
                <w:tcPr>
                  <w:tcW w:w="2270" w:type="dxa"/>
                  <w:noWrap w:val="0"/>
                  <w:vAlign w:val="center"/>
                </w:tcPr>
                <w:p>
                  <w:pPr>
                    <w:autoSpaceDE w:val="0"/>
                    <w:autoSpaceDN w:val="0"/>
                    <w:adjustRightInd w:val="0"/>
                    <w:snapToGrid w:val="0"/>
                    <w:jc w:val="center"/>
                    <w:rPr>
                      <w:bCs/>
                      <w:color w:val="auto"/>
                      <w:szCs w:val="21"/>
                      <w:highlight w:val="none"/>
                    </w:rPr>
                  </w:pPr>
                  <w:r>
                    <w:rPr>
                      <w:rFonts w:hint="eastAsia"/>
                      <w:bCs/>
                      <w:color w:val="auto"/>
                      <w:szCs w:val="21"/>
                      <w:highlight w:val="none"/>
                    </w:rPr>
                    <w:t>本项目符合国家产业政策和当地产业政策、主体功能区规划等总体规划要求，以及省和当地行业发展计划方案要求。建设单位已完成建设项目备案，具备统一信用代码证及用地</w:t>
                  </w:r>
                  <w:r>
                    <w:rPr>
                      <w:rFonts w:hint="eastAsia"/>
                      <w:bCs/>
                      <w:color w:val="auto"/>
                      <w:szCs w:val="21"/>
                      <w:highlight w:val="none"/>
                      <w:lang w:val="en-US" w:eastAsia="zh-CN"/>
                    </w:rPr>
                    <w:t>租赁协议，用地性质符合规划</w:t>
                  </w:r>
                  <w:r>
                    <w:rPr>
                      <w:rFonts w:hint="eastAsia"/>
                      <w:bCs/>
                      <w:color w:val="auto"/>
                      <w:szCs w:val="21"/>
                      <w:highlight w:val="none"/>
                    </w:rPr>
                    <w:t>。</w:t>
                  </w:r>
                </w:p>
              </w:tc>
              <w:tc>
                <w:tcPr>
                  <w:tcW w:w="787" w:type="dxa"/>
                  <w:noWrap w:val="0"/>
                  <w:vAlign w:val="center"/>
                </w:tcPr>
                <w:p>
                  <w:pPr>
                    <w:autoSpaceDE w:val="0"/>
                    <w:autoSpaceDN w:val="0"/>
                    <w:adjustRightInd w:val="0"/>
                    <w:snapToGrid w:val="0"/>
                    <w:jc w:val="center"/>
                    <w:rPr>
                      <w:bCs/>
                      <w:color w:val="auto"/>
                      <w:szCs w:val="21"/>
                      <w:highlight w:val="none"/>
                    </w:rPr>
                  </w:pPr>
                  <w:r>
                    <w:rPr>
                      <w:bCs/>
                      <w:color w:val="auto"/>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83" w:type="dxa"/>
                  <w:vMerge w:val="continue"/>
                  <w:noWrap w:val="0"/>
                  <w:vAlign w:val="center"/>
                </w:tcPr>
                <w:p>
                  <w:pPr>
                    <w:autoSpaceDE w:val="0"/>
                    <w:autoSpaceDN w:val="0"/>
                    <w:adjustRightInd w:val="0"/>
                    <w:snapToGrid w:val="0"/>
                    <w:jc w:val="center"/>
                    <w:rPr>
                      <w:rFonts w:hint="eastAsia"/>
                      <w:bCs/>
                      <w:color w:val="auto"/>
                      <w:szCs w:val="21"/>
                      <w:highlight w:val="none"/>
                    </w:rPr>
                  </w:pPr>
                </w:p>
              </w:tc>
              <w:tc>
                <w:tcPr>
                  <w:tcW w:w="3362" w:type="dxa"/>
                  <w:noWrap w:val="0"/>
                  <w:vAlign w:val="center"/>
                </w:tcPr>
                <w:p>
                  <w:pPr>
                    <w:autoSpaceDE w:val="0"/>
                    <w:autoSpaceDN w:val="0"/>
                    <w:adjustRightInd w:val="0"/>
                    <w:snapToGrid w:val="0"/>
                    <w:jc w:val="center"/>
                    <w:rPr>
                      <w:rFonts w:hint="eastAsia"/>
                      <w:bCs/>
                      <w:color w:val="auto"/>
                      <w:szCs w:val="21"/>
                      <w:highlight w:val="none"/>
                    </w:rPr>
                  </w:pPr>
                  <w:r>
                    <w:rPr>
                      <w:rFonts w:hint="eastAsia"/>
                      <w:bCs/>
                      <w:color w:val="auto"/>
                      <w:szCs w:val="21"/>
                      <w:highlight w:val="none"/>
                    </w:rPr>
                    <w:t>配套矿山资源的新建、改建机制砂项目生产规模原则上不低于100万吨/年；综合利用尾矿、废石、工业和建筑等废弃物为原料来源的机制砂项目生产规模原则上不低于50万吨/年。</w:t>
                  </w:r>
                </w:p>
              </w:tc>
              <w:tc>
                <w:tcPr>
                  <w:tcW w:w="2270" w:type="dxa"/>
                  <w:noWrap w:val="0"/>
                  <w:vAlign w:val="center"/>
                </w:tcPr>
                <w:p>
                  <w:pPr>
                    <w:autoSpaceDE w:val="0"/>
                    <w:autoSpaceDN w:val="0"/>
                    <w:adjustRightInd w:val="0"/>
                    <w:snapToGrid w:val="0"/>
                    <w:jc w:val="center"/>
                    <w:rPr>
                      <w:rFonts w:hint="eastAsia"/>
                      <w:bCs/>
                      <w:color w:val="auto"/>
                      <w:szCs w:val="21"/>
                      <w:highlight w:val="none"/>
                    </w:rPr>
                  </w:pPr>
                  <w:r>
                    <w:rPr>
                      <w:rFonts w:hint="eastAsia"/>
                      <w:bCs/>
                      <w:color w:val="auto"/>
                      <w:szCs w:val="21"/>
                      <w:highlight w:val="none"/>
                      <w:lang w:val="en-US" w:eastAsia="zh-CN"/>
                    </w:rPr>
                    <w:t>本</w:t>
                  </w:r>
                  <w:r>
                    <w:rPr>
                      <w:rFonts w:hint="eastAsia"/>
                      <w:bCs/>
                      <w:color w:val="auto"/>
                      <w:szCs w:val="21"/>
                      <w:highlight w:val="none"/>
                    </w:rPr>
                    <w:t>项目年产</w:t>
                  </w:r>
                  <w:r>
                    <w:rPr>
                      <w:rFonts w:hint="eastAsia"/>
                      <w:bCs/>
                      <w:color w:val="auto"/>
                      <w:szCs w:val="21"/>
                      <w:highlight w:val="none"/>
                      <w:lang w:val="en-US" w:eastAsia="zh-CN"/>
                    </w:rPr>
                    <w:t>砂石63.6万吨/年，</w:t>
                  </w:r>
                  <w:r>
                    <w:rPr>
                      <w:rFonts w:hint="eastAsia"/>
                      <w:bCs/>
                      <w:color w:val="auto"/>
                      <w:szCs w:val="21"/>
                      <w:highlight w:val="none"/>
                    </w:rPr>
                    <w:t>项目机制砂产能满足《福建省机制砂行业企业规范》最低准入要求，符合产业政策。</w:t>
                  </w:r>
                </w:p>
              </w:tc>
              <w:tc>
                <w:tcPr>
                  <w:tcW w:w="787" w:type="dxa"/>
                  <w:noWrap w:val="0"/>
                  <w:vAlign w:val="center"/>
                </w:tcPr>
                <w:p>
                  <w:pPr>
                    <w:autoSpaceDE w:val="0"/>
                    <w:autoSpaceDN w:val="0"/>
                    <w:adjustRightInd w:val="0"/>
                    <w:snapToGrid w:val="0"/>
                    <w:jc w:val="center"/>
                    <w:rPr>
                      <w:bCs/>
                      <w:color w:val="auto"/>
                      <w:szCs w:val="21"/>
                      <w:highlight w:val="none"/>
                    </w:rPr>
                  </w:pPr>
                  <w:r>
                    <w:rPr>
                      <w:bCs/>
                      <w:color w:val="auto"/>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83" w:type="dxa"/>
                  <w:vMerge w:val="restart"/>
                  <w:noWrap w:val="0"/>
                  <w:vAlign w:val="center"/>
                </w:tcPr>
                <w:p>
                  <w:pPr>
                    <w:autoSpaceDE w:val="0"/>
                    <w:autoSpaceDN w:val="0"/>
                    <w:adjustRightInd w:val="0"/>
                    <w:snapToGrid w:val="0"/>
                    <w:jc w:val="center"/>
                    <w:rPr>
                      <w:rFonts w:hint="eastAsia"/>
                      <w:bCs/>
                      <w:color w:val="auto"/>
                      <w:szCs w:val="21"/>
                      <w:highlight w:val="none"/>
                    </w:rPr>
                  </w:pPr>
                  <w:r>
                    <w:rPr>
                      <w:rFonts w:hint="eastAsia"/>
                      <w:bCs/>
                      <w:color w:val="auto"/>
                      <w:szCs w:val="21"/>
                      <w:highlight w:val="none"/>
                    </w:rPr>
                    <w:t>工艺与装备</w:t>
                  </w:r>
                </w:p>
              </w:tc>
              <w:tc>
                <w:tcPr>
                  <w:tcW w:w="3362" w:type="dxa"/>
                  <w:noWrap w:val="0"/>
                  <w:vAlign w:val="center"/>
                </w:tcPr>
                <w:p>
                  <w:pPr>
                    <w:autoSpaceDE w:val="0"/>
                    <w:autoSpaceDN w:val="0"/>
                    <w:adjustRightInd w:val="0"/>
                    <w:snapToGrid w:val="0"/>
                    <w:jc w:val="center"/>
                    <w:rPr>
                      <w:rFonts w:hint="eastAsia"/>
                      <w:bCs/>
                      <w:color w:val="auto"/>
                      <w:szCs w:val="21"/>
                      <w:highlight w:val="none"/>
                    </w:rPr>
                  </w:pPr>
                  <w:r>
                    <w:rPr>
                      <w:rFonts w:hint="eastAsia"/>
                      <w:bCs/>
                      <w:color w:val="auto"/>
                      <w:szCs w:val="21"/>
                      <w:highlight w:val="none"/>
                    </w:rPr>
                    <w:t>机制砂企业设计应达到《机制砂石骨料工厂设计规范》（GB51186）要求，生产运行应达到《机制砂石生产技术规程》（JC/T2299）要求。</w:t>
                  </w:r>
                </w:p>
              </w:tc>
              <w:tc>
                <w:tcPr>
                  <w:tcW w:w="2270" w:type="dxa"/>
                  <w:noWrap w:val="0"/>
                  <w:vAlign w:val="center"/>
                </w:tcPr>
                <w:p>
                  <w:pPr>
                    <w:autoSpaceDE w:val="0"/>
                    <w:autoSpaceDN w:val="0"/>
                    <w:adjustRightInd w:val="0"/>
                    <w:snapToGrid w:val="0"/>
                    <w:jc w:val="center"/>
                    <w:rPr>
                      <w:rFonts w:hint="eastAsia"/>
                      <w:bCs/>
                      <w:color w:val="auto"/>
                      <w:szCs w:val="21"/>
                      <w:highlight w:val="none"/>
                    </w:rPr>
                  </w:pPr>
                  <w:r>
                    <w:rPr>
                      <w:rFonts w:hint="eastAsia"/>
                      <w:bCs/>
                      <w:color w:val="auto"/>
                      <w:szCs w:val="21"/>
                      <w:highlight w:val="none"/>
                    </w:rPr>
                    <w:t>项目生产线均按照《机制砂石骨料工厂设计规范》（GB51186）要求进行设计，生产运行技术均严格按照《机制砂石生产技术规程》（JC/T2299）执行。</w:t>
                  </w:r>
                </w:p>
              </w:tc>
              <w:tc>
                <w:tcPr>
                  <w:tcW w:w="787" w:type="dxa"/>
                  <w:noWrap w:val="0"/>
                  <w:vAlign w:val="center"/>
                </w:tcPr>
                <w:p>
                  <w:pPr>
                    <w:autoSpaceDE w:val="0"/>
                    <w:autoSpaceDN w:val="0"/>
                    <w:adjustRightInd w:val="0"/>
                    <w:snapToGrid w:val="0"/>
                    <w:jc w:val="center"/>
                    <w:rPr>
                      <w:bCs/>
                      <w:color w:val="auto"/>
                      <w:szCs w:val="21"/>
                      <w:highlight w:val="none"/>
                    </w:rPr>
                  </w:pPr>
                  <w:r>
                    <w:rPr>
                      <w:bCs/>
                      <w:color w:val="auto"/>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83" w:type="dxa"/>
                  <w:vMerge w:val="continue"/>
                  <w:noWrap w:val="0"/>
                  <w:vAlign w:val="center"/>
                </w:tcPr>
                <w:p>
                  <w:pPr>
                    <w:autoSpaceDE w:val="0"/>
                    <w:autoSpaceDN w:val="0"/>
                    <w:adjustRightInd w:val="0"/>
                    <w:snapToGrid w:val="0"/>
                    <w:jc w:val="center"/>
                    <w:rPr>
                      <w:rFonts w:hint="eastAsia"/>
                      <w:bCs/>
                      <w:color w:val="auto"/>
                      <w:szCs w:val="21"/>
                      <w:highlight w:val="none"/>
                    </w:rPr>
                  </w:pPr>
                </w:p>
              </w:tc>
              <w:tc>
                <w:tcPr>
                  <w:tcW w:w="3362" w:type="dxa"/>
                  <w:noWrap w:val="0"/>
                  <w:vAlign w:val="center"/>
                </w:tcPr>
                <w:p>
                  <w:pPr>
                    <w:autoSpaceDE w:val="0"/>
                    <w:autoSpaceDN w:val="0"/>
                    <w:adjustRightInd w:val="0"/>
                    <w:snapToGrid w:val="0"/>
                    <w:jc w:val="center"/>
                    <w:rPr>
                      <w:rFonts w:hint="eastAsia"/>
                      <w:bCs/>
                      <w:color w:val="auto"/>
                      <w:szCs w:val="21"/>
                      <w:highlight w:val="none"/>
                    </w:rPr>
                  </w:pPr>
                  <w:r>
                    <w:rPr>
                      <w:rFonts w:hint="eastAsia"/>
                      <w:bCs/>
                      <w:color w:val="auto"/>
                      <w:szCs w:val="21"/>
                      <w:highlight w:val="none"/>
                    </w:rPr>
                    <w:t>新建项目不得使用限制和淘汰的工艺设备，鼓励采用干法生产工艺。现有项目必须淘汰落后的工艺设备。</w:t>
                  </w:r>
                </w:p>
              </w:tc>
              <w:tc>
                <w:tcPr>
                  <w:tcW w:w="2270" w:type="dxa"/>
                  <w:noWrap w:val="0"/>
                  <w:vAlign w:val="center"/>
                </w:tcPr>
                <w:p>
                  <w:pPr>
                    <w:autoSpaceDE w:val="0"/>
                    <w:autoSpaceDN w:val="0"/>
                    <w:adjustRightInd w:val="0"/>
                    <w:snapToGrid w:val="0"/>
                    <w:jc w:val="center"/>
                    <w:rPr>
                      <w:rFonts w:hint="eastAsia"/>
                      <w:bCs/>
                      <w:color w:val="auto"/>
                      <w:szCs w:val="21"/>
                      <w:highlight w:val="none"/>
                    </w:rPr>
                  </w:pPr>
                  <w:r>
                    <w:rPr>
                      <w:rFonts w:hint="eastAsia"/>
                      <w:bCs/>
                      <w:color w:val="auto"/>
                      <w:szCs w:val="21"/>
                      <w:highlight w:val="none"/>
                    </w:rPr>
                    <w:t>项目使用的生产设备不涉及限制和淘汰的工艺设备。</w:t>
                  </w:r>
                </w:p>
              </w:tc>
              <w:tc>
                <w:tcPr>
                  <w:tcW w:w="787" w:type="dxa"/>
                  <w:noWrap w:val="0"/>
                  <w:vAlign w:val="center"/>
                </w:tcPr>
                <w:p>
                  <w:pPr>
                    <w:autoSpaceDE w:val="0"/>
                    <w:autoSpaceDN w:val="0"/>
                    <w:adjustRightInd w:val="0"/>
                    <w:snapToGrid w:val="0"/>
                    <w:jc w:val="center"/>
                    <w:rPr>
                      <w:bCs/>
                      <w:color w:val="auto"/>
                      <w:szCs w:val="21"/>
                      <w:highlight w:val="none"/>
                    </w:rPr>
                  </w:pPr>
                  <w:r>
                    <w:rPr>
                      <w:bCs/>
                      <w:color w:val="auto"/>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83" w:type="dxa"/>
                  <w:vMerge w:val="continue"/>
                  <w:noWrap w:val="0"/>
                  <w:vAlign w:val="center"/>
                </w:tcPr>
                <w:p>
                  <w:pPr>
                    <w:autoSpaceDE w:val="0"/>
                    <w:autoSpaceDN w:val="0"/>
                    <w:adjustRightInd w:val="0"/>
                    <w:snapToGrid w:val="0"/>
                    <w:jc w:val="center"/>
                    <w:rPr>
                      <w:rFonts w:hint="eastAsia"/>
                      <w:bCs/>
                      <w:color w:val="auto"/>
                      <w:szCs w:val="21"/>
                      <w:highlight w:val="none"/>
                    </w:rPr>
                  </w:pPr>
                </w:p>
              </w:tc>
              <w:tc>
                <w:tcPr>
                  <w:tcW w:w="3362" w:type="dxa"/>
                  <w:noWrap w:val="0"/>
                  <w:vAlign w:val="center"/>
                </w:tcPr>
                <w:p>
                  <w:pPr>
                    <w:autoSpaceDE w:val="0"/>
                    <w:autoSpaceDN w:val="0"/>
                    <w:adjustRightInd w:val="0"/>
                    <w:snapToGrid w:val="0"/>
                    <w:jc w:val="center"/>
                    <w:rPr>
                      <w:rFonts w:hint="eastAsia"/>
                      <w:bCs/>
                      <w:color w:val="auto"/>
                      <w:szCs w:val="21"/>
                      <w:highlight w:val="none"/>
                    </w:rPr>
                  </w:pPr>
                  <w:r>
                    <w:rPr>
                      <w:rFonts w:hint="eastAsia"/>
                      <w:bCs/>
                      <w:color w:val="auto"/>
                      <w:szCs w:val="21"/>
                      <w:highlight w:val="none"/>
                    </w:rPr>
                    <w:t>生产设备的配置应与生产规模相适应，满足机制砂生产工艺要求，优先选用大型设备，减少设备台数，降低总装机功率。物料输送应采用带式输送机。</w:t>
                  </w:r>
                </w:p>
              </w:tc>
              <w:tc>
                <w:tcPr>
                  <w:tcW w:w="2270" w:type="dxa"/>
                  <w:noWrap w:val="0"/>
                  <w:vAlign w:val="center"/>
                </w:tcPr>
                <w:p>
                  <w:pPr>
                    <w:autoSpaceDE w:val="0"/>
                    <w:autoSpaceDN w:val="0"/>
                    <w:adjustRightInd w:val="0"/>
                    <w:snapToGrid w:val="0"/>
                    <w:jc w:val="center"/>
                    <w:rPr>
                      <w:rFonts w:hint="eastAsia"/>
                      <w:bCs/>
                      <w:color w:val="auto"/>
                      <w:szCs w:val="21"/>
                      <w:highlight w:val="none"/>
                    </w:rPr>
                  </w:pPr>
                  <w:r>
                    <w:rPr>
                      <w:rFonts w:hint="eastAsia"/>
                      <w:bCs/>
                      <w:color w:val="auto"/>
                      <w:szCs w:val="21"/>
                      <w:highlight w:val="none"/>
                    </w:rPr>
                    <w:t>生产设备均按照现有设计产能进行配套，机制砂生产过程物料输送均采用带式输送机。</w:t>
                  </w:r>
                </w:p>
              </w:tc>
              <w:tc>
                <w:tcPr>
                  <w:tcW w:w="787" w:type="dxa"/>
                  <w:noWrap w:val="0"/>
                  <w:vAlign w:val="center"/>
                </w:tcPr>
                <w:p>
                  <w:pPr>
                    <w:autoSpaceDE w:val="0"/>
                    <w:autoSpaceDN w:val="0"/>
                    <w:adjustRightInd w:val="0"/>
                    <w:snapToGrid w:val="0"/>
                    <w:jc w:val="center"/>
                    <w:rPr>
                      <w:bCs/>
                      <w:color w:val="auto"/>
                      <w:szCs w:val="21"/>
                      <w:highlight w:val="none"/>
                    </w:rPr>
                  </w:pPr>
                  <w:r>
                    <w:rPr>
                      <w:bCs/>
                      <w:color w:val="auto"/>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83" w:type="dxa"/>
                  <w:vMerge w:val="continue"/>
                  <w:noWrap w:val="0"/>
                  <w:vAlign w:val="center"/>
                </w:tcPr>
                <w:p>
                  <w:pPr>
                    <w:autoSpaceDE w:val="0"/>
                    <w:autoSpaceDN w:val="0"/>
                    <w:adjustRightInd w:val="0"/>
                    <w:snapToGrid w:val="0"/>
                    <w:jc w:val="center"/>
                    <w:rPr>
                      <w:rFonts w:hint="eastAsia"/>
                      <w:bCs/>
                      <w:color w:val="auto"/>
                      <w:szCs w:val="21"/>
                      <w:highlight w:val="none"/>
                    </w:rPr>
                  </w:pPr>
                </w:p>
              </w:tc>
              <w:tc>
                <w:tcPr>
                  <w:tcW w:w="3362" w:type="dxa"/>
                  <w:noWrap w:val="0"/>
                  <w:vAlign w:val="center"/>
                </w:tcPr>
                <w:p>
                  <w:pPr>
                    <w:autoSpaceDE w:val="0"/>
                    <w:autoSpaceDN w:val="0"/>
                    <w:adjustRightInd w:val="0"/>
                    <w:snapToGrid w:val="0"/>
                    <w:jc w:val="center"/>
                    <w:rPr>
                      <w:rFonts w:hint="eastAsia"/>
                      <w:bCs/>
                      <w:color w:val="auto"/>
                      <w:szCs w:val="21"/>
                      <w:highlight w:val="none"/>
                    </w:rPr>
                  </w:pPr>
                  <w:r>
                    <w:rPr>
                      <w:rFonts w:hint="eastAsia"/>
                      <w:bCs/>
                      <w:color w:val="auto"/>
                      <w:szCs w:val="21"/>
                      <w:highlight w:val="none"/>
                    </w:rPr>
                    <w:t>生产工艺及设备采用先进高效破碎、制砂、筛分和物料连续输送设备，鼓励应用先进可靠、节能、环保、安全、高效的工艺及设备，先进的PLC（可编程控制器）系统生产控制、数字化管理及智能化生产技术。</w:t>
                  </w:r>
                </w:p>
              </w:tc>
              <w:tc>
                <w:tcPr>
                  <w:tcW w:w="2270" w:type="dxa"/>
                  <w:noWrap w:val="0"/>
                  <w:vAlign w:val="center"/>
                </w:tcPr>
                <w:p>
                  <w:pPr>
                    <w:autoSpaceDE w:val="0"/>
                    <w:autoSpaceDN w:val="0"/>
                    <w:adjustRightInd w:val="0"/>
                    <w:snapToGrid w:val="0"/>
                    <w:jc w:val="center"/>
                    <w:rPr>
                      <w:rFonts w:hint="eastAsia"/>
                      <w:color w:val="auto"/>
                      <w:sz w:val="24"/>
                      <w:highlight w:val="none"/>
                    </w:rPr>
                  </w:pPr>
                  <w:r>
                    <w:rPr>
                      <w:rFonts w:hint="eastAsia"/>
                      <w:bCs/>
                      <w:color w:val="auto"/>
                      <w:szCs w:val="21"/>
                      <w:highlight w:val="none"/>
                    </w:rPr>
                    <w:t>生产工艺及设备均采用先进高效破碎、制砂、筛分和物料连续输送设备</w:t>
                  </w:r>
                </w:p>
              </w:tc>
              <w:tc>
                <w:tcPr>
                  <w:tcW w:w="787" w:type="dxa"/>
                  <w:noWrap w:val="0"/>
                  <w:vAlign w:val="center"/>
                </w:tcPr>
                <w:p>
                  <w:pPr>
                    <w:autoSpaceDE w:val="0"/>
                    <w:autoSpaceDN w:val="0"/>
                    <w:adjustRightInd w:val="0"/>
                    <w:snapToGrid w:val="0"/>
                    <w:jc w:val="center"/>
                    <w:rPr>
                      <w:bCs/>
                      <w:color w:val="auto"/>
                      <w:szCs w:val="21"/>
                      <w:highlight w:val="none"/>
                    </w:rPr>
                  </w:pPr>
                  <w:r>
                    <w:rPr>
                      <w:bCs/>
                      <w:color w:val="auto"/>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17" w:hRule="atLeast"/>
                <w:jc w:val="center"/>
              </w:trPr>
              <w:tc>
                <w:tcPr>
                  <w:tcW w:w="383" w:type="dxa"/>
                  <w:vMerge w:val="restart"/>
                  <w:noWrap w:val="0"/>
                  <w:vAlign w:val="center"/>
                </w:tcPr>
                <w:p>
                  <w:pPr>
                    <w:autoSpaceDE w:val="0"/>
                    <w:autoSpaceDN w:val="0"/>
                    <w:adjustRightInd w:val="0"/>
                    <w:snapToGrid w:val="0"/>
                    <w:jc w:val="center"/>
                    <w:rPr>
                      <w:rFonts w:hint="eastAsia"/>
                      <w:bCs/>
                      <w:color w:val="auto"/>
                      <w:szCs w:val="21"/>
                      <w:highlight w:val="none"/>
                    </w:rPr>
                  </w:pPr>
                  <w:r>
                    <w:rPr>
                      <w:rFonts w:hint="eastAsia"/>
                      <w:bCs/>
                      <w:color w:val="auto"/>
                      <w:szCs w:val="21"/>
                      <w:highlight w:val="none"/>
                    </w:rPr>
                    <w:t>生态环境保护</w:t>
                  </w:r>
                </w:p>
              </w:tc>
              <w:tc>
                <w:tcPr>
                  <w:tcW w:w="3362" w:type="dxa"/>
                  <w:noWrap w:val="0"/>
                  <w:vAlign w:val="center"/>
                </w:tcPr>
                <w:p>
                  <w:pPr>
                    <w:autoSpaceDE w:val="0"/>
                    <w:autoSpaceDN w:val="0"/>
                    <w:adjustRightInd w:val="0"/>
                    <w:snapToGrid w:val="0"/>
                    <w:jc w:val="center"/>
                    <w:rPr>
                      <w:rFonts w:hint="eastAsia"/>
                      <w:bCs/>
                      <w:color w:val="auto"/>
                      <w:szCs w:val="21"/>
                      <w:highlight w:val="none"/>
                    </w:rPr>
                  </w:pPr>
                  <w:r>
                    <w:rPr>
                      <w:rFonts w:hint="eastAsia"/>
                      <w:bCs/>
                      <w:color w:val="auto"/>
                      <w:szCs w:val="21"/>
                      <w:highlight w:val="none"/>
                    </w:rPr>
                    <w:t>机制砂工厂应对破碎、筛分及输送等生产环节采取封闭措施；破碎和筛分等工序、原料堆场、成品库（仓）等区域实现厂房全封闭，不得露天作业。</w:t>
                  </w:r>
                </w:p>
              </w:tc>
              <w:tc>
                <w:tcPr>
                  <w:tcW w:w="2270" w:type="dxa"/>
                  <w:noWrap w:val="0"/>
                  <w:vAlign w:val="center"/>
                </w:tcPr>
                <w:p>
                  <w:pPr>
                    <w:autoSpaceDE w:val="0"/>
                    <w:autoSpaceDN w:val="0"/>
                    <w:adjustRightInd w:val="0"/>
                    <w:snapToGrid w:val="0"/>
                    <w:jc w:val="center"/>
                    <w:rPr>
                      <w:rFonts w:hint="default" w:eastAsia="宋体"/>
                      <w:bCs/>
                      <w:color w:val="auto"/>
                      <w:szCs w:val="21"/>
                      <w:highlight w:val="none"/>
                      <w:lang w:val="en-US" w:eastAsia="zh-CN"/>
                    </w:rPr>
                  </w:pPr>
                  <w:r>
                    <w:rPr>
                      <w:rFonts w:hint="eastAsia"/>
                      <w:bCs/>
                      <w:color w:val="auto"/>
                      <w:szCs w:val="21"/>
                      <w:highlight w:val="none"/>
                    </w:rPr>
                    <w:t>破碎、筛分及输送等生产环节均设置在封闭的生产车间内，破碎和筛分等工序实现厂房全封闭，不存在露天作业。</w:t>
                  </w:r>
                  <w:r>
                    <w:rPr>
                      <w:rFonts w:hint="eastAsia"/>
                      <w:bCs/>
                      <w:color w:val="auto"/>
                      <w:szCs w:val="21"/>
                      <w:highlight w:val="none"/>
                      <w:lang w:val="en-US" w:eastAsia="zh-CN"/>
                    </w:rPr>
                    <w:t>原料堆场和成品堆场采取苫布覆盖</w:t>
                  </w:r>
                  <w:r>
                    <w:rPr>
                      <w:rFonts w:hint="eastAsia"/>
                      <w:color w:val="auto"/>
                      <w:highlight w:val="none"/>
                      <w:lang w:eastAsia="zh-CN"/>
                    </w:rPr>
                    <w:t>，</w:t>
                  </w:r>
                  <w:r>
                    <w:rPr>
                      <w:rFonts w:hint="eastAsia" w:cs="Times New Roman"/>
                      <w:color w:val="auto"/>
                      <w:sz w:val="21"/>
                      <w:szCs w:val="21"/>
                      <w:highlight w:val="none"/>
                      <w:lang w:val="en-US" w:eastAsia="zh-CN"/>
                    </w:rPr>
                    <w:t>装卸过程中</w:t>
                  </w:r>
                  <w:r>
                    <w:rPr>
                      <w:rFonts w:hint="eastAsia" w:ascii="Times New Roman" w:hAnsi="Times New Roman" w:cs="Times New Roman"/>
                      <w:color w:val="auto"/>
                      <w:sz w:val="21"/>
                      <w:szCs w:val="21"/>
                      <w:highlight w:val="none"/>
                      <w:lang w:val="en-US" w:eastAsia="zh-CN"/>
                    </w:rPr>
                    <w:t>设置喷淋装置抑尘</w:t>
                  </w:r>
                </w:p>
              </w:tc>
              <w:tc>
                <w:tcPr>
                  <w:tcW w:w="787" w:type="dxa"/>
                  <w:noWrap w:val="0"/>
                  <w:vAlign w:val="center"/>
                </w:tcPr>
                <w:p>
                  <w:pPr>
                    <w:autoSpaceDE w:val="0"/>
                    <w:autoSpaceDN w:val="0"/>
                    <w:adjustRightInd w:val="0"/>
                    <w:snapToGrid w:val="0"/>
                    <w:jc w:val="center"/>
                    <w:rPr>
                      <w:bCs/>
                      <w:color w:val="auto"/>
                      <w:szCs w:val="21"/>
                      <w:highlight w:val="none"/>
                    </w:rPr>
                  </w:pPr>
                  <w:r>
                    <w:rPr>
                      <w:bCs/>
                      <w:color w:val="auto"/>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83" w:type="dxa"/>
                  <w:vMerge w:val="continue"/>
                  <w:noWrap w:val="0"/>
                  <w:vAlign w:val="center"/>
                </w:tcPr>
                <w:p>
                  <w:pPr>
                    <w:autoSpaceDE w:val="0"/>
                    <w:autoSpaceDN w:val="0"/>
                    <w:adjustRightInd w:val="0"/>
                    <w:snapToGrid w:val="0"/>
                    <w:jc w:val="center"/>
                    <w:rPr>
                      <w:rFonts w:hint="eastAsia"/>
                      <w:bCs/>
                      <w:color w:val="auto"/>
                      <w:szCs w:val="21"/>
                      <w:highlight w:val="none"/>
                    </w:rPr>
                  </w:pPr>
                </w:p>
              </w:tc>
              <w:tc>
                <w:tcPr>
                  <w:tcW w:w="3362" w:type="dxa"/>
                  <w:noWrap w:val="0"/>
                  <w:vAlign w:val="center"/>
                </w:tcPr>
                <w:p>
                  <w:pPr>
                    <w:autoSpaceDE w:val="0"/>
                    <w:autoSpaceDN w:val="0"/>
                    <w:adjustRightInd w:val="0"/>
                    <w:snapToGrid w:val="0"/>
                    <w:jc w:val="center"/>
                    <w:rPr>
                      <w:rFonts w:hint="eastAsia"/>
                      <w:bCs/>
                      <w:color w:val="auto"/>
                      <w:szCs w:val="21"/>
                      <w:highlight w:val="none"/>
                    </w:rPr>
                  </w:pPr>
                  <w:r>
                    <w:rPr>
                      <w:rFonts w:hint="eastAsia"/>
                      <w:bCs/>
                      <w:color w:val="auto"/>
                      <w:szCs w:val="21"/>
                      <w:highlight w:val="none"/>
                    </w:rPr>
                    <w:t>机制砂工厂原料、产品应当封闭堆放或采取有效覆盖措施，应对破碎、筛分及输送转运站等扬尘点设置除尘、抑尘、收尘装置，粉尘排放浓度应符合《大气污染物综合排放标准》（GB16297）的有关规定，并满足厂区所在地区的环保要求。</w:t>
                  </w:r>
                </w:p>
              </w:tc>
              <w:tc>
                <w:tcPr>
                  <w:tcW w:w="2270" w:type="dxa"/>
                  <w:noWrap w:val="0"/>
                  <w:vAlign w:val="center"/>
                </w:tcPr>
                <w:p>
                  <w:pPr>
                    <w:autoSpaceDE w:val="0"/>
                    <w:autoSpaceDN w:val="0"/>
                    <w:adjustRightInd w:val="0"/>
                    <w:snapToGrid w:val="0"/>
                    <w:jc w:val="center"/>
                    <w:rPr>
                      <w:rFonts w:hint="eastAsia"/>
                      <w:bCs/>
                      <w:color w:val="auto"/>
                      <w:szCs w:val="21"/>
                      <w:highlight w:val="none"/>
                    </w:rPr>
                  </w:pPr>
                  <w:r>
                    <w:rPr>
                      <w:rFonts w:hint="eastAsia"/>
                      <w:bCs/>
                      <w:color w:val="auto"/>
                      <w:szCs w:val="21"/>
                      <w:highlight w:val="none"/>
                    </w:rPr>
                    <w:t>机制砂原料、产品</w:t>
                  </w:r>
                  <w:r>
                    <w:rPr>
                      <w:rFonts w:hint="eastAsia"/>
                      <w:bCs/>
                      <w:color w:val="auto"/>
                      <w:szCs w:val="21"/>
                      <w:highlight w:val="none"/>
                      <w:lang w:val="en-US" w:eastAsia="zh-CN"/>
                    </w:rPr>
                    <w:t>采用苫布覆盖，苫布裙角固定措施，实现有效覆盖；</w:t>
                  </w:r>
                  <w:r>
                    <w:rPr>
                      <w:rFonts w:hint="eastAsia"/>
                      <w:bCs/>
                      <w:color w:val="auto"/>
                      <w:szCs w:val="21"/>
                      <w:highlight w:val="none"/>
                    </w:rPr>
                    <w:t>破碎、筛分工序均配套</w:t>
                  </w:r>
                  <w:r>
                    <w:rPr>
                      <w:rFonts w:hint="eastAsia"/>
                      <w:bCs/>
                      <w:color w:val="auto"/>
                      <w:szCs w:val="21"/>
                      <w:highlight w:val="none"/>
                      <w:lang w:val="en-US" w:eastAsia="zh-CN"/>
                    </w:rPr>
                    <w:t>有除尘装置；</w:t>
                  </w:r>
                  <w:r>
                    <w:rPr>
                      <w:rFonts w:hint="eastAsia"/>
                      <w:bCs/>
                      <w:color w:val="auto"/>
                      <w:szCs w:val="21"/>
                      <w:highlight w:val="none"/>
                    </w:rPr>
                    <w:t>物料</w:t>
                  </w:r>
                  <w:r>
                    <w:rPr>
                      <w:rFonts w:hint="eastAsia"/>
                      <w:bCs/>
                      <w:color w:val="auto"/>
                      <w:szCs w:val="21"/>
                      <w:highlight w:val="none"/>
                      <w:lang w:val="en-US" w:eastAsia="zh-CN"/>
                    </w:rPr>
                    <w:t>采取密闭</w:t>
                  </w:r>
                  <w:r>
                    <w:rPr>
                      <w:rFonts w:hint="eastAsia"/>
                      <w:bCs/>
                      <w:color w:val="auto"/>
                      <w:szCs w:val="21"/>
                      <w:highlight w:val="none"/>
                    </w:rPr>
                    <w:t>输送</w:t>
                  </w:r>
                  <w:r>
                    <w:rPr>
                      <w:rFonts w:hint="eastAsia"/>
                      <w:bCs/>
                      <w:color w:val="auto"/>
                      <w:szCs w:val="21"/>
                      <w:highlight w:val="none"/>
                      <w:lang w:eastAsia="zh-CN"/>
                    </w:rPr>
                    <w:t>；</w:t>
                  </w:r>
                  <w:r>
                    <w:rPr>
                      <w:rFonts w:hint="eastAsia"/>
                      <w:bCs/>
                      <w:color w:val="auto"/>
                      <w:szCs w:val="21"/>
                      <w:highlight w:val="none"/>
                    </w:rPr>
                    <w:t>粉尘排放均严格执行《大气污染物综合排放标准》（GB16297）的有关规定。</w:t>
                  </w:r>
                </w:p>
              </w:tc>
              <w:tc>
                <w:tcPr>
                  <w:tcW w:w="787" w:type="dxa"/>
                  <w:noWrap w:val="0"/>
                  <w:vAlign w:val="center"/>
                </w:tcPr>
                <w:p>
                  <w:pPr>
                    <w:autoSpaceDE w:val="0"/>
                    <w:autoSpaceDN w:val="0"/>
                    <w:adjustRightInd w:val="0"/>
                    <w:snapToGrid w:val="0"/>
                    <w:jc w:val="center"/>
                    <w:rPr>
                      <w:bCs/>
                      <w:color w:val="auto"/>
                      <w:szCs w:val="21"/>
                      <w:highlight w:val="none"/>
                    </w:rPr>
                  </w:pPr>
                  <w:r>
                    <w:rPr>
                      <w:bCs/>
                      <w:color w:val="auto"/>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83" w:type="dxa"/>
                  <w:vMerge w:val="continue"/>
                  <w:noWrap w:val="0"/>
                  <w:vAlign w:val="center"/>
                </w:tcPr>
                <w:p>
                  <w:pPr>
                    <w:autoSpaceDE w:val="0"/>
                    <w:autoSpaceDN w:val="0"/>
                    <w:adjustRightInd w:val="0"/>
                    <w:snapToGrid w:val="0"/>
                    <w:jc w:val="center"/>
                    <w:rPr>
                      <w:rFonts w:hint="eastAsia"/>
                      <w:bCs/>
                      <w:color w:val="auto"/>
                      <w:szCs w:val="21"/>
                      <w:highlight w:val="none"/>
                    </w:rPr>
                  </w:pPr>
                </w:p>
              </w:tc>
              <w:tc>
                <w:tcPr>
                  <w:tcW w:w="3362" w:type="dxa"/>
                  <w:noWrap w:val="0"/>
                  <w:vAlign w:val="center"/>
                </w:tcPr>
                <w:p>
                  <w:pPr>
                    <w:autoSpaceDE w:val="0"/>
                    <w:autoSpaceDN w:val="0"/>
                    <w:adjustRightInd w:val="0"/>
                    <w:snapToGrid w:val="0"/>
                    <w:jc w:val="center"/>
                    <w:rPr>
                      <w:rFonts w:hint="eastAsia"/>
                      <w:bCs/>
                      <w:color w:val="auto"/>
                      <w:szCs w:val="21"/>
                      <w:highlight w:val="none"/>
                    </w:rPr>
                  </w:pPr>
                  <w:r>
                    <w:rPr>
                      <w:rFonts w:hint="eastAsia"/>
                      <w:bCs/>
                      <w:color w:val="auto"/>
                      <w:szCs w:val="21"/>
                      <w:highlight w:val="none"/>
                    </w:rPr>
                    <w:t>对无组织排放的扬尘场所，应采取喷雾、洒水、封闭等防尘措施。</w:t>
                  </w:r>
                </w:p>
              </w:tc>
              <w:tc>
                <w:tcPr>
                  <w:tcW w:w="2270" w:type="dxa"/>
                  <w:noWrap w:val="0"/>
                  <w:vAlign w:val="center"/>
                </w:tcPr>
                <w:p>
                  <w:pPr>
                    <w:autoSpaceDE w:val="0"/>
                    <w:autoSpaceDN w:val="0"/>
                    <w:adjustRightInd w:val="0"/>
                    <w:snapToGrid w:val="0"/>
                    <w:jc w:val="center"/>
                    <w:rPr>
                      <w:rFonts w:hint="eastAsia"/>
                      <w:bCs/>
                      <w:color w:val="auto"/>
                      <w:szCs w:val="21"/>
                      <w:highlight w:val="none"/>
                    </w:rPr>
                  </w:pPr>
                  <w:r>
                    <w:rPr>
                      <w:rFonts w:hint="eastAsia"/>
                      <w:bCs/>
                      <w:color w:val="auto"/>
                      <w:szCs w:val="21"/>
                      <w:highlight w:val="none"/>
                    </w:rPr>
                    <w:t>原料堆场、机制砂生产等无组织产尘节点均采取洒水</w:t>
                  </w:r>
                  <w:r>
                    <w:rPr>
                      <w:rFonts w:hint="eastAsia"/>
                      <w:bCs/>
                      <w:color w:val="auto"/>
                      <w:szCs w:val="21"/>
                      <w:highlight w:val="none"/>
                      <w:lang w:eastAsia="zh-CN"/>
                    </w:rPr>
                    <w:t>、</w:t>
                  </w:r>
                  <w:r>
                    <w:rPr>
                      <w:rFonts w:hint="eastAsia"/>
                      <w:bCs/>
                      <w:color w:val="auto"/>
                      <w:szCs w:val="21"/>
                      <w:highlight w:val="none"/>
                    </w:rPr>
                    <w:t>封闭</w:t>
                  </w:r>
                  <w:r>
                    <w:rPr>
                      <w:rFonts w:hint="eastAsia"/>
                      <w:bCs/>
                      <w:color w:val="auto"/>
                      <w:szCs w:val="21"/>
                      <w:highlight w:val="none"/>
                      <w:lang w:val="en-US" w:eastAsia="zh-CN"/>
                    </w:rPr>
                    <w:t>或苫布覆盖</w:t>
                  </w:r>
                  <w:r>
                    <w:rPr>
                      <w:rFonts w:hint="eastAsia"/>
                      <w:bCs/>
                      <w:color w:val="auto"/>
                      <w:szCs w:val="21"/>
                      <w:highlight w:val="none"/>
                    </w:rPr>
                    <w:t>等抑尘措施。</w:t>
                  </w:r>
                </w:p>
              </w:tc>
              <w:tc>
                <w:tcPr>
                  <w:tcW w:w="787" w:type="dxa"/>
                  <w:noWrap w:val="0"/>
                  <w:vAlign w:val="center"/>
                </w:tcPr>
                <w:p>
                  <w:pPr>
                    <w:autoSpaceDE w:val="0"/>
                    <w:autoSpaceDN w:val="0"/>
                    <w:adjustRightInd w:val="0"/>
                    <w:snapToGrid w:val="0"/>
                    <w:jc w:val="center"/>
                    <w:rPr>
                      <w:bCs/>
                      <w:color w:val="auto"/>
                      <w:szCs w:val="21"/>
                      <w:highlight w:val="none"/>
                    </w:rPr>
                  </w:pPr>
                  <w:r>
                    <w:rPr>
                      <w:bCs/>
                      <w:color w:val="auto"/>
                      <w:szCs w:val="21"/>
                      <w:highlight w:val="none"/>
                    </w:rPr>
                    <w:t>符合</w:t>
                  </w:r>
                </w:p>
              </w:tc>
            </w:tr>
          </w:tbl>
          <w:p>
            <w:pPr>
              <w:pStyle w:val="3"/>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3、与《福建省保障建设用砂规范发展指导意见》符合性分析</w:t>
            </w:r>
          </w:p>
          <w:p>
            <w:pPr>
              <w:pStyle w:val="98"/>
              <w:ind w:firstLine="480"/>
              <w:rPr>
                <w:rFonts w:hint="eastAsia"/>
                <w:color w:val="auto"/>
                <w:highlight w:val="none"/>
              </w:rPr>
            </w:pPr>
            <w:r>
              <w:rPr>
                <w:rFonts w:hint="eastAsia"/>
                <w:color w:val="auto"/>
                <w:highlight w:val="none"/>
              </w:rPr>
              <w:t>福建省人民政府办公厅转发省住建厅等八部门关于《福建省保障建设用砂规范发展指导意见》的通知（闽政办〔2019〕41号）可知，我省鼓励砂料资源回收利用，鼓励利用废弃矿山生产机制砂，鼓励一般固体垃圾资源化利用。本项目利用</w:t>
            </w:r>
            <w:r>
              <w:rPr>
                <w:rFonts w:hint="eastAsia"/>
                <w:color w:val="auto"/>
                <w:highlight w:val="none"/>
                <w:lang w:val="en-US" w:eastAsia="zh-CN"/>
              </w:rPr>
              <w:t>宁德核电场地平整富余渣料进行机制砂的生产</w:t>
            </w:r>
            <w:r>
              <w:rPr>
                <w:rFonts w:hint="eastAsia"/>
                <w:color w:val="auto"/>
                <w:highlight w:val="none"/>
              </w:rPr>
              <w:t>，符合用砂规范发展指导意见的要求。</w:t>
            </w:r>
          </w:p>
          <w:p>
            <w:pPr>
              <w:pStyle w:val="3"/>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4、选址符合性分析</w:t>
            </w:r>
          </w:p>
          <w:p>
            <w:pPr>
              <w:pStyle w:val="98"/>
              <w:ind w:firstLine="480"/>
              <w:rPr>
                <w:color w:val="auto"/>
                <w:highlight w:val="none"/>
              </w:rPr>
            </w:pPr>
            <w:r>
              <w:rPr>
                <w:rFonts w:hint="eastAsia"/>
                <w:color w:val="auto"/>
                <w:highlight w:val="none"/>
              </w:rPr>
              <w:t>本项目租用福建君德实业开发有限公司位于福鼎市山前街道百胜鸡母岩君德码头预留场地作为项目用地</w:t>
            </w:r>
            <w:r>
              <w:rPr>
                <w:color w:val="auto"/>
                <w:highlight w:val="none"/>
              </w:rPr>
              <w:t>，根据福鼎市自然资源局</w:t>
            </w:r>
            <w:r>
              <w:rPr>
                <w:rFonts w:hint="eastAsia"/>
                <w:color w:val="auto"/>
                <w:highlight w:val="none"/>
              </w:rPr>
              <w:t>复函</w:t>
            </w:r>
            <w:r>
              <w:rPr>
                <w:color w:val="auto"/>
                <w:highlight w:val="none"/>
              </w:rPr>
              <w:t>(</w:t>
            </w:r>
            <w:r>
              <w:rPr>
                <w:rFonts w:hint="eastAsia"/>
                <w:color w:val="auto"/>
                <w:kern w:val="0"/>
                <w:szCs w:val="21"/>
                <w:highlight w:val="none"/>
                <w:lang w:val="en-US" w:eastAsia="zh-CN"/>
              </w:rPr>
              <w:t>附件5：鼎自然资函[2023]44号</w:t>
            </w:r>
            <w:r>
              <w:rPr>
                <w:color w:val="auto"/>
                <w:highlight w:val="none"/>
              </w:rPr>
              <w:t>)</w:t>
            </w:r>
            <w:r>
              <w:rPr>
                <w:rFonts w:hint="eastAsia"/>
                <w:color w:val="auto"/>
                <w:highlight w:val="none"/>
                <w:lang w:eastAsia="zh-CN"/>
              </w:rPr>
              <w:t>，</w:t>
            </w:r>
            <w:r>
              <w:rPr>
                <w:rFonts w:hint="eastAsia"/>
                <w:color w:val="auto"/>
                <w:kern w:val="0"/>
                <w:szCs w:val="21"/>
                <w:highlight w:val="none"/>
                <w:lang w:val="en-US" w:eastAsia="zh-CN"/>
              </w:rPr>
              <w:t>原则同意福鼎市嘉邦建材有限公司与君德码头租赁的场地作为宁德核电 5、6 号机组场地平整工厂富余渣料临时堆放点及临时加工点，为期18个月。建设单位已出具承诺函（附件7），承诺在加工期间如若政府需要使用该地块，建设单位将无条件予以支持配合。</w:t>
            </w:r>
            <w:r>
              <w:rPr>
                <w:color w:val="auto"/>
                <w:highlight w:val="none"/>
              </w:rPr>
              <w:t>因此本项目选址合理。</w:t>
            </w:r>
          </w:p>
          <w:p>
            <w:pPr>
              <w:pStyle w:val="98"/>
              <w:ind w:firstLine="480"/>
              <w:rPr>
                <w:rFonts w:hint="eastAsia"/>
                <w:color w:val="auto"/>
                <w:highlight w:val="none"/>
                <w:lang w:eastAsia="zh-CN"/>
              </w:rPr>
            </w:pPr>
            <w:r>
              <w:rPr>
                <w:rFonts w:hint="eastAsia"/>
                <w:color w:val="auto"/>
                <w:highlight w:val="none"/>
              </w:rPr>
              <w:t>根据现状调查，项目环境现状满足各环境功能区划要求，根据环境影响分析，项目运营投产后，经采取相应的环保措施后能够满足当前功能区环境质量要求。项目选址不属于环境功能区划需要特别保护的区域，符合当地环境功能区划的要求。</w:t>
            </w:r>
          </w:p>
          <w:p>
            <w:pPr>
              <w:pStyle w:val="98"/>
              <w:ind w:firstLine="480"/>
              <w:rPr>
                <w:rFonts w:hint="eastAsia"/>
                <w:color w:val="auto"/>
                <w:highlight w:val="none"/>
                <w:lang w:eastAsia="zh-CN"/>
              </w:rPr>
            </w:pPr>
            <w:r>
              <w:rPr>
                <w:rFonts w:hint="eastAsia"/>
                <w:color w:val="auto"/>
                <w:highlight w:val="none"/>
              </w:rPr>
              <w:t>本项目位于</w:t>
            </w:r>
            <w:r>
              <w:rPr>
                <w:rFonts w:hint="eastAsia"/>
                <w:color w:val="auto"/>
                <w:highlight w:val="none"/>
                <w:lang w:val="en-US" w:eastAsia="zh-CN"/>
              </w:rPr>
              <w:t>福建省宁德市</w:t>
            </w:r>
            <w:r>
              <w:rPr>
                <w:color w:val="auto"/>
                <w:highlight w:val="none"/>
              </w:rPr>
              <w:t>福鼎市</w:t>
            </w:r>
            <w:r>
              <w:rPr>
                <w:rFonts w:hint="eastAsia"/>
                <w:color w:val="auto"/>
                <w:highlight w:val="none"/>
                <w:lang w:val="en-US" w:eastAsia="zh-CN"/>
              </w:rPr>
              <w:t>山前街道百胜村鸡母岩君德码头</w:t>
            </w:r>
            <w:r>
              <w:rPr>
                <w:rFonts w:hint="eastAsia"/>
                <w:color w:val="auto"/>
                <w:highlight w:val="none"/>
              </w:rPr>
              <w:t>，区域声环境质量现状、环境空气质量现状及水环境质量现状均良好，能够达到其质量标准，有一定的环境承载力。本项目建于此处，其产生的污染源经过本评价提出的环保设施处理后能够达标排放，对周围环境的影响较小，不会突破区域环境质量现状。</w:t>
            </w:r>
          </w:p>
          <w:p>
            <w:pPr>
              <w:pStyle w:val="98"/>
              <w:ind w:firstLine="480"/>
              <w:rPr>
                <w:rFonts w:hint="eastAsia" w:eastAsia="宋体"/>
                <w:color w:val="auto"/>
                <w:highlight w:val="none"/>
                <w:lang w:val="en-US" w:eastAsia="zh-CN"/>
              </w:rPr>
            </w:pPr>
            <w:r>
              <w:rPr>
                <w:rFonts w:hint="eastAsia"/>
                <w:color w:val="auto"/>
                <w:highlight w:val="none"/>
                <w:lang w:val="en-US" w:eastAsia="zh-CN"/>
              </w:rPr>
              <w:t>综上所述，从土地利用规划、环境功能区划、区域环境承载力分析，本项目选址合理</w:t>
            </w:r>
            <w:r>
              <w:rPr>
                <w:rFonts w:hint="eastAsia"/>
                <w:color w:val="auto"/>
                <w:highlight w:val="none"/>
                <w:lang w:eastAsia="zh-CN"/>
              </w:rPr>
              <w:t>。</w:t>
            </w:r>
          </w:p>
          <w:p>
            <w:pPr>
              <w:pStyle w:val="3"/>
              <w:rPr>
                <w:color w:val="auto"/>
                <w:highlight w:val="none"/>
              </w:rPr>
            </w:pPr>
            <w:r>
              <w:rPr>
                <w:rFonts w:hint="eastAsia"/>
                <w:color w:val="auto"/>
                <w:highlight w:val="none"/>
                <w:lang w:val="en-US" w:eastAsia="zh-CN"/>
              </w:rPr>
              <w:t>5</w:t>
            </w:r>
            <w:r>
              <w:rPr>
                <w:color w:val="auto"/>
                <w:highlight w:val="none"/>
              </w:rPr>
              <w:t>、 “三线一单”控制要求符合性分析</w:t>
            </w:r>
          </w:p>
          <w:p>
            <w:pPr>
              <w:spacing w:line="360" w:lineRule="auto"/>
              <w:ind w:firstLine="480"/>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1</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生态保护红线</w:t>
            </w:r>
          </w:p>
          <w:p>
            <w:pPr>
              <w:spacing w:line="360" w:lineRule="auto"/>
              <w:ind w:firstLine="48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根据《宁德市人民政府关于印发宁德市“三线一单”生态环境分区管控方案的通知》（宁政[2021]11号），宁德市生态保护红线为全市生态空间范围内具有特殊重要生态功能、必须强制性严格保护的区域，包括水源涵养、生物多样性维护、水土保持、海岸防护等生态功能极重要区域，水土流失、海岸侵蚀及沙源流失等生态极脆弱区域，以及其他具有潜在重要生态价值的区域。</w:t>
            </w:r>
          </w:p>
          <w:p>
            <w:pPr>
              <w:pStyle w:val="98"/>
              <w:ind w:firstLine="480"/>
              <w:rPr>
                <w:rFonts w:hint="eastAsia"/>
                <w:b w:val="0"/>
                <w:bCs/>
                <w:color w:val="auto"/>
                <w:highlight w:val="none"/>
              </w:rPr>
            </w:pPr>
            <w:r>
              <w:rPr>
                <w:rFonts w:hint="eastAsia"/>
                <w:b w:val="0"/>
                <w:bCs/>
                <w:color w:val="auto"/>
                <w:highlight w:val="none"/>
              </w:rPr>
              <w:t>本项目位于</w:t>
            </w:r>
            <w:r>
              <w:rPr>
                <w:rFonts w:hint="eastAsia"/>
                <w:color w:val="auto"/>
                <w:highlight w:val="none"/>
                <w:lang w:val="en-US" w:eastAsia="zh-CN"/>
              </w:rPr>
              <w:t>福建省宁德市</w:t>
            </w:r>
            <w:r>
              <w:rPr>
                <w:color w:val="auto"/>
                <w:highlight w:val="none"/>
              </w:rPr>
              <w:t>福鼎市</w:t>
            </w:r>
            <w:r>
              <w:rPr>
                <w:rFonts w:hint="eastAsia"/>
                <w:color w:val="auto"/>
                <w:highlight w:val="none"/>
                <w:lang w:val="en-US" w:eastAsia="zh-CN"/>
              </w:rPr>
              <w:t>山前街道百胜村鸡母岩君德码头</w:t>
            </w:r>
            <w:r>
              <w:rPr>
                <w:rFonts w:hint="eastAsia"/>
                <w:b w:val="0"/>
                <w:bCs/>
                <w:color w:val="auto"/>
                <w:highlight w:val="none"/>
              </w:rPr>
              <w:t>，项目建设区未涉及生态保护红线，因此项目建设</w:t>
            </w:r>
            <w:r>
              <w:rPr>
                <w:rFonts w:hint="eastAsia"/>
                <w:b w:val="0"/>
                <w:bCs/>
                <w:color w:val="auto"/>
                <w:highlight w:val="none"/>
                <w:lang w:val="en-US" w:eastAsia="zh-CN"/>
              </w:rPr>
              <w:t>符合生态保护红线管控要求</w:t>
            </w:r>
            <w:r>
              <w:rPr>
                <w:rFonts w:hint="eastAsia"/>
                <w:b w:val="0"/>
                <w:bCs/>
                <w:color w:val="auto"/>
                <w:highlight w:val="none"/>
              </w:rPr>
              <w:t>。</w:t>
            </w:r>
          </w:p>
          <w:p>
            <w:pPr>
              <w:pStyle w:val="98"/>
              <w:ind w:firstLine="480"/>
              <w:rPr>
                <w:rFonts w:hint="default"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lang w:val="en-US" w:eastAsia="zh-CN"/>
              </w:rPr>
              <w:t>环境质量底线</w:t>
            </w:r>
          </w:p>
          <w:p>
            <w:pPr>
              <w:autoSpaceDE w:val="0"/>
              <w:autoSpaceDN w:val="0"/>
              <w:adjustRightInd w:val="0"/>
              <w:snapToGrid w:val="0"/>
              <w:spacing w:line="360" w:lineRule="auto"/>
              <w:ind w:firstLine="480" w:firstLineChars="200"/>
              <w:rPr>
                <w:rFonts w:hint="eastAsia"/>
                <w:color w:val="auto"/>
                <w:kern w:val="0"/>
                <w:sz w:val="24"/>
                <w:highlight w:val="none"/>
              </w:rPr>
            </w:pPr>
            <w:r>
              <w:rPr>
                <w:rFonts w:hint="eastAsia"/>
                <w:color w:val="auto"/>
                <w:kern w:val="0"/>
                <w:sz w:val="24"/>
                <w:highlight w:val="none"/>
              </w:rPr>
              <w:t>①地表水环境质量底线</w:t>
            </w:r>
          </w:p>
          <w:p>
            <w:pPr>
              <w:autoSpaceDE w:val="0"/>
              <w:autoSpaceDN w:val="0"/>
              <w:adjustRightInd w:val="0"/>
              <w:snapToGrid w:val="0"/>
              <w:spacing w:line="360" w:lineRule="auto"/>
              <w:ind w:firstLine="480" w:firstLineChars="200"/>
              <w:rPr>
                <w:rFonts w:hint="eastAsia"/>
                <w:color w:val="auto"/>
                <w:kern w:val="0"/>
                <w:sz w:val="24"/>
                <w:highlight w:val="none"/>
              </w:rPr>
            </w:pPr>
            <w:r>
              <w:rPr>
                <w:rFonts w:hint="eastAsia"/>
                <w:color w:val="auto"/>
                <w:kern w:val="0"/>
                <w:sz w:val="24"/>
                <w:highlight w:val="none"/>
              </w:rPr>
              <w:t>根据《宁德市人民政府关于印发宁德市“三线一单”生态环境分区管控方案的通知》（宁政﹝2021﹞11号），到2025年，全市主要流域国、省控断面水质优良（达到或优于Ⅲ类）比例总体达100%，县级以上集中式饮用水水源水质达标率达100%。到2030年，全市主要流域国、省控断面水质优良（达到或优于Ⅲ类）比例总体达100%，县级以上城市建成区黑臭水体总体得到消除，县级以上集中式饮用水水源水质稳定达标。到2035年，全市主要流域国、省控断面水质优良（达到或优于Ⅲ类）比例总体达100%，水生态系统实现良性循环。</w:t>
            </w:r>
          </w:p>
          <w:p>
            <w:pPr>
              <w:autoSpaceDE w:val="0"/>
              <w:autoSpaceDN w:val="0"/>
              <w:adjustRightInd w:val="0"/>
              <w:snapToGrid w:val="0"/>
              <w:spacing w:line="360" w:lineRule="auto"/>
              <w:ind w:firstLine="480" w:firstLineChars="200"/>
              <w:rPr>
                <w:rFonts w:hint="eastAsia"/>
                <w:color w:val="auto"/>
                <w:kern w:val="0"/>
                <w:sz w:val="24"/>
                <w:highlight w:val="none"/>
              </w:rPr>
            </w:pPr>
            <w:r>
              <w:rPr>
                <w:rFonts w:hint="eastAsia"/>
                <w:color w:val="auto"/>
                <w:kern w:val="0"/>
                <w:sz w:val="24"/>
                <w:highlight w:val="none"/>
              </w:rPr>
              <w:t>②大气环境质量底线</w:t>
            </w:r>
          </w:p>
          <w:p>
            <w:pPr>
              <w:autoSpaceDE w:val="0"/>
              <w:autoSpaceDN w:val="0"/>
              <w:adjustRightInd w:val="0"/>
              <w:snapToGrid w:val="0"/>
              <w:spacing w:line="360" w:lineRule="auto"/>
              <w:ind w:firstLine="480" w:firstLineChars="200"/>
              <w:rPr>
                <w:rFonts w:hint="eastAsia"/>
                <w:color w:val="auto"/>
                <w:kern w:val="0"/>
                <w:sz w:val="24"/>
                <w:highlight w:val="none"/>
              </w:rPr>
            </w:pPr>
            <w:r>
              <w:rPr>
                <w:rFonts w:hint="eastAsia"/>
                <w:color w:val="auto"/>
                <w:kern w:val="0"/>
                <w:sz w:val="24"/>
                <w:highlight w:val="none"/>
              </w:rPr>
              <w:t>根据《宁德市人民政府关于印发宁德市“三线一单”生态环境分区管控方案的通知》（宁政﹝2021﹞11号），到2025年，中心城区PM</w:t>
            </w:r>
            <w:r>
              <w:rPr>
                <w:rFonts w:hint="eastAsia"/>
                <w:color w:val="auto"/>
                <w:kern w:val="0"/>
                <w:sz w:val="24"/>
                <w:highlight w:val="none"/>
                <w:vertAlign w:val="subscript"/>
              </w:rPr>
              <w:t>2.5</w:t>
            </w:r>
            <w:r>
              <w:rPr>
                <w:rFonts w:hint="eastAsia"/>
                <w:color w:val="auto"/>
                <w:kern w:val="0"/>
                <w:sz w:val="24"/>
                <w:highlight w:val="none"/>
              </w:rPr>
              <w:t>年平均浓度不高于23</w:t>
            </w:r>
            <w:r>
              <w:rPr>
                <w:rFonts w:hint="default" w:ascii="Times New Roman" w:hAnsi="Times New Roman" w:cs="Times New Roman"/>
                <w:color w:val="auto"/>
                <w:kern w:val="0"/>
                <w:sz w:val="24"/>
                <w:highlight w:val="none"/>
              </w:rPr>
              <w:t>μg/m</w:t>
            </w:r>
            <w:r>
              <w:rPr>
                <w:rFonts w:hint="default" w:ascii="Times New Roman" w:hAnsi="Times New Roman" w:cs="Times New Roman"/>
                <w:color w:val="auto"/>
                <w:kern w:val="0"/>
                <w:sz w:val="24"/>
                <w:highlight w:val="none"/>
                <w:vertAlign w:val="superscript"/>
              </w:rPr>
              <w:t>3</w:t>
            </w:r>
            <w:r>
              <w:rPr>
                <w:rFonts w:hint="eastAsia"/>
                <w:color w:val="auto"/>
                <w:kern w:val="0"/>
                <w:sz w:val="24"/>
                <w:highlight w:val="none"/>
              </w:rPr>
              <w:t>。到2035年，县级以上地区空气质量PM</w:t>
            </w:r>
            <w:r>
              <w:rPr>
                <w:rFonts w:hint="eastAsia"/>
                <w:color w:val="auto"/>
                <w:kern w:val="0"/>
                <w:sz w:val="24"/>
                <w:highlight w:val="none"/>
                <w:vertAlign w:val="subscript"/>
              </w:rPr>
              <w:t>2.5</w:t>
            </w:r>
            <w:r>
              <w:rPr>
                <w:rFonts w:hint="eastAsia"/>
                <w:color w:val="auto"/>
                <w:kern w:val="0"/>
                <w:sz w:val="24"/>
                <w:highlight w:val="none"/>
              </w:rPr>
              <w:t>年平均浓度不高于18</w:t>
            </w:r>
            <w:r>
              <w:rPr>
                <w:rFonts w:hint="default" w:ascii="Times New Roman" w:hAnsi="Times New Roman" w:cs="Times New Roman"/>
                <w:color w:val="auto"/>
                <w:kern w:val="0"/>
                <w:sz w:val="24"/>
                <w:highlight w:val="none"/>
              </w:rPr>
              <w:t>μg</w:t>
            </w:r>
            <w:r>
              <w:rPr>
                <w:rFonts w:hint="eastAsia"/>
                <w:color w:val="auto"/>
                <w:kern w:val="0"/>
                <w:sz w:val="24"/>
                <w:highlight w:val="none"/>
              </w:rPr>
              <w:t>/m</w:t>
            </w:r>
            <w:r>
              <w:rPr>
                <w:rFonts w:hint="eastAsia"/>
                <w:color w:val="auto"/>
                <w:kern w:val="0"/>
                <w:sz w:val="24"/>
                <w:highlight w:val="none"/>
                <w:vertAlign w:val="superscript"/>
              </w:rPr>
              <w:t>3</w:t>
            </w:r>
            <w:r>
              <w:rPr>
                <w:rFonts w:hint="eastAsia"/>
                <w:color w:val="auto"/>
                <w:kern w:val="0"/>
                <w:sz w:val="24"/>
                <w:highlight w:val="none"/>
              </w:rPr>
              <w:t>。</w:t>
            </w:r>
          </w:p>
          <w:p>
            <w:pPr>
              <w:autoSpaceDE w:val="0"/>
              <w:autoSpaceDN w:val="0"/>
              <w:adjustRightInd w:val="0"/>
              <w:snapToGrid w:val="0"/>
              <w:spacing w:line="360" w:lineRule="auto"/>
              <w:ind w:firstLine="480" w:firstLineChars="200"/>
              <w:rPr>
                <w:rFonts w:hint="eastAsia"/>
                <w:color w:val="auto"/>
                <w:kern w:val="0"/>
                <w:sz w:val="24"/>
                <w:highlight w:val="none"/>
              </w:rPr>
            </w:pPr>
            <w:r>
              <w:rPr>
                <w:rFonts w:hint="eastAsia"/>
                <w:color w:val="auto"/>
                <w:kern w:val="0"/>
                <w:sz w:val="24"/>
                <w:highlight w:val="none"/>
              </w:rPr>
              <w:t>③土壤环境风险管控底线</w:t>
            </w:r>
          </w:p>
          <w:p>
            <w:pPr>
              <w:autoSpaceDE w:val="0"/>
              <w:autoSpaceDN w:val="0"/>
              <w:adjustRightInd w:val="0"/>
              <w:snapToGrid w:val="0"/>
              <w:spacing w:line="360" w:lineRule="auto"/>
              <w:ind w:firstLine="480" w:firstLineChars="200"/>
              <w:rPr>
                <w:rFonts w:hint="eastAsia"/>
                <w:color w:val="auto"/>
                <w:kern w:val="0"/>
                <w:sz w:val="24"/>
                <w:highlight w:val="none"/>
              </w:rPr>
            </w:pPr>
            <w:r>
              <w:rPr>
                <w:rFonts w:hint="eastAsia"/>
                <w:color w:val="auto"/>
                <w:kern w:val="0"/>
                <w:sz w:val="24"/>
                <w:highlight w:val="none"/>
              </w:rPr>
              <w:t>根据《宁德市人民政府关于印发宁德市“三线一单”生态环境分区管控方案的通知》（宁政﹝2021﹞11号），到2025年，全市土壤环境质量保持稳定，土壤环境风险得到管控，受污染耕地和污染地块安全利用率达93％以上。到2035年，全市土壤环境质量稳中向好，土壤环境风险得到全面管控，受污染耕地和污染地块安全利用率达95％以上。</w:t>
            </w:r>
          </w:p>
          <w:p>
            <w:pPr>
              <w:pStyle w:val="98"/>
              <w:ind w:firstLine="480"/>
              <w:rPr>
                <w:color w:val="auto"/>
                <w:highlight w:val="none"/>
              </w:rPr>
            </w:pPr>
            <w:r>
              <w:rPr>
                <w:rFonts w:hint="eastAsia"/>
                <w:color w:val="auto"/>
                <w:kern w:val="0"/>
                <w:sz w:val="24"/>
                <w:highlight w:val="none"/>
              </w:rPr>
              <w:t>本项目</w:t>
            </w:r>
            <w:r>
              <w:rPr>
                <w:rFonts w:hint="eastAsia"/>
                <w:color w:val="auto"/>
                <w:kern w:val="0"/>
                <w:sz w:val="24"/>
                <w:highlight w:val="none"/>
                <w:lang w:val="en-US" w:eastAsia="zh-CN"/>
              </w:rPr>
              <w:t>为</w:t>
            </w:r>
            <w:r>
              <w:rPr>
                <w:rFonts w:hint="eastAsia"/>
                <w:color w:val="auto"/>
                <w:highlight w:val="none"/>
              </w:rPr>
              <w:t>利用</w:t>
            </w:r>
            <w:r>
              <w:rPr>
                <w:rFonts w:hint="eastAsia"/>
                <w:color w:val="auto"/>
                <w:highlight w:val="none"/>
                <w:lang w:val="en-US" w:eastAsia="zh-CN"/>
              </w:rPr>
              <w:t>宁德核电场地平整富余渣料进行机制砂的生产。</w:t>
            </w:r>
            <w:r>
              <w:rPr>
                <w:rFonts w:hint="eastAsia"/>
                <w:color w:val="auto"/>
                <w:kern w:val="0"/>
                <w:sz w:val="24"/>
                <w:highlight w:val="none"/>
                <w:lang w:val="en-US" w:eastAsia="zh-CN"/>
              </w:rPr>
              <w:t>项目生产废水全部循环使用，不外排，生活设施依托周边村庄，厂内不产生生活污水</w:t>
            </w:r>
            <w:r>
              <w:rPr>
                <w:rFonts w:hint="eastAsia"/>
                <w:color w:val="auto"/>
                <w:kern w:val="0"/>
                <w:highlight w:val="none"/>
                <w:lang w:eastAsia="zh-CN"/>
              </w:rPr>
              <w:t>；</w:t>
            </w:r>
            <w:r>
              <w:rPr>
                <w:rFonts w:hint="eastAsia"/>
                <w:color w:val="auto"/>
                <w:kern w:val="0"/>
                <w:highlight w:val="none"/>
                <w:lang w:val="en-US" w:eastAsia="zh-CN"/>
              </w:rPr>
              <w:t>项目生产废气经采取除尘净化措施后达标排放；在采取上述措施后</w:t>
            </w:r>
            <w:r>
              <w:rPr>
                <w:rFonts w:hint="eastAsia"/>
                <w:color w:val="auto"/>
                <w:kern w:val="0"/>
                <w:sz w:val="24"/>
                <w:highlight w:val="none"/>
                <w:lang w:val="en-US" w:eastAsia="zh-CN"/>
              </w:rPr>
              <w:t>运营期</w:t>
            </w:r>
            <w:r>
              <w:rPr>
                <w:rFonts w:hint="eastAsia"/>
                <w:color w:val="auto"/>
                <w:kern w:val="0"/>
                <w:sz w:val="24"/>
                <w:highlight w:val="none"/>
              </w:rPr>
              <w:t>不会对环境质量底线造成冲击，符合环境质量底线要求。</w:t>
            </w:r>
          </w:p>
          <w:p>
            <w:pPr>
              <w:pStyle w:val="98"/>
              <w:ind w:firstLine="480"/>
              <w:rPr>
                <w:rFonts w:hint="default"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lang w:val="en-US" w:eastAsia="zh-CN"/>
              </w:rPr>
              <w:t>资源利用上线</w:t>
            </w:r>
          </w:p>
          <w:p>
            <w:pPr>
              <w:pStyle w:val="98"/>
              <w:ind w:firstLine="480"/>
              <w:rPr>
                <w:rFonts w:hint="eastAsia"/>
                <w:color w:val="auto"/>
                <w:highlight w:val="none"/>
              </w:rPr>
            </w:pPr>
            <w:r>
              <w:rPr>
                <w:rFonts w:hint="eastAsia"/>
                <w:color w:val="auto"/>
                <w:highlight w:val="none"/>
              </w:rPr>
              <w:t>根据</w:t>
            </w:r>
            <w:r>
              <w:rPr>
                <w:rFonts w:hint="eastAsia"/>
                <w:color w:val="auto"/>
                <w:kern w:val="0"/>
                <w:sz w:val="24"/>
                <w:highlight w:val="none"/>
              </w:rPr>
              <w:t>《宁德市人民政府关于印发宁德市“三线一单”生态环境分区管控方案的通知》（宁政﹝2021﹞11号）</w:t>
            </w:r>
            <w:r>
              <w:rPr>
                <w:rFonts w:hint="eastAsia"/>
                <w:color w:val="auto"/>
                <w:highlight w:val="none"/>
              </w:rPr>
              <w:t>，水资源利用上线衔接水资源管理“三条红线”，土地资源利用上线衔接国土空间总体规划要求，能源资源利用上线衔接节能减排、能源规划等文件要求。</w:t>
            </w:r>
          </w:p>
          <w:p>
            <w:pPr>
              <w:pStyle w:val="98"/>
              <w:ind w:firstLine="480"/>
              <w:rPr>
                <w:rFonts w:hint="eastAsia"/>
                <w:color w:val="auto"/>
                <w:highlight w:val="none"/>
              </w:rPr>
            </w:pPr>
            <w:r>
              <w:rPr>
                <w:rFonts w:hint="eastAsia"/>
                <w:color w:val="auto"/>
                <w:highlight w:val="none"/>
              </w:rPr>
              <w:t>项目生产用水来源于市政供水，主要作为砂石清洗使用，生活用水接入自来水管网。与宁德市水资源利用上线管控要求相符。</w:t>
            </w:r>
          </w:p>
          <w:p>
            <w:pPr>
              <w:pStyle w:val="98"/>
              <w:ind w:firstLine="480"/>
              <w:rPr>
                <w:rFonts w:hint="eastAsia"/>
                <w:color w:val="auto"/>
                <w:highlight w:val="none"/>
              </w:rPr>
            </w:pPr>
            <w:r>
              <w:rPr>
                <w:rFonts w:hint="eastAsia"/>
                <w:color w:val="auto"/>
                <w:highlight w:val="none"/>
              </w:rPr>
              <w:t>项目为临时用地，待宁德核电场地平整富余渣料处置完毕后自行拆除相关设备和临时搭建的生产车间，不会突破土地资源利用上线。</w:t>
            </w:r>
          </w:p>
          <w:p>
            <w:pPr>
              <w:pStyle w:val="98"/>
              <w:ind w:firstLine="480"/>
              <w:rPr>
                <w:color w:val="auto"/>
                <w:highlight w:val="none"/>
              </w:rPr>
            </w:pPr>
            <w:r>
              <w:rPr>
                <w:rFonts w:hint="eastAsia"/>
                <w:color w:val="auto"/>
                <w:highlight w:val="none"/>
              </w:rPr>
              <w:t>项目所在地不属于文本中划定的高污染燃料禁燃区，且项目主要使用电作能源，项目未涉及高污染燃料，项目与宁德市能源资源利用上线要求相符。</w:t>
            </w:r>
          </w:p>
          <w:p>
            <w:pPr>
              <w:pStyle w:val="98"/>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4</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生态环境准入清单</w:t>
            </w:r>
          </w:p>
          <w:p>
            <w:pPr>
              <w:pStyle w:val="98"/>
              <w:ind w:firstLine="480"/>
              <w:rPr>
                <w:color w:val="auto"/>
                <w:highlight w:val="none"/>
              </w:rPr>
            </w:pPr>
            <w:r>
              <w:rPr>
                <w:rFonts w:hint="eastAsia"/>
                <w:color w:val="auto"/>
                <w:sz w:val="24"/>
                <w:highlight w:val="none"/>
              </w:rPr>
              <w:t>根据</w:t>
            </w:r>
            <w:r>
              <w:rPr>
                <w:rFonts w:hint="eastAsia"/>
                <w:color w:val="auto"/>
                <w:highlight w:val="none"/>
              </w:rPr>
              <w:t>“宁德市</w:t>
            </w:r>
            <w:r>
              <w:rPr>
                <w:rFonts w:hint="eastAsia"/>
                <w:color w:val="auto"/>
                <w:highlight w:val="none"/>
                <w:lang w:val="en-US" w:eastAsia="zh-CN"/>
              </w:rPr>
              <w:t>福鼎市</w:t>
            </w:r>
            <w:r>
              <w:rPr>
                <w:rFonts w:hint="eastAsia"/>
                <w:color w:val="auto"/>
                <w:highlight w:val="none"/>
              </w:rPr>
              <w:t>生态环境准入清单”</w:t>
            </w:r>
            <w:r>
              <w:rPr>
                <w:rFonts w:hint="eastAsia"/>
                <w:color w:val="auto"/>
                <w:sz w:val="24"/>
                <w:highlight w:val="none"/>
              </w:rPr>
              <w:t>，项目位于</w:t>
            </w:r>
            <w:r>
              <w:rPr>
                <w:rFonts w:hint="eastAsia"/>
                <w:color w:val="auto"/>
                <w:highlight w:val="none"/>
                <w:lang w:val="en-US" w:eastAsia="zh-CN"/>
              </w:rPr>
              <w:t>福建省宁德市</w:t>
            </w:r>
            <w:r>
              <w:rPr>
                <w:color w:val="auto"/>
                <w:highlight w:val="none"/>
              </w:rPr>
              <w:t>福鼎市</w:t>
            </w:r>
            <w:r>
              <w:rPr>
                <w:rFonts w:hint="eastAsia"/>
                <w:color w:val="auto"/>
                <w:highlight w:val="none"/>
                <w:lang w:val="en-US" w:eastAsia="zh-CN"/>
              </w:rPr>
              <w:t>山前街道百胜村鸡母岩君德码头</w:t>
            </w:r>
            <w:r>
              <w:rPr>
                <w:rFonts w:hint="eastAsia"/>
                <w:color w:val="auto"/>
                <w:sz w:val="24"/>
                <w:highlight w:val="none"/>
              </w:rPr>
              <w:t>，属</w:t>
            </w:r>
            <w:r>
              <w:rPr>
                <w:rFonts w:hint="eastAsia"/>
                <w:color w:val="auto"/>
                <w:sz w:val="24"/>
                <w:highlight w:val="none"/>
                <w:lang w:val="en-US" w:eastAsia="zh-CN"/>
              </w:rPr>
              <w:t>福鼎市</w:t>
            </w:r>
            <w:r>
              <w:rPr>
                <w:rFonts w:hint="eastAsia"/>
                <w:color w:val="auto"/>
                <w:sz w:val="24"/>
                <w:highlight w:val="none"/>
              </w:rPr>
              <w:t>一般管控</w:t>
            </w:r>
            <w:r>
              <w:rPr>
                <w:rFonts w:hint="eastAsia"/>
                <w:color w:val="auto"/>
                <w:sz w:val="24"/>
                <w:highlight w:val="none"/>
                <w:lang w:val="en-US" w:eastAsia="zh-CN"/>
              </w:rPr>
              <w:t>单元</w:t>
            </w:r>
            <w:r>
              <w:rPr>
                <w:rFonts w:hint="eastAsia"/>
                <w:color w:val="auto"/>
                <w:sz w:val="24"/>
                <w:highlight w:val="none"/>
              </w:rPr>
              <w:t>，项目与</w:t>
            </w:r>
            <w:r>
              <w:rPr>
                <w:rFonts w:hint="eastAsia"/>
                <w:color w:val="auto"/>
                <w:sz w:val="24"/>
                <w:highlight w:val="none"/>
                <w:lang w:val="en-US" w:eastAsia="zh-CN"/>
              </w:rPr>
              <w:t>福鼎市</w:t>
            </w:r>
            <w:r>
              <w:rPr>
                <w:rFonts w:hint="eastAsia"/>
                <w:color w:val="auto"/>
                <w:sz w:val="24"/>
                <w:highlight w:val="none"/>
              </w:rPr>
              <w:t>区一般管控单元管控要求符合性分析见表</w:t>
            </w:r>
            <w:r>
              <w:rPr>
                <w:rFonts w:hint="eastAsia"/>
                <w:color w:val="auto"/>
                <w:sz w:val="24"/>
                <w:highlight w:val="none"/>
                <w:lang w:val="en-US" w:eastAsia="zh-CN"/>
              </w:rPr>
              <w:t>2</w:t>
            </w:r>
            <w:r>
              <w:rPr>
                <w:color w:val="auto"/>
                <w:highlight w:val="none"/>
              </w:rPr>
              <w:t>。</w:t>
            </w:r>
          </w:p>
          <w:p>
            <w:pPr>
              <w:pStyle w:val="57"/>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项目与</w:t>
            </w:r>
            <w:r>
              <w:rPr>
                <w:rFonts w:hint="eastAsia" w:ascii="Times New Roman" w:hAnsi="Times New Roman" w:eastAsia="宋体" w:cs="Times New Roman"/>
                <w:color w:val="auto"/>
                <w:sz w:val="24"/>
                <w:highlight w:val="none"/>
                <w:lang w:val="en-US" w:eastAsia="zh-CN"/>
              </w:rPr>
              <w:t>福鼎市</w:t>
            </w:r>
            <w:r>
              <w:rPr>
                <w:rFonts w:hint="eastAsia" w:ascii="Times New Roman" w:hAnsi="Times New Roman" w:eastAsia="宋体" w:cs="Times New Roman"/>
                <w:color w:val="auto"/>
                <w:sz w:val="24"/>
                <w:highlight w:val="none"/>
              </w:rPr>
              <w:t>一般管控单元管控要求符合性分析</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840"/>
              <w:gridCol w:w="675"/>
              <w:gridCol w:w="570"/>
              <w:gridCol w:w="2557"/>
              <w:gridCol w:w="61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noWrap w:val="0"/>
                  <w:vAlign w:val="center"/>
                </w:tcPr>
                <w:p>
                  <w:pPr>
                    <w:autoSpaceDE w:val="0"/>
                    <w:autoSpaceDN w:val="0"/>
                    <w:adjustRightInd w:val="0"/>
                    <w:snapToGrid w:val="0"/>
                    <w:jc w:val="center"/>
                    <w:rPr>
                      <w:rFonts w:hint="eastAsia"/>
                      <w:color w:val="auto"/>
                      <w:sz w:val="21"/>
                      <w:szCs w:val="21"/>
                      <w:highlight w:val="none"/>
                    </w:rPr>
                  </w:pPr>
                  <w:r>
                    <w:rPr>
                      <w:rFonts w:hint="eastAsia"/>
                      <w:color w:val="auto"/>
                      <w:sz w:val="21"/>
                      <w:szCs w:val="21"/>
                      <w:highlight w:val="none"/>
                    </w:rPr>
                    <w:t>环境管控单元编码</w:t>
                  </w:r>
                </w:p>
              </w:tc>
              <w:tc>
                <w:tcPr>
                  <w:tcW w:w="840" w:type="dxa"/>
                  <w:noWrap w:val="0"/>
                  <w:vAlign w:val="center"/>
                </w:tcPr>
                <w:p>
                  <w:pPr>
                    <w:autoSpaceDE w:val="0"/>
                    <w:autoSpaceDN w:val="0"/>
                    <w:adjustRightInd w:val="0"/>
                    <w:snapToGrid w:val="0"/>
                    <w:jc w:val="center"/>
                    <w:rPr>
                      <w:rFonts w:hint="eastAsia"/>
                      <w:color w:val="auto"/>
                      <w:sz w:val="21"/>
                      <w:szCs w:val="21"/>
                      <w:highlight w:val="none"/>
                    </w:rPr>
                  </w:pPr>
                  <w:r>
                    <w:rPr>
                      <w:rFonts w:hint="eastAsia"/>
                      <w:color w:val="auto"/>
                      <w:sz w:val="21"/>
                      <w:szCs w:val="21"/>
                      <w:highlight w:val="none"/>
                    </w:rPr>
                    <w:t>环境管控单元名称</w:t>
                  </w:r>
                </w:p>
              </w:tc>
              <w:tc>
                <w:tcPr>
                  <w:tcW w:w="675" w:type="dxa"/>
                  <w:noWrap w:val="0"/>
                  <w:vAlign w:val="center"/>
                </w:tcPr>
                <w:p>
                  <w:pPr>
                    <w:autoSpaceDE w:val="0"/>
                    <w:autoSpaceDN w:val="0"/>
                    <w:adjustRightInd w:val="0"/>
                    <w:snapToGrid w:val="0"/>
                    <w:jc w:val="center"/>
                    <w:rPr>
                      <w:rFonts w:hint="eastAsia"/>
                      <w:color w:val="auto"/>
                      <w:sz w:val="21"/>
                      <w:szCs w:val="21"/>
                      <w:highlight w:val="none"/>
                    </w:rPr>
                  </w:pPr>
                  <w:r>
                    <w:rPr>
                      <w:rFonts w:hint="eastAsia"/>
                      <w:color w:val="auto"/>
                      <w:sz w:val="21"/>
                      <w:szCs w:val="21"/>
                      <w:highlight w:val="none"/>
                    </w:rPr>
                    <w:t>管控单元类别</w:t>
                  </w:r>
                </w:p>
              </w:tc>
              <w:tc>
                <w:tcPr>
                  <w:tcW w:w="3127" w:type="dxa"/>
                  <w:gridSpan w:val="2"/>
                  <w:noWrap w:val="0"/>
                  <w:vAlign w:val="center"/>
                </w:tcPr>
                <w:p>
                  <w:pPr>
                    <w:autoSpaceDE w:val="0"/>
                    <w:autoSpaceDN w:val="0"/>
                    <w:adjustRightInd w:val="0"/>
                    <w:snapToGrid w:val="0"/>
                    <w:jc w:val="center"/>
                    <w:rPr>
                      <w:rFonts w:hint="eastAsia"/>
                      <w:color w:val="auto"/>
                      <w:sz w:val="21"/>
                      <w:szCs w:val="21"/>
                      <w:highlight w:val="none"/>
                    </w:rPr>
                  </w:pPr>
                  <w:r>
                    <w:rPr>
                      <w:rFonts w:hint="eastAsia"/>
                      <w:color w:val="auto"/>
                      <w:sz w:val="21"/>
                      <w:szCs w:val="21"/>
                      <w:highlight w:val="none"/>
                    </w:rPr>
                    <w:t>管控要求</w:t>
                  </w:r>
                </w:p>
              </w:tc>
              <w:tc>
                <w:tcPr>
                  <w:tcW w:w="611" w:type="dxa"/>
                  <w:noWrap w:val="0"/>
                  <w:vAlign w:val="center"/>
                </w:tcPr>
                <w:p>
                  <w:pPr>
                    <w:autoSpaceDE w:val="0"/>
                    <w:autoSpaceDN w:val="0"/>
                    <w:adjustRightInd w:val="0"/>
                    <w:snapToGrid w:val="0"/>
                    <w:jc w:val="center"/>
                    <w:rPr>
                      <w:rFonts w:hint="eastAsia"/>
                      <w:color w:val="auto"/>
                      <w:sz w:val="21"/>
                      <w:szCs w:val="21"/>
                      <w:highlight w:val="none"/>
                    </w:rPr>
                  </w:pPr>
                  <w:r>
                    <w:rPr>
                      <w:rFonts w:hint="eastAsia"/>
                      <w:color w:val="auto"/>
                      <w:sz w:val="21"/>
                      <w:szCs w:val="21"/>
                      <w:highlight w:val="none"/>
                    </w:rPr>
                    <w:t>项目情况</w:t>
                  </w:r>
                </w:p>
              </w:tc>
              <w:tc>
                <w:tcPr>
                  <w:tcW w:w="717" w:type="dxa"/>
                  <w:noWrap w:val="0"/>
                  <w:vAlign w:val="center"/>
                </w:tcPr>
                <w:p>
                  <w:pPr>
                    <w:autoSpaceDE w:val="0"/>
                    <w:autoSpaceDN w:val="0"/>
                    <w:adjustRightInd w:val="0"/>
                    <w:snapToGrid w:val="0"/>
                    <w:jc w:val="center"/>
                    <w:rPr>
                      <w:rFonts w:hint="eastAsia"/>
                      <w:color w:val="auto"/>
                      <w:sz w:val="21"/>
                      <w:szCs w:val="21"/>
                      <w:highlight w:val="none"/>
                    </w:rPr>
                  </w:pPr>
                  <w:r>
                    <w:rPr>
                      <w:rFonts w:hint="eastAsia"/>
                      <w:color w:val="auto"/>
                      <w:sz w:val="21"/>
                      <w:szCs w:val="21"/>
                      <w:highlight w:val="none"/>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832" w:type="dxa"/>
                  <w:noWrap w:val="0"/>
                  <w:vAlign w:val="center"/>
                </w:tcPr>
                <w:p>
                  <w:pPr>
                    <w:autoSpaceDE w:val="0"/>
                    <w:autoSpaceDN w:val="0"/>
                    <w:adjustRightInd w:val="0"/>
                    <w:snapToGrid w:val="0"/>
                    <w:jc w:val="center"/>
                    <w:rPr>
                      <w:rFonts w:hint="eastAsia"/>
                      <w:color w:val="auto"/>
                      <w:sz w:val="21"/>
                      <w:szCs w:val="21"/>
                      <w:highlight w:val="none"/>
                    </w:rPr>
                  </w:pPr>
                  <w:r>
                    <w:rPr>
                      <w:rFonts w:ascii="Times New Roman" w:hAnsi="Times New Roman" w:eastAsia="仿宋_GB2312" w:cs="Times New Roman"/>
                      <w:color w:val="auto"/>
                      <w:kern w:val="0"/>
                      <w:sz w:val="21"/>
                      <w:szCs w:val="21"/>
                      <w:highlight w:val="none"/>
                    </w:rPr>
                    <w:t>ZH35098230001</w:t>
                  </w:r>
                </w:p>
              </w:tc>
              <w:tc>
                <w:tcPr>
                  <w:tcW w:w="840" w:type="dxa"/>
                  <w:noWrap w:val="0"/>
                  <w:vAlign w:val="center"/>
                </w:tcPr>
                <w:p>
                  <w:pPr>
                    <w:autoSpaceDE w:val="0"/>
                    <w:autoSpaceDN w:val="0"/>
                    <w:adjustRightInd w:val="0"/>
                    <w:snapToGrid w:val="0"/>
                    <w:jc w:val="center"/>
                    <w:rPr>
                      <w:rFonts w:hint="eastAsia"/>
                      <w:color w:val="auto"/>
                      <w:sz w:val="21"/>
                      <w:szCs w:val="21"/>
                      <w:highlight w:val="none"/>
                    </w:rPr>
                  </w:pPr>
                  <w:r>
                    <w:rPr>
                      <w:rFonts w:hint="eastAsia"/>
                      <w:color w:val="auto"/>
                      <w:sz w:val="21"/>
                      <w:szCs w:val="21"/>
                      <w:highlight w:val="none"/>
                    </w:rPr>
                    <w:t>福鼎市一般管控单元</w:t>
                  </w:r>
                </w:p>
              </w:tc>
              <w:tc>
                <w:tcPr>
                  <w:tcW w:w="675" w:type="dxa"/>
                  <w:noWrap w:val="0"/>
                  <w:vAlign w:val="center"/>
                </w:tcPr>
                <w:p>
                  <w:pPr>
                    <w:autoSpaceDE w:val="0"/>
                    <w:autoSpaceDN w:val="0"/>
                    <w:adjustRightInd w:val="0"/>
                    <w:snapToGrid w:val="0"/>
                    <w:jc w:val="center"/>
                    <w:rPr>
                      <w:rFonts w:hint="eastAsia"/>
                      <w:color w:val="auto"/>
                      <w:sz w:val="21"/>
                      <w:szCs w:val="21"/>
                      <w:highlight w:val="none"/>
                    </w:rPr>
                  </w:pPr>
                  <w:r>
                    <w:rPr>
                      <w:rFonts w:hint="eastAsia"/>
                      <w:color w:val="auto"/>
                      <w:sz w:val="21"/>
                      <w:szCs w:val="21"/>
                      <w:highlight w:val="none"/>
                    </w:rPr>
                    <w:t>一般管控单元</w:t>
                  </w:r>
                </w:p>
              </w:tc>
              <w:tc>
                <w:tcPr>
                  <w:tcW w:w="570" w:type="dxa"/>
                  <w:noWrap w:val="0"/>
                  <w:vAlign w:val="center"/>
                </w:tcPr>
                <w:p>
                  <w:pPr>
                    <w:autoSpaceDE w:val="0"/>
                    <w:autoSpaceDN w:val="0"/>
                    <w:adjustRightInd w:val="0"/>
                    <w:snapToGrid w:val="0"/>
                    <w:jc w:val="center"/>
                    <w:rPr>
                      <w:rFonts w:hint="eastAsia"/>
                      <w:color w:val="auto"/>
                      <w:sz w:val="21"/>
                      <w:szCs w:val="21"/>
                      <w:highlight w:val="none"/>
                    </w:rPr>
                  </w:pPr>
                  <w:r>
                    <w:rPr>
                      <w:rFonts w:hint="eastAsia"/>
                      <w:color w:val="auto"/>
                      <w:sz w:val="21"/>
                      <w:szCs w:val="21"/>
                      <w:highlight w:val="none"/>
                    </w:rPr>
                    <w:t>空间布局约束</w:t>
                  </w:r>
                </w:p>
              </w:tc>
              <w:tc>
                <w:tcPr>
                  <w:tcW w:w="2557" w:type="dxa"/>
                  <w:noWrap w:val="0"/>
                  <w:vAlign w:val="center"/>
                </w:tcPr>
                <w:p>
                  <w:pPr>
                    <w:autoSpaceDE w:val="0"/>
                    <w:autoSpaceDN w:val="0"/>
                    <w:adjustRightInd w:val="0"/>
                    <w:snapToGrid w:val="0"/>
                    <w:jc w:val="both"/>
                    <w:rPr>
                      <w:rFonts w:hint="eastAsia"/>
                      <w:color w:val="auto"/>
                      <w:sz w:val="21"/>
                      <w:szCs w:val="21"/>
                      <w:highlight w:val="none"/>
                    </w:rPr>
                  </w:pPr>
                  <w:r>
                    <w:rPr>
                      <w:rFonts w:hint="eastAsia"/>
                      <w:color w:val="auto"/>
                      <w:sz w:val="21"/>
                      <w:szCs w:val="21"/>
                      <w:highlight w:val="none"/>
                    </w:rPr>
                    <w:t>1.一般建设项目不得占用永久基本农田，重大建设项目选址确实难以避让永久基本农田的，在可行性研究阶段，必须通过国土资源部用地预审；农用地转用和土地征收依法依规报国务院批准。严禁通过擅自调整县乡土地利用总体规划，规避占用永久基本农田的审批。</w:t>
                  </w:r>
                </w:p>
                <w:p>
                  <w:pPr>
                    <w:autoSpaceDE w:val="0"/>
                    <w:autoSpaceDN w:val="0"/>
                    <w:adjustRightInd w:val="0"/>
                    <w:snapToGrid w:val="0"/>
                    <w:jc w:val="both"/>
                    <w:rPr>
                      <w:rFonts w:hint="eastAsia"/>
                      <w:color w:val="auto"/>
                      <w:sz w:val="21"/>
                      <w:szCs w:val="21"/>
                      <w:highlight w:val="none"/>
                    </w:rPr>
                  </w:pPr>
                  <w:r>
                    <w:rPr>
                      <w:rFonts w:hint="eastAsia"/>
                      <w:color w:val="auto"/>
                      <w:sz w:val="21"/>
                      <w:szCs w:val="21"/>
                      <w:highlight w:val="none"/>
                    </w:rPr>
                    <w:t>2.不得将确需退耕还林还草的耕地划为永久基本农田，不得将已退耕还林还草的土地纳入土地整治项目，不得擅自将永久基本农田、土地整治新增耕地和坡改梯耕地纳入退耕范围。</w:t>
                  </w:r>
                </w:p>
                <w:p>
                  <w:pPr>
                    <w:autoSpaceDE w:val="0"/>
                    <w:autoSpaceDN w:val="0"/>
                    <w:adjustRightInd w:val="0"/>
                    <w:snapToGrid w:val="0"/>
                    <w:jc w:val="both"/>
                    <w:rPr>
                      <w:rFonts w:hint="eastAsia"/>
                      <w:color w:val="auto"/>
                      <w:sz w:val="21"/>
                      <w:szCs w:val="21"/>
                      <w:highlight w:val="none"/>
                    </w:rPr>
                  </w:pPr>
                  <w:r>
                    <w:rPr>
                      <w:rFonts w:hint="eastAsia"/>
                      <w:color w:val="auto"/>
                      <w:sz w:val="21"/>
                      <w:szCs w:val="21"/>
                      <w:highlight w:val="none"/>
                    </w:rPr>
                    <w:t xml:space="preserve">3.禁止随意砍伐防风固沙林和农田保护林。 </w:t>
                  </w:r>
                </w:p>
              </w:tc>
              <w:tc>
                <w:tcPr>
                  <w:tcW w:w="611" w:type="dxa"/>
                  <w:noWrap w:val="0"/>
                  <w:vAlign w:val="center"/>
                </w:tcPr>
                <w:p>
                  <w:pPr>
                    <w:autoSpaceDE w:val="0"/>
                    <w:autoSpaceDN w:val="0"/>
                    <w:adjustRightInd w:val="0"/>
                    <w:snapToGrid w:val="0"/>
                    <w:jc w:val="center"/>
                    <w:rPr>
                      <w:rFonts w:hint="eastAsia"/>
                      <w:color w:val="auto"/>
                      <w:sz w:val="21"/>
                      <w:szCs w:val="21"/>
                      <w:highlight w:val="none"/>
                    </w:rPr>
                  </w:pPr>
                  <w:r>
                    <w:rPr>
                      <w:rFonts w:hint="eastAsia"/>
                      <w:color w:val="auto"/>
                      <w:sz w:val="21"/>
                      <w:szCs w:val="21"/>
                      <w:highlight w:val="none"/>
                    </w:rPr>
                    <w:t>项目用地</w:t>
                  </w:r>
                  <w:r>
                    <w:rPr>
                      <w:rFonts w:hint="eastAsia"/>
                      <w:color w:val="auto"/>
                      <w:sz w:val="21"/>
                      <w:szCs w:val="21"/>
                      <w:highlight w:val="none"/>
                      <w:lang w:val="en-US" w:eastAsia="zh-CN"/>
                    </w:rPr>
                    <w:t>不占用基本农田</w:t>
                  </w:r>
                </w:p>
              </w:tc>
              <w:tc>
                <w:tcPr>
                  <w:tcW w:w="717" w:type="dxa"/>
                  <w:noWrap w:val="0"/>
                  <w:vAlign w:val="center"/>
                </w:tcPr>
                <w:p>
                  <w:pPr>
                    <w:autoSpaceDE w:val="0"/>
                    <w:autoSpaceDN w:val="0"/>
                    <w:adjustRightInd w:val="0"/>
                    <w:snapToGrid w:val="0"/>
                    <w:jc w:val="center"/>
                    <w:rPr>
                      <w:rFonts w:hint="eastAsia"/>
                      <w:color w:val="auto"/>
                      <w:sz w:val="21"/>
                      <w:szCs w:val="21"/>
                      <w:highlight w:val="none"/>
                    </w:rPr>
                  </w:pPr>
                  <w:r>
                    <w:rPr>
                      <w:rFonts w:hint="eastAsia"/>
                      <w:color w:val="auto"/>
                      <w:sz w:val="21"/>
                      <w:szCs w:val="21"/>
                      <w:highlight w:val="none"/>
                    </w:rPr>
                    <w:t>符合</w:t>
                  </w:r>
                </w:p>
              </w:tc>
            </w:tr>
          </w:tbl>
          <w:p>
            <w:pPr>
              <w:pStyle w:val="98"/>
              <w:ind w:firstLine="480"/>
              <w:rPr>
                <w:color w:val="auto"/>
                <w:highlight w:val="none"/>
              </w:rPr>
            </w:pPr>
            <w:r>
              <w:rPr>
                <w:color w:val="auto"/>
                <w:kern w:val="0"/>
                <w:sz w:val="24"/>
                <w:highlight w:val="none"/>
              </w:rPr>
              <w:t>综上所述，本项目</w:t>
            </w:r>
            <w:r>
              <w:rPr>
                <w:rFonts w:hint="eastAsia"/>
                <w:color w:val="auto"/>
                <w:kern w:val="0"/>
                <w:sz w:val="24"/>
                <w:highlight w:val="none"/>
                <w:lang w:val="en-US" w:eastAsia="zh-CN"/>
              </w:rPr>
              <w:t>选址和建设</w:t>
            </w:r>
            <w:r>
              <w:rPr>
                <w:color w:val="auto"/>
                <w:kern w:val="0"/>
                <w:sz w:val="24"/>
                <w:highlight w:val="none"/>
              </w:rPr>
              <w:t>符合“三线一单”</w:t>
            </w:r>
            <w:r>
              <w:rPr>
                <w:rFonts w:hint="eastAsia"/>
                <w:color w:val="auto"/>
                <w:kern w:val="0"/>
                <w:sz w:val="24"/>
                <w:highlight w:val="none"/>
                <w:lang w:val="en-US" w:eastAsia="zh-CN"/>
              </w:rPr>
              <w:t>管控</w:t>
            </w:r>
            <w:r>
              <w:rPr>
                <w:color w:val="auto"/>
                <w:kern w:val="0"/>
                <w:sz w:val="24"/>
                <w:highlight w:val="none"/>
              </w:rPr>
              <w:t>要求。</w:t>
            </w:r>
          </w:p>
        </w:tc>
      </w:tr>
    </w:tbl>
    <w:p>
      <w:pPr>
        <w:spacing w:line="360" w:lineRule="auto"/>
        <w:ind w:firstLine="600"/>
        <w:outlineLvl w:val="0"/>
        <w:rPr>
          <w:rFonts w:eastAsia="黑体"/>
          <w:color w:val="auto"/>
          <w:sz w:val="30"/>
          <w:highlight w:val="none"/>
        </w:rPr>
        <w:sectPr>
          <w:footerReference r:id="rId5" w:type="default"/>
          <w:pgSz w:w="11906" w:h="16838"/>
          <w:pgMar w:top="1417" w:right="1417" w:bottom="1417" w:left="1417"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100"/>
        <w:keepNext w:val="0"/>
        <w:keepLines w:val="0"/>
        <w:pageBreakBefore w:val="0"/>
        <w:widowControl/>
        <w:kinsoku/>
        <w:wordWrap/>
        <w:overflowPunct/>
        <w:topLinePunct w:val="0"/>
        <w:autoSpaceDE/>
        <w:autoSpaceDN/>
        <w:bidi w:val="0"/>
        <w:adjustRightInd/>
        <w:snapToGrid/>
        <w:spacing w:before="0" w:beforeAutospacing="0" w:after="313" w:afterLines="100" w:afterAutospacing="0"/>
        <w:textAlignment w:val="auto"/>
        <w:rPr>
          <w:rFonts w:ascii="Times New Roman" w:hAnsi="Times New Roman"/>
          <w:color w:val="auto"/>
          <w:sz w:val="30"/>
          <w:szCs w:val="30"/>
          <w:highlight w:val="none"/>
        </w:rPr>
      </w:pPr>
      <w:r>
        <w:rPr>
          <w:rFonts w:ascii="Times New Roman" w:hAnsi="Times New Roman"/>
          <w:color w:val="auto"/>
          <w:sz w:val="30"/>
          <w:szCs w:val="30"/>
          <w:highlight w:val="none"/>
        </w:rPr>
        <w:t>二、建设项目工程分析</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5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40" w:hRule="atLeast"/>
          <w:jc w:val="center"/>
        </w:trPr>
        <w:tc>
          <w:tcPr>
            <w:tcW w:w="693" w:type="dxa"/>
            <w:noWrap w:val="0"/>
            <w:vAlign w:val="center"/>
          </w:tcPr>
          <w:p>
            <w:pPr>
              <w:pStyle w:val="20"/>
              <w:adjustRightInd w:val="0"/>
              <w:snapToGrid w:val="0"/>
              <w:spacing w:before="0" w:beforeAutospacing="0" w:after="0" w:afterAutospacing="0" w:line="360" w:lineRule="auto"/>
              <w:jc w:val="center"/>
              <w:rPr>
                <w:rFonts w:ascii="Times New Roman" w:hAnsi="Times New Roman"/>
                <w:color w:val="auto"/>
                <w:szCs w:val="24"/>
                <w:highlight w:val="none"/>
              </w:rPr>
            </w:pPr>
            <w:r>
              <w:rPr>
                <w:rFonts w:ascii="Times New Roman" w:hAnsi="Times New Roman"/>
                <w:color w:val="auto"/>
                <w:szCs w:val="24"/>
                <w:highlight w:val="none"/>
              </w:rPr>
              <w:t>建设内容</w:t>
            </w:r>
          </w:p>
        </w:tc>
        <w:tc>
          <w:tcPr>
            <w:tcW w:w="8594" w:type="dxa"/>
            <w:noWrap w:val="0"/>
            <w:vAlign w:val="top"/>
          </w:tcPr>
          <w:p>
            <w:pPr>
              <w:pStyle w:val="3"/>
              <w:rPr>
                <w:color w:val="auto"/>
                <w:highlight w:val="none"/>
              </w:rPr>
            </w:pPr>
            <w:r>
              <w:rPr>
                <w:color w:val="auto"/>
                <w:highlight w:val="none"/>
              </w:rPr>
              <w:t>1、项目概况</w:t>
            </w:r>
          </w:p>
          <w:p>
            <w:pPr>
              <w:pStyle w:val="96"/>
              <w:rPr>
                <w:color w:val="auto"/>
                <w:highlight w:val="none"/>
              </w:rPr>
            </w:pPr>
            <w:r>
              <w:rPr>
                <w:color w:val="auto"/>
                <w:highlight w:val="none"/>
              </w:rPr>
              <w:t>1.1项目由来</w:t>
            </w:r>
          </w:p>
          <w:p>
            <w:pPr>
              <w:pStyle w:val="98"/>
              <w:ind w:firstLine="480"/>
              <w:rPr>
                <w:rFonts w:hint="eastAsia" w:eastAsia="宋体"/>
                <w:color w:val="auto"/>
                <w:highlight w:val="none"/>
                <w:lang w:eastAsia="zh-CN"/>
              </w:rPr>
            </w:pPr>
            <w:r>
              <w:rPr>
                <w:rFonts w:hint="eastAsia"/>
                <w:color w:val="auto"/>
                <w:highlight w:val="none"/>
                <w:lang w:val="en-US" w:eastAsia="zh-CN"/>
              </w:rPr>
              <w:t>福鼎市嘉邦建材</w:t>
            </w:r>
            <w:r>
              <w:rPr>
                <w:color w:val="auto"/>
                <w:highlight w:val="none"/>
              </w:rPr>
              <w:t>有限公司</w:t>
            </w:r>
            <w:r>
              <w:rPr>
                <w:rFonts w:hint="eastAsia"/>
                <w:color w:val="auto"/>
                <w:highlight w:val="none"/>
                <w:lang w:val="en-US" w:eastAsia="zh-CN"/>
              </w:rPr>
              <w:t>2022年11月4日通过公开拍卖依法取得宁德核电5、6号机组场地平整工程约55万方富余渣料。为加工生产竞拍所得的渣料，福鼎市嘉邦建材</w:t>
            </w:r>
            <w:r>
              <w:rPr>
                <w:color w:val="auto"/>
                <w:highlight w:val="none"/>
              </w:rPr>
              <w:t>有限公司拟投资</w:t>
            </w:r>
            <w:r>
              <w:rPr>
                <w:rFonts w:hint="eastAsia"/>
                <w:color w:val="auto"/>
                <w:highlight w:val="none"/>
                <w:lang w:val="en-US" w:eastAsia="zh-CN"/>
              </w:rPr>
              <w:t>300</w:t>
            </w:r>
            <w:r>
              <w:rPr>
                <w:color w:val="auto"/>
                <w:highlight w:val="none"/>
              </w:rPr>
              <w:t>万元建设</w:t>
            </w:r>
            <w:r>
              <w:rPr>
                <w:rFonts w:hint="eastAsia" w:ascii="Times New Roman" w:hAnsi="Times New Roman" w:eastAsia="宋体" w:cs="Times New Roman"/>
                <w:color w:val="auto"/>
                <w:sz w:val="24"/>
                <w:highlight w:val="none"/>
                <w:u w:val="none"/>
                <w:lang w:val="en-US" w:eastAsia="zh-CN"/>
              </w:rPr>
              <w:t>宁德核电场地平整富余渣料资源利用项目，</w:t>
            </w:r>
            <w:r>
              <w:rPr>
                <w:color w:val="auto"/>
                <w:highlight w:val="none"/>
              </w:rPr>
              <w:t>租用</w:t>
            </w:r>
            <w:r>
              <w:rPr>
                <w:rFonts w:hint="eastAsia"/>
                <w:color w:val="auto"/>
                <w:highlight w:val="none"/>
                <w:lang w:val="en-US" w:eastAsia="zh-CN"/>
              </w:rPr>
              <w:t>福建君德实业开发有限公司</w:t>
            </w:r>
            <w:r>
              <w:rPr>
                <w:color w:val="auto"/>
                <w:highlight w:val="none"/>
              </w:rPr>
              <w:t>位于福鼎市</w:t>
            </w:r>
            <w:r>
              <w:rPr>
                <w:rFonts w:hint="eastAsia"/>
                <w:color w:val="auto"/>
                <w:highlight w:val="none"/>
              </w:rPr>
              <w:t>山前街道百胜鸡母岩</w:t>
            </w:r>
            <w:r>
              <w:rPr>
                <w:rFonts w:hint="eastAsia"/>
                <w:color w:val="auto"/>
                <w:highlight w:val="none"/>
                <w:lang w:val="en-US" w:eastAsia="zh-CN"/>
              </w:rPr>
              <w:t>君德码头预留用地</w:t>
            </w:r>
            <w:r>
              <w:rPr>
                <w:color w:val="auto"/>
                <w:highlight w:val="none"/>
              </w:rPr>
              <w:t>作为项目用地</w:t>
            </w:r>
            <w:r>
              <w:rPr>
                <w:rFonts w:hint="eastAsia"/>
                <w:color w:val="auto"/>
                <w:highlight w:val="none"/>
                <w:lang w:eastAsia="zh-CN"/>
              </w:rPr>
              <w:t>，</w:t>
            </w:r>
            <w:r>
              <w:rPr>
                <w:rFonts w:hint="eastAsia"/>
                <w:color w:val="auto"/>
                <w:highlight w:val="none"/>
                <w:lang w:val="en-US" w:eastAsia="zh-CN"/>
              </w:rPr>
              <w:t>为期18个月</w:t>
            </w:r>
            <w:r>
              <w:rPr>
                <w:color w:val="auto"/>
                <w:highlight w:val="none"/>
              </w:rPr>
              <w:t>，占地</w:t>
            </w:r>
            <w:r>
              <w:rPr>
                <w:rFonts w:hint="eastAsia"/>
                <w:color w:val="auto"/>
                <w:highlight w:val="none"/>
                <w:lang w:val="en-US" w:eastAsia="zh-CN"/>
              </w:rPr>
              <w:t>约15</w:t>
            </w:r>
            <w:r>
              <w:rPr>
                <w:color w:val="auto"/>
                <w:highlight w:val="none"/>
              </w:rPr>
              <w:t>亩，建设一条</w:t>
            </w:r>
            <w:r>
              <w:rPr>
                <w:rFonts w:hint="eastAsia"/>
                <w:color w:val="auto"/>
                <w:highlight w:val="none"/>
                <w:lang w:val="en-US" w:eastAsia="zh-CN"/>
              </w:rPr>
              <w:t>骨料及机制砂加工</w:t>
            </w:r>
            <w:r>
              <w:rPr>
                <w:color w:val="auto"/>
                <w:highlight w:val="none"/>
              </w:rPr>
              <w:t>生产线，年产</w:t>
            </w:r>
            <w:r>
              <w:rPr>
                <w:rFonts w:hint="eastAsia"/>
                <w:color w:val="auto"/>
                <w:highlight w:val="none"/>
                <w:lang w:val="en-US" w:eastAsia="zh-CN"/>
              </w:rPr>
              <w:t>砂石63.6万</w:t>
            </w:r>
            <w:r>
              <w:rPr>
                <w:color w:val="auto"/>
                <w:highlight w:val="none"/>
              </w:rPr>
              <w:t>吨</w:t>
            </w:r>
            <w:r>
              <w:rPr>
                <w:rFonts w:hint="eastAsia"/>
                <w:color w:val="auto"/>
                <w:highlight w:val="none"/>
                <w:lang w:eastAsia="zh-CN"/>
              </w:rPr>
              <w:t>（</w:t>
            </w:r>
            <w:r>
              <w:rPr>
                <w:rFonts w:hint="eastAsia"/>
                <w:color w:val="auto"/>
                <w:highlight w:val="none"/>
                <w:lang w:val="en-US" w:eastAsia="zh-CN"/>
              </w:rPr>
              <w:t>加工处理规模55万方渣料</w:t>
            </w:r>
            <w:r>
              <w:rPr>
                <w:rFonts w:hint="eastAsia"/>
                <w:color w:val="auto"/>
                <w:highlight w:val="none"/>
                <w:lang w:eastAsia="zh-CN"/>
              </w:rPr>
              <w:t>）</w:t>
            </w:r>
            <w:r>
              <w:rPr>
                <w:color w:val="auto"/>
                <w:highlight w:val="none"/>
              </w:rPr>
              <w:t>。</w:t>
            </w:r>
            <w:r>
              <w:rPr>
                <w:rFonts w:hint="eastAsia"/>
                <w:color w:val="auto"/>
                <w:highlight w:val="none"/>
                <w:lang w:val="en-US" w:eastAsia="zh-CN"/>
              </w:rPr>
              <w:t>项目</w:t>
            </w:r>
            <w:r>
              <w:rPr>
                <w:rFonts w:hint="eastAsia"/>
                <w:color w:val="auto"/>
                <w:highlight w:val="none"/>
              </w:rPr>
              <w:t>于202</w:t>
            </w:r>
            <w:r>
              <w:rPr>
                <w:rFonts w:hint="eastAsia"/>
                <w:color w:val="auto"/>
                <w:highlight w:val="none"/>
                <w:lang w:val="en-US" w:eastAsia="zh-CN"/>
              </w:rPr>
              <w:t>3</w:t>
            </w:r>
            <w:r>
              <w:rPr>
                <w:rFonts w:hint="eastAsia"/>
                <w:color w:val="auto"/>
                <w:highlight w:val="none"/>
              </w:rPr>
              <w:t>年</w:t>
            </w:r>
            <w:r>
              <w:rPr>
                <w:rFonts w:hint="eastAsia"/>
                <w:color w:val="auto"/>
                <w:highlight w:val="none"/>
                <w:lang w:val="en-US" w:eastAsia="zh-CN"/>
              </w:rPr>
              <w:t>2</w:t>
            </w:r>
            <w:r>
              <w:rPr>
                <w:rFonts w:hint="eastAsia"/>
                <w:color w:val="auto"/>
                <w:highlight w:val="none"/>
              </w:rPr>
              <w:t>月1</w:t>
            </w:r>
            <w:r>
              <w:rPr>
                <w:rFonts w:hint="eastAsia"/>
                <w:color w:val="auto"/>
                <w:highlight w:val="none"/>
                <w:lang w:val="en-US" w:eastAsia="zh-CN"/>
              </w:rPr>
              <w:t>0</w:t>
            </w:r>
            <w:r>
              <w:rPr>
                <w:rFonts w:hint="eastAsia"/>
                <w:color w:val="auto"/>
                <w:highlight w:val="none"/>
              </w:rPr>
              <w:t>日在福鼎发展和改革局备案，备案编号为闽发改备【202</w:t>
            </w:r>
            <w:r>
              <w:rPr>
                <w:rFonts w:hint="eastAsia"/>
                <w:color w:val="auto"/>
                <w:highlight w:val="none"/>
                <w:lang w:val="en-US" w:eastAsia="zh-CN"/>
              </w:rPr>
              <w:t>3</w:t>
            </w:r>
            <w:r>
              <w:rPr>
                <w:rFonts w:hint="eastAsia"/>
                <w:color w:val="auto"/>
                <w:highlight w:val="none"/>
              </w:rPr>
              <w:t>】J0300</w:t>
            </w:r>
            <w:r>
              <w:rPr>
                <w:rFonts w:hint="eastAsia"/>
                <w:color w:val="auto"/>
                <w:highlight w:val="none"/>
                <w:lang w:val="en-US" w:eastAsia="zh-CN"/>
              </w:rPr>
              <w:t>03</w:t>
            </w:r>
            <w:r>
              <w:rPr>
                <w:rFonts w:hint="eastAsia"/>
                <w:color w:val="auto"/>
                <w:highlight w:val="none"/>
              </w:rPr>
              <w:t>号(详见附件3)。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highlight w:val="none"/>
                <w:lang w:val="en-US" w:eastAsia="zh-CN"/>
              </w:rPr>
            </w:pPr>
            <w:r>
              <w:rPr>
                <w:rFonts w:hint="eastAsia"/>
                <w:color w:val="auto"/>
                <w:sz w:val="24"/>
                <w:szCs w:val="24"/>
                <w:highlight w:val="none"/>
                <w:lang w:val="en-US" w:eastAsia="zh-CN"/>
              </w:rPr>
              <w:t>目前项目已安装部分生产设备，暂未进行生产加工，项目存在未批先建情况，目前宁德市福鼎生态局正在办理处罚手续。</w:t>
            </w:r>
          </w:p>
          <w:p>
            <w:pPr>
              <w:pStyle w:val="98"/>
              <w:ind w:firstLine="480"/>
              <w:rPr>
                <w:color w:val="auto"/>
                <w:highlight w:val="none"/>
              </w:rPr>
            </w:pPr>
            <w:r>
              <w:rPr>
                <w:color w:val="auto"/>
                <w:highlight w:val="none"/>
              </w:rPr>
              <w:t>根据《中华人民共和国环境影响评价法》(2018年12月29日修订)、《建设项目环境影响评价分类管理名录》(2021)，该建设项目属于“二十七、非金属矿物制品业30-56、砖瓦、石材等建筑材料制造303-其他建筑材料制造”项目，应编制环境影响报告表，因此</w:t>
            </w:r>
            <w:r>
              <w:rPr>
                <w:rFonts w:hint="eastAsia" w:ascii="Times New Roman" w:hAnsi="Times New Roman" w:eastAsia="宋体" w:cs="Times New Roman"/>
                <w:color w:val="auto"/>
                <w:sz w:val="24"/>
                <w:highlight w:val="none"/>
                <w:u w:val="none"/>
                <w:lang w:val="en-US" w:eastAsia="zh-CN"/>
              </w:rPr>
              <w:t>福鼎市嘉邦建材有限公司</w:t>
            </w:r>
            <w:r>
              <w:rPr>
                <w:color w:val="auto"/>
                <w:highlight w:val="none"/>
              </w:rPr>
              <w:t>委托福建省闽创环保科技有限公司对本项目进行环境影响评价(委托书详见附件1)。</w:t>
            </w:r>
          </w:p>
          <w:p>
            <w:pPr>
              <w:pStyle w:val="96"/>
              <w:rPr>
                <w:color w:val="auto"/>
                <w:highlight w:val="none"/>
              </w:rPr>
            </w:pPr>
            <w:r>
              <w:rPr>
                <w:color w:val="auto"/>
                <w:highlight w:val="none"/>
              </w:rPr>
              <w:t>1.2项目基本情况</w:t>
            </w:r>
          </w:p>
          <w:p>
            <w:pPr>
              <w:pStyle w:val="98"/>
              <w:ind w:firstLine="480"/>
              <w:rPr>
                <w:color w:val="auto"/>
                <w:highlight w:val="none"/>
              </w:rPr>
            </w:pPr>
            <w:r>
              <w:rPr>
                <w:color w:val="auto"/>
                <w:highlight w:val="none"/>
              </w:rPr>
              <w:t>(1)项目名称：</w:t>
            </w:r>
            <w:r>
              <w:rPr>
                <w:rFonts w:hint="eastAsia" w:ascii="Times New Roman" w:hAnsi="Times New Roman" w:eastAsia="宋体" w:cs="Times New Roman"/>
                <w:color w:val="auto"/>
                <w:sz w:val="24"/>
                <w:highlight w:val="none"/>
                <w:u w:val="none"/>
                <w:lang w:val="en-US" w:eastAsia="zh-CN"/>
              </w:rPr>
              <w:t>宁德核电场地平整富余渣料资源利用项目</w:t>
            </w:r>
          </w:p>
          <w:p>
            <w:pPr>
              <w:pStyle w:val="98"/>
              <w:ind w:firstLine="480"/>
              <w:rPr>
                <w:color w:val="auto"/>
                <w:highlight w:val="none"/>
              </w:rPr>
            </w:pPr>
            <w:r>
              <w:rPr>
                <w:color w:val="auto"/>
                <w:highlight w:val="none"/>
              </w:rPr>
              <w:t>(2)建设单位：</w:t>
            </w:r>
            <w:r>
              <w:rPr>
                <w:rFonts w:hint="eastAsia" w:ascii="Times New Roman" w:hAnsi="Times New Roman" w:eastAsia="宋体" w:cs="Times New Roman"/>
                <w:color w:val="auto"/>
                <w:sz w:val="24"/>
                <w:highlight w:val="none"/>
                <w:u w:val="none"/>
                <w:lang w:val="en-US" w:eastAsia="zh-CN"/>
              </w:rPr>
              <w:t>福鼎市嘉邦建材有限公司</w:t>
            </w:r>
          </w:p>
          <w:p>
            <w:pPr>
              <w:pStyle w:val="98"/>
              <w:ind w:firstLine="480"/>
              <w:rPr>
                <w:rFonts w:hint="default" w:eastAsia="宋体"/>
                <w:color w:val="auto"/>
                <w:highlight w:val="none"/>
                <w:lang w:val="en-US" w:eastAsia="zh-CN"/>
              </w:rPr>
            </w:pPr>
            <w:r>
              <w:rPr>
                <w:color w:val="auto"/>
                <w:highlight w:val="none"/>
              </w:rPr>
              <w:t>(3)建设地点：</w:t>
            </w:r>
            <w:r>
              <w:rPr>
                <w:rFonts w:hint="eastAsia"/>
                <w:color w:val="auto"/>
                <w:highlight w:val="none"/>
                <w:lang w:val="en-US" w:eastAsia="zh-CN"/>
              </w:rPr>
              <w:t>福建省宁德市</w:t>
            </w:r>
            <w:r>
              <w:rPr>
                <w:color w:val="auto"/>
                <w:highlight w:val="none"/>
              </w:rPr>
              <w:t>福鼎市</w:t>
            </w:r>
            <w:r>
              <w:rPr>
                <w:rFonts w:hint="eastAsia"/>
                <w:color w:val="auto"/>
                <w:highlight w:val="none"/>
                <w:lang w:val="en-US" w:eastAsia="zh-CN"/>
              </w:rPr>
              <w:t>山前街道百胜村鸡母岩君德码头</w:t>
            </w:r>
          </w:p>
          <w:p>
            <w:pPr>
              <w:pStyle w:val="98"/>
              <w:ind w:firstLine="480"/>
              <w:rPr>
                <w:color w:val="auto"/>
                <w:highlight w:val="none"/>
              </w:rPr>
            </w:pPr>
            <w:r>
              <w:rPr>
                <w:color w:val="auto"/>
                <w:highlight w:val="none"/>
              </w:rPr>
              <w:t>(4)建设性质：新建</w:t>
            </w:r>
          </w:p>
          <w:p>
            <w:pPr>
              <w:pStyle w:val="98"/>
              <w:ind w:firstLine="480"/>
              <w:rPr>
                <w:color w:val="auto"/>
                <w:highlight w:val="none"/>
              </w:rPr>
            </w:pPr>
            <w:r>
              <w:rPr>
                <w:color w:val="auto"/>
                <w:highlight w:val="none"/>
              </w:rPr>
              <w:t>(5)建设内容及规模：</w:t>
            </w:r>
            <w:r>
              <w:rPr>
                <w:rFonts w:hint="eastAsia"/>
                <w:color w:val="auto"/>
                <w:highlight w:val="none"/>
                <w:lang w:val="en-US" w:eastAsia="zh-CN"/>
              </w:rPr>
              <w:t>租用</w:t>
            </w:r>
            <w:r>
              <w:rPr>
                <w:rFonts w:hint="eastAsia"/>
                <w:color w:val="auto"/>
                <w:kern w:val="0"/>
                <w:szCs w:val="21"/>
                <w:highlight w:val="none"/>
              </w:rPr>
              <w:t>福建君德实业开发有限公司</w:t>
            </w:r>
            <w:r>
              <w:rPr>
                <w:rFonts w:hint="eastAsia"/>
                <w:color w:val="auto"/>
                <w:highlight w:val="none"/>
                <w:lang w:val="en-US" w:eastAsia="zh-CN"/>
              </w:rPr>
              <w:t>用地15亩，设置一条骨料及机制砂加工生产线，用于加工宁德核电5、6号机场地平整工厂富余渣料，年产砂石63.6万吨。该场地仅用于加工宁德核电5、6号机场地平整工厂富余渣料，为期18个月。到期后自行拆除相关设备并完成场地平整。</w:t>
            </w:r>
          </w:p>
          <w:p>
            <w:pPr>
              <w:pStyle w:val="98"/>
              <w:ind w:firstLine="480"/>
              <w:rPr>
                <w:rFonts w:hint="default" w:eastAsia="宋体"/>
                <w:color w:val="auto"/>
                <w:highlight w:val="none"/>
                <w:lang w:val="en-US" w:eastAsia="zh-CN"/>
              </w:rPr>
            </w:pPr>
            <w:r>
              <w:rPr>
                <w:color w:val="auto"/>
                <w:highlight w:val="none"/>
              </w:rPr>
              <w:t>(6)劳动定员：职工人数</w:t>
            </w:r>
            <w:r>
              <w:rPr>
                <w:rFonts w:hint="eastAsia"/>
                <w:color w:val="auto"/>
                <w:highlight w:val="none"/>
                <w:lang w:val="en-US" w:eastAsia="zh-CN"/>
              </w:rPr>
              <w:t>10</w:t>
            </w:r>
            <w:r>
              <w:rPr>
                <w:color w:val="auto"/>
                <w:highlight w:val="none"/>
              </w:rPr>
              <w:t>人</w:t>
            </w:r>
            <w:r>
              <w:rPr>
                <w:rFonts w:hint="eastAsia"/>
                <w:color w:val="auto"/>
                <w:highlight w:val="none"/>
                <w:lang w:eastAsia="zh-CN"/>
              </w:rPr>
              <w:t>，</w:t>
            </w:r>
            <w:r>
              <w:rPr>
                <w:rFonts w:hint="eastAsia"/>
                <w:color w:val="auto"/>
                <w:highlight w:val="none"/>
                <w:lang w:val="en-US" w:eastAsia="zh-CN"/>
              </w:rPr>
              <w:t>厂区不设食宿</w:t>
            </w:r>
          </w:p>
          <w:p>
            <w:pPr>
              <w:pStyle w:val="98"/>
              <w:ind w:firstLine="480"/>
              <w:rPr>
                <w:color w:val="auto"/>
                <w:highlight w:val="none"/>
              </w:rPr>
            </w:pPr>
            <w:r>
              <w:rPr>
                <w:color w:val="auto"/>
                <w:highlight w:val="none"/>
              </w:rPr>
              <w:t>(7)工作制度：年生产3</w:t>
            </w:r>
            <w:r>
              <w:rPr>
                <w:rFonts w:hint="eastAsia"/>
                <w:color w:val="auto"/>
                <w:highlight w:val="none"/>
                <w:lang w:val="en-US" w:eastAsia="zh-CN"/>
              </w:rPr>
              <w:t>30</w:t>
            </w:r>
            <w:r>
              <w:rPr>
                <w:color w:val="auto"/>
                <w:highlight w:val="none"/>
              </w:rPr>
              <w:t>天，</w:t>
            </w:r>
            <w:r>
              <w:rPr>
                <w:rFonts w:hint="eastAsia"/>
                <w:color w:val="auto"/>
                <w:highlight w:val="none"/>
                <w:lang w:eastAsia="zh-CN"/>
              </w:rPr>
              <w:t>双</w:t>
            </w:r>
            <w:r>
              <w:rPr>
                <w:rFonts w:hint="eastAsia"/>
                <w:color w:val="auto"/>
                <w:highlight w:val="none"/>
                <w:lang w:val="en-US" w:eastAsia="zh-CN"/>
              </w:rPr>
              <w:t>班制，10</w:t>
            </w:r>
            <w:r>
              <w:rPr>
                <w:rFonts w:hint="eastAsia"/>
                <w:color w:val="auto"/>
                <w:highlight w:val="none"/>
              </w:rPr>
              <w:t>小时/班次</w:t>
            </w:r>
          </w:p>
          <w:p>
            <w:pPr>
              <w:pStyle w:val="98"/>
              <w:ind w:firstLine="480"/>
              <w:rPr>
                <w:color w:val="auto"/>
                <w:highlight w:val="none"/>
              </w:rPr>
            </w:pPr>
            <w:r>
              <w:rPr>
                <w:color w:val="auto"/>
                <w:highlight w:val="none"/>
              </w:rPr>
              <w:t>(8)工程投资：总投资</w:t>
            </w:r>
            <w:r>
              <w:rPr>
                <w:rFonts w:hint="eastAsia"/>
                <w:color w:val="auto"/>
                <w:highlight w:val="none"/>
                <w:lang w:val="en-US" w:eastAsia="zh-CN"/>
              </w:rPr>
              <w:t>300</w:t>
            </w:r>
            <w:r>
              <w:rPr>
                <w:color w:val="auto"/>
                <w:highlight w:val="none"/>
              </w:rPr>
              <w:t>万元，其中环保投资</w:t>
            </w:r>
            <w:r>
              <w:rPr>
                <w:rFonts w:hint="eastAsia"/>
                <w:color w:val="auto"/>
                <w:highlight w:val="none"/>
                <w:lang w:val="en-US" w:eastAsia="zh-CN"/>
              </w:rPr>
              <w:t>30</w:t>
            </w:r>
            <w:r>
              <w:rPr>
                <w:color w:val="auto"/>
                <w:highlight w:val="none"/>
              </w:rPr>
              <w:t>万元</w:t>
            </w:r>
          </w:p>
          <w:p>
            <w:pPr>
              <w:pStyle w:val="3"/>
              <w:rPr>
                <w:color w:val="auto"/>
                <w:highlight w:val="none"/>
              </w:rPr>
            </w:pPr>
            <w:r>
              <w:rPr>
                <w:color w:val="auto"/>
                <w:highlight w:val="none"/>
              </w:rPr>
              <w:t>2、建设内容</w:t>
            </w:r>
          </w:p>
          <w:p>
            <w:pPr>
              <w:pStyle w:val="98"/>
              <w:ind w:firstLine="480"/>
              <w:rPr>
                <w:color w:val="auto"/>
                <w:highlight w:val="none"/>
              </w:rPr>
            </w:pPr>
            <w:r>
              <w:rPr>
                <w:color w:val="auto"/>
                <w:highlight w:val="none"/>
              </w:rPr>
              <w:t>项目工程组成如表</w:t>
            </w:r>
            <w:r>
              <w:rPr>
                <w:rFonts w:hint="eastAsia"/>
                <w:color w:val="auto"/>
                <w:highlight w:val="none"/>
                <w:lang w:val="en-US" w:eastAsia="zh-CN"/>
              </w:rPr>
              <w:t>3</w:t>
            </w:r>
            <w:r>
              <w:rPr>
                <w:color w:val="auto"/>
                <w:highlight w:val="none"/>
              </w:rPr>
              <w:t>所示。</w:t>
            </w:r>
          </w:p>
          <w:p>
            <w:pPr>
              <w:pStyle w:val="57"/>
              <w:rPr>
                <w:color w:val="auto"/>
                <w:highlight w:val="none"/>
              </w:rPr>
            </w:pPr>
            <w:r>
              <w:rPr>
                <w:color w:val="auto"/>
                <w:highlight w:val="none"/>
              </w:rPr>
              <w:t>项目工程组成表</w:t>
            </w:r>
          </w:p>
          <w:tbl>
            <w:tblPr>
              <w:tblStyle w:val="25"/>
              <w:tblW w:w="0" w:type="auto"/>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293"/>
              <w:gridCol w:w="453"/>
              <w:gridCol w:w="1842"/>
              <w:gridCol w:w="5187"/>
              <w:gridCol w:w="60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blHeader/>
                <w:jc w:val="center"/>
              </w:trPr>
              <w:tc>
                <w:tcPr>
                  <w:tcW w:w="29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序号</w:t>
                  </w:r>
                </w:p>
              </w:tc>
              <w:tc>
                <w:tcPr>
                  <w:tcW w:w="45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工程类别</w:t>
                  </w:r>
                </w:p>
              </w:tc>
              <w:tc>
                <w:tcPr>
                  <w:tcW w:w="1842"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工程名称</w:t>
                  </w:r>
                </w:p>
              </w:tc>
              <w:tc>
                <w:tcPr>
                  <w:tcW w:w="5187"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建设内容</w:t>
                  </w:r>
                </w:p>
              </w:tc>
              <w:tc>
                <w:tcPr>
                  <w:tcW w:w="60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未批先建内容</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9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45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主体工程</w:t>
                  </w:r>
                </w:p>
              </w:tc>
              <w:tc>
                <w:tcPr>
                  <w:tcW w:w="1842"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年产63.6万吨砂石生产线</w:t>
                  </w:r>
                  <w:r>
                    <w:rPr>
                      <w:rFonts w:hint="eastAsia"/>
                      <w:color w:val="auto"/>
                      <w:highlight w:val="none"/>
                      <w:lang w:eastAsia="zh-CN"/>
                    </w:rPr>
                    <w:t>（</w:t>
                  </w:r>
                  <w:r>
                    <w:rPr>
                      <w:rFonts w:hint="eastAsia"/>
                      <w:color w:val="auto"/>
                      <w:highlight w:val="none"/>
                      <w:lang w:val="en-US" w:eastAsia="zh-CN"/>
                    </w:rPr>
                    <w:t>加工处理规模55万方渣料</w:t>
                  </w:r>
                  <w:r>
                    <w:rPr>
                      <w:rFonts w:hint="eastAsia"/>
                      <w:color w:val="auto"/>
                      <w:highlight w:val="none"/>
                      <w:lang w:eastAsia="zh-CN"/>
                    </w:rPr>
                    <w:t>）</w:t>
                  </w:r>
                </w:p>
              </w:tc>
              <w:tc>
                <w:tcPr>
                  <w:tcW w:w="5187"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设置一条</w:t>
                  </w:r>
                  <w:r>
                    <w:rPr>
                      <w:rFonts w:hint="eastAsia"/>
                      <w:color w:val="auto"/>
                      <w:highlight w:val="none"/>
                      <w:lang w:val="en-US" w:eastAsia="zh-CN"/>
                    </w:rPr>
                    <w:t>骨料及机制砂加工</w:t>
                  </w:r>
                  <w:r>
                    <w:rPr>
                      <w:rFonts w:hint="eastAsia" w:cs="Times New Roman"/>
                      <w:color w:val="auto"/>
                      <w:sz w:val="21"/>
                      <w:szCs w:val="21"/>
                      <w:highlight w:val="none"/>
                      <w:lang w:val="en-US" w:eastAsia="zh-CN"/>
                    </w:rPr>
                    <w:t>生产线，年产砂石63.6万吨；</w:t>
                  </w:r>
                </w:p>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生产厂房为单层密闭厂房，占地约1000m</w:t>
                  </w:r>
                  <w:r>
                    <w:rPr>
                      <w:rFonts w:hint="eastAsia" w:cs="Times New Roman"/>
                      <w:color w:val="auto"/>
                      <w:sz w:val="21"/>
                      <w:szCs w:val="21"/>
                      <w:highlight w:val="none"/>
                      <w:vertAlign w:val="superscript"/>
                      <w:lang w:val="en-US" w:eastAsia="zh-CN"/>
                    </w:rPr>
                    <w:t>2</w:t>
                  </w:r>
                </w:p>
              </w:tc>
              <w:tc>
                <w:tcPr>
                  <w:tcW w:w="60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在建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9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45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辅助工程</w:t>
                  </w:r>
                </w:p>
              </w:tc>
              <w:tc>
                <w:tcPr>
                  <w:tcW w:w="1842"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检验室</w:t>
                  </w:r>
                </w:p>
              </w:tc>
              <w:tc>
                <w:tcPr>
                  <w:tcW w:w="5187"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设置一间检验室，位于生产车间东北侧，占地12m</w:t>
                  </w:r>
                  <w:r>
                    <w:rPr>
                      <w:rFonts w:hint="eastAsia" w:cs="Times New Roman"/>
                      <w:color w:val="auto"/>
                      <w:sz w:val="21"/>
                      <w:szCs w:val="21"/>
                      <w:highlight w:val="none"/>
                      <w:vertAlign w:val="superscript"/>
                      <w:lang w:val="en-US" w:eastAsia="zh-CN"/>
                    </w:rPr>
                    <w:t>2</w:t>
                  </w:r>
                  <w:r>
                    <w:rPr>
                      <w:rFonts w:hint="eastAsia" w:cs="Times New Roman"/>
                      <w:color w:val="auto"/>
                      <w:sz w:val="21"/>
                      <w:szCs w:val="21"/>
                      <w:highlight w:val="none"/>
                      <w:lang w:val="en-US" w:eastAsia="zh-CN"/>
                    </w:rPr>
                    <w:t>。</w:t>
                  </w:r>
                </w:p>
              </w:tc>
              <w:tc>
                <w:tcPr>
                  <w:tcW w:w="60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eastAsia"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新建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93" w:type="dxa"/>
                  <w:vMerge w:val="restart"/>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453" w:type="dxa"/>
                  <w:vMerge w:val="restart"/>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储运工程</w:t>
                  </w:r>
                </w:p>
              </w:tc>
              <w:tc>
                <w:tcPr>
                  <w:tcW w:w="1842"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输送带</w:t>
                  </w:r>
                </w:p>
              </w:tc>
              <w:tc>
                <w:tcPr>
                  <w:tcW w:w="5187"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设置半封闭输送带；分为原料堆场至生产厂房，生产厂房内部输送带，生产厂房至成品堆场</w:t>
                  </w:r>
                </w:p>
              </w:tc>
              <w:tc>
                <w:tcPr>
                  <w:tcW w:w="60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eastAsia"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新建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93"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eastAsia" w:cs="Times New Roman"/>
                      <w:color w:val="auto"/>
                      <w:sz w:val="21"/>
                      <w:szCs w:val="21"/>
                      <w:highlight w:val="none"/>
                      <w:lang w:val="en-US" w:eastAsia="zh-CN"/>
                    </w:rPr>
                  </w:pPr>
                </w:p>
              </w:tc>
              <w:tc>
                <w:tcPr>
                  <w:tcW w:w="453"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1842"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原料堆场</w:t>
                  </w:r>
                </w:p>
              </w:tc>
              <w:tc>
                <w:tcPr>
                  <w:tcW w:w="5187"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占地约1200m</w:t>
                  </w:r>
                  <w:r>
                    <w:rPr>
                      <w:rFonts w:hint="eastAsia" w:cs="Times New Roman"/>
                      <w:color w:val="auto"/>
                      <w:sz w:val="21"/>
                      <w:szCs w:val="21"/>
                      <w:highlight w:val="none"/>
                      <w:vertAlign w:val="superscript"/>
                      <w:lang w:val="en-US" w:eastAsia="zh-CN"/>
                    </w:rPr>
                    <w:t>2</w:t>
                  </w:r>
                  <w:r>
                    <w:rPr>
                      <w:rFonts w:hint="eastAsia" w:cs="Times New Roman"/>
                      <w:color w:val="auto"/>
                      <w:sz w:val="21"/>
                      <w:szCs w:val="21"/>
                      <w:highlight w:val="none"/>
                      <w:lang w:val="en-US" w:eastAsia="zh-CN"/>
                    </w:rPr>
                    <w:t>，最大储量约0.5万t，采取苫布覆盖</w:t>
                  </w:r>
                </w:p>
              </w:tc>
              <w:tc>
                <w:tcPr>
                  <w:tcW w:w="60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color w:val="auto"/>
                      <w:highlight w:val="none"/>
                    </w:rPr>
                  </w:pPr>
                  <w:r>
                    <w:rPr>
                      <w:rFonts w:hint="eastAsia" w:ascii="Times New Roman" w:hAnsi="Times New Roman" w:eastAsia="宋体" w:cs="Times New Roman"/>
                      <w:color w:val="auto"/>
                      <w:sz w:val="21"/>
                      <w:szCs w:val="21"/>
                      <w:highlight w:val="none"/>
                      <w:lang w:val="en-US" w:eastAsia="zh-CN"/>
                    </w:rPr>
                    <w:t>新建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93"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eastAsia" w:cs="Times New Roman"/>
                      <w:color w:val="auto"/>
                      <w:sz w:val="21"/>
                      <w:szCs w:val="21"/>
                      <w:highlight w:val="none"/>
                      <w:lang w:val="en-US" w:eastAsia="zh-CN"/>
                    </w:rPr>
                  </w:pPr>
                </w:p>
              </w:tc>
              <w:tc>
                <w:tcPr>
                  <w:tcW w:w="453"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1842"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成品堆场</w:t>
                  </w:r>
                </w:p>
              </w:tc>
              <w:tc>
                <w:tcPr>
                  <w:tcW w:w="5187"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占地约800m</w:t>
                  </w:r>
                  <w:r>
                    <w:rPr>
                      <w:rFonts w:hint="eastAsia" w:cs="Times New Roman"/>
                      <w:color w:val="auto"/>
                      <w:sz w:val="21"/>
                      <w:szCs w:val="21"/>
                      <w:highlight w:val="none"/>
                      <w:vertAlign w:val="superscript"/>
                      <w:lang w:val="en-US" w:eastAsia="zh-CN"/>
                    </w:rPr>
                    <w:t>2</w:t>
                  </w:r>
                  <w:r>
                    <w:rPr>
                      <w:rFonts w:hint="eastAsia" w:cs="Times New Roman"/>
                      <w:color w:val="auto"/>
                      <w:sz w:val="21"/>
                      <w:szCs w:val="21"/>
                      <w:highlight w:val="none"/>
                      <w:lang w:val="en-US" w:eastAsia="zh-CN"/>
                    </w:rPr>
                    <w:t>，最大储量约0.4万t，采取苫布覆盖</w:t>
                  </w:r>
                </w:p>
              </w:tc>
              <w:tc>
                <w:tcPr>
                  <w:tcW w:w="60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color w:val="auto"/>
                      <w:highlight w:val="none"/>
                    </w:rPr>
                  </w:pPr>
                  <w:r>
                    <w:rPr>
                      <w:rFonts w:hint="eastAsia" w:ascii="Times New Roman" w:hAnsi="Times New Roman" w:eastAsia="宋体" w:cs="Times New Roman"/>
                      <w:color w:val="auto"/>
                      <w:sz w:val="21"/>
                      <w:szCs w:val="21"/>
                      <w:highlight w:val="none"/>
                      <w:lang w:val="en-US" w:eastAsia="zh-CN"/>
                    </w:rPr>
                    <w:t>新建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93" w:type="dxa"/>
                  <w:vMerge w:val="restart"/>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eastAsia" w:ascii="Times New Roman" w:hAnsi="Times New Roman" w:eastAsia="宋体" w:cs="Times New Roman"/>
                      <w:color w:val="auto"/>
                      <w:sz w:val="21"/>
                      <w:szCs w:val="21"/>
                      <w:highlight w:val="none"/>
                      <w:lang w:eastAsia="zh-CN"/>
                    </w:rPr>
                  </w:pPr>
                  <w:r>
                    <w:rPr>
                      <w:rFonts w:hint="eastAsia" w:cs="Times New Roman"/>
                      <w:color w:val="auto"/>
                      <w:w w:val="99"/>
                      <w:sz w:val="21"/>
                      <w:szCs w:val="21"/>
                      <w:highlight w:val="none"/>
                      <w:lang w:val="en-US" w:eastAsia="zh-CN"/>
                    </w:rPr>
                    <w:t>3</w:t>
                  </w:r>
                </w:p>
              </w:tc>
              <w:tc>
                <w:tcPr>
                  <w:tcW w:w="453" w:type="dxa"/>
                  <w:vMerge w:val="restart"/>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公用工程</w:t>
                  </w:r>
                </w:p>
              </w:tc>
              <w:tc>
                <w:tcPr>
                  <w:tcW w:w="1842"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给水系统</w:t>
                  </w:r>
                </w:p>
              </w:tc>
              <w:tc>
                <w:tcPr>
                  <w:tcW w:w="5187"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rPr>
                  </w:pPr>
                  <w:r>
                    <w:rPr>
                      <w:rFonts w:hint="eastAsia" w:cs="Times New Roman"/>
                      <w:color w:val="auto"/>
                      <w:sz w:val="21"/>
                      <w:szCs w:val="21"/>
                      <w:highlight w:val="none"/>
                      <w:lang w:val="en-US" w:eastAsia="zh-CN"/>
                    </w:rPr>
                    <w:t>市政供水</w:t>
                  </w:r>
                </w:p>
              </w:tc>
              <w:tc>
                <w:tcPr>
                  <w:tcW w:w="60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color w:val="auto"/>
                      <w:highlight w:val="none"/>
                    </w:rPr>
                  </w:pPr>
                  <w:r>
                    <w:rPr>
                      <w:rFonts w:hint="eastAsia" w:ascii="Times New Roman" w:hAnsi="Times New Roman" w:eastAsia="宋体" w:cs="Times New Roman"/>
                      <w:color w:val="auto"/>
                      <w:sz w:val="21"/>
                      <w:szCs w:val="21"/>
                      <w:highlight w:val="none"/>
                      <w:lang w:val="en-US" w:eastAsia="zh-CN"/>
                    </w:rPr>
                    <w:t>新建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93"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453"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1842"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排水系统</w:t>
                  </w:r>
                </w:p>
              </w:tc>
              <w:tc>
                <w:tcPr>
                  <w:tcW w:w="5187"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项目采用“雨污分流、清污分流”</w:t>
                  </w:r>
                  <w:r>
                    <w:rPr>
                      <w:rFonts w:hint="default" w:ascii="Times New Roman" w:hAnsi="Times New Roman" w:eastAsia="宋体" w:cs="Times New Roman"/>
                      <w:color w:val="auto"/>
                      <w:sz w:val="21"/>
                      <w:szCs w:val="21"/>
                      <w:highlight w:val="none"/>
                      <w:lang w:eastAsia="zh-CN"/>
                    </w:rPr>
                    <w:t>，</w:t>
                  </w:r>
                  <w:r>
                    <w:rPr>
                      <w:rFonts w:hint="eastAsia" w:cs="Times New Roman"/>
                      <w:color w:val="auto"/>
                      <w:sz w:val="21"/>
                      <w:szCs w:val="21"/>
                      <w:highlight w:val="none"/>
                      <w:lang w:val="en-US" w:eastAsia="zh-CN"/>
                    </w:rPr>
                    <w:t>生产废水及雨水系统分流</w:t>
                  </w:r>
                </w:p>
              </w:tc>
              <w:tc>
                <w:tcPr>
                  <w:tcW w:w="60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新建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93"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453"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1842"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供电系统</w:t>
                  </w:r>
                </w:p>
              </w:tc>
              <w:tc>
                <w:tcPr>
                  <w:tcW w:w="5187"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市政电网</w:t>
                  </w:r>
                </w:p>
              </w:tc>
              <w:tc>
                <w:tcPr>
                  <w:tcW w:w="60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color w:val="auto"/>
                      <w:highlight w:val="none"/>
                    </w:rPr>
                  </w:pPr>
                  <w:r>
                    <w:rPr>
                      <w:rFonts w:hint="eastAsia" w:ascii="Times New Roman" w:hAnsi="Times New Roman" w:eastAsia="宋体" w:cs="Times New Roman"/>
                      <w:color w:val="auto"/>
                      <w:sz w:val="21"/>
                      <w:szCs w:val="21"/>
                      <w:highlight w:val="none"/>
                      <w:lang w:val="en-US" w:eastAsia="zh-CN"/>
                    </w:rPr>
                    <w:t>新建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93" w:type="dxa"/>
                  <w:vMerge w:val="restart"/>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w w:val="99"/>
                      <w:sz w:val="21"/>
                      <w:szCs w:val="21"/>
                      <w:highlight w:val="none"/>
                    </w:rPr>
                    <w:t>4</w:t>
                  </w:r>
                </w:p>
              </w:tc>
              <w:tc>
                <w:tcPr>
                  <w:tcW w:w="453" w:type="dxa"/>
                  <w:vMerge w:val="restart"/>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pacing w:val="-9"/>
                      <w:sz w:val="21"/>
                      <w:szCs w:val="21"/>
                      <w:highlight w:val="none"/>
                    </w:rPr>
                    <w:t>环</w:t>
                  </w:r>
                  <w:r>
                    <w:rPr>
                      <w:rFonts w:hint="default" w:ascii="Times New Roman" w:hAnsi="Times New Roman" w:eastAsia="宋体" w:cs="Times New Roman"/>
                      <w:color w:val="auto"/>
                      <w:sz w:val="21"/>
                      <w:szCs w:val="21"/>
                      <w:highlight w:val="none"/>
                    </w:rPr>
                    <w:t>保工程</w:t>
                  </w:r>
                </w:p>
              </w:tc>
              <w:tc>
                <w:tcPr>
                  <w:tcW w:w="1842"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废水处理系统</w:t>
                  </w:r>
                </w:p>
              </w:tc>
              <w:tc>
                <w:tcPr>
                  <w:tcW w:w="5187"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①</w:t>
                  </w:r>
                  <w:r>
                    <w:rPr>
                      <w:rFonts w:hint="eastAsia" w:cs="Times New Roman"/>
                      <w:color w:val="auto"/>
                      <w:sz w:val="21"/>
                      <w:szCs w:val="21"/>
                      <w:highlight w:val="none"/>
                      <w:lang w:val="en-US" w:eastAsia="zh-CN"/>
                    </w:rPr>
                    <w:t>生产废水：深锥浓缩处理，并设置清水池，废水处理后循环使用</w:t>
                  </w:r>
                  <w:r>
                    <w:rPr>
                      <w:rFonts w:hint="default" w:ascii="Times New Roman" w:hAnsi="Times New Roman" w:eastAsia="宋体" w:cs="Times New Roman"/>
                      <w:color w:val="auto"/>
                      <w:sz w:val="21"/>
                      <w:szCs w:val="21"/>
                      <w:highlight w:val="none"/>
                    </w:rPr>
                    <w:t>；</w:t>
                  </w:r>
                  <w:r>
                    <w:rPr>
                      <w:rFonts w:hint="eastAsia" w:cs="Times New Roman"/>
                      <w:color w:val="auto"/>
                      <w:sz w:val="21"/>
                      <w:szCs w:val="21"/>
                      <w:highlight w:val="none"/>
                      <w:lang w:val="en-US" w:eastAsia="zh-CN"/>
                    </w:rPr>
                    <w:t>设置废水浓缩罐及厢式压滤机，位于厂区北侧。</w:t>
                  </w:r>
                </w:p>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both"/>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②</w:t>
                  </w:r>
                  <w:r>
                    <w:rPr>
                      <w:rFonts w:hint="eastAsia" w:cs="Times New Roman"/>
                      <w:color w:val="auto"/>
                      <w:sz w:val="21"/>
                      <w:szCs w:val="21"/>
                      <w:highlight w:val="none"/>
                      <w:lang w:val="en-US" w:eastAsia="zh-CN"/>
                    </w:rPr>
                    <w:t>初期雨水：设置一座初期雨水沉淀池（180m</w:t>
                  </w:r>
                  <w:r>
                    <w:rPr>
                      <w:rFonts w:hint="eastAsia" w:cs="Times New Roman"/>
                      <w:color w:val="auto"/>
                      <w:sz w:val="21"/>
                      <w:szCs w:val="21"/>
                      <w:highlight w:val="none"/>
                      <w:vertAlign w:val="superscript"/>
                      <w:lang w:val="en-US" w:eastAsia="zh-CN"/>
                    </w:rPr>
                    <w:t>3</w:t>
                  </w:r>
                  <w:r>
                    <w:rPr>
                      <w:rFonts w:hint="eastAsia" w:cs="Times New Roman"/>
                      <w:color w:val="auto"/>
                      <w:sz w:val="21"/>
                      <w:szCs w:val="21"/>
                      <w:highlight w:val="none"/>
                      <w:lang w:val="en-US" w:eastAsia="zh-CN"/>
                    </w:rPr>
                    <w:t>）</w:t>
                  </w:r>
                </w:p>
              </w:tc>
              <w:tc>
                <w:tcPr>
                  <w:tcW w:w="60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新建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93"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453"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1842"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废气处理系统</w:t>
                  </w:r>
                </w:p>
              </w:tc>
              <w:tc>
                <w:tcPr>
                  <w:tcW w:w="5187" w:type="dxa"/>
                  <w:tcBorders>
                    <w:tl2br w:val="nil"/>
                    <w:tr2bl w:val="nil"/>
                  </w:tcBorders>
                  <w:noWrap w:val="0"/>
                  <w:vAlign w:val="center"/>
                </w:tcPr>
                <w:p>
                  <w:pPr>
                    <w:pStyle w:val="89"/>
                    <w:keepNext w:val="0"/>
                    <w:keepLines w:val="0"/>
                    <w:pageBreakBefore w:val="0"/>
                    <w:widowControl w:val="0"/>
                    <w:kinsoku/>
                    <w:overflowPunct/>
                    <w:topLinePunct w:val="0"/>
                    <w:bidi w:val="0"/>
                    <w:adjustRightInd w:val="0"/>
                    <w:snapToGrid w:val="0"/>
                    <w:spacing w:beforeAutospacing="0" w:afterAutospacing="0" w:line="240" w:lineRule="auto"/>
                    <w:ind w:left="0" w:leftChars="0" w:firstLine="0" w:firstLineChars="0"/>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①</w:t>
                  </w:r>
                  <w:r>
                    <w:rPr>
                      <w:rFonts w:hint="default" w:ascii="Times New Roman" w:hAnsi="Times New Roman" w:cs="Times New Roman"/>
                      <w:color w:val="auto"/>
                      <w:sz w:val="21"/>
                      <w:szCs w:val="21"/>
                      <w:highlight w:val="none"/>
                      <w:lang w:val="en-US" w:eastAsia="zh-CN"/>
                    </w:rPr>
                    <w:t>破碎机、振动筛等产尘设备设置在密闭车间内，四周围挡，产生的粉尘经袋式除尘器收集后通过15m高排气筒高空排放；</w:t>
                  </w:r>
                </w:p>
                <w:p>
                  <w:pPr>
                    <w:pStyle w:val="89"/>
                    <w:keepNext w:val="0"/>
                    <w:keepLines w:val="0"/>
                    <w:pageBreakBefore w:val="0"/>
                    <w:widowControl w:val="0"/>
                    <w:kinsoku/>
                    <w:overflowPunct/>
                    <w:topLinePunct w:val="0"/>
                    <w:bidi w:val="0"/>
                    <w:adjustRightInd w:val="0"/>
                    <w:snapToGrid w:val="0"/>
                    <w:spacing w:beforeAutospacing="0" w:afterAutospacing="0" w:line="240" w:lineRule="auto"/>
                    <w:ind w:left="0" w:leftChars="0" w:firstLine="0" w:firstLineChars="0"/>
                    <w:textAlignment w:val="auto"/>
                    <w:rPr>
                      <w:rFonts w:hint="eastAsia" w:ascii="Times New Roman" w:hAnsi="Times New Roman"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②</w:t>
                  </w:r>
                  <w:r>
                    <w:rPr>
                      <w:rFonts w:hint="eastAsia" w:ascii="Times New Roman" w:hAnsi="Times New Roman" w:cs="Times New Roman"/>
                      <w:color w:val="auto"/>
                      <w:sz w:val="21"/>
                      <w:szCs w:val="21"/>
                      <w:highlight w:val="none"/>
                      <w:lang w:val="en-US" w:eastAsia="zh-CN"/>
                    </w:rPr>
                    <w:t>场地硬化、装卸、运输等采取定期喷雾洒水抑尘措施；</w:t>
                  </w:r>
                </w:p>
                <w:p>
                  <w:pPr>
                    <w:pStyle w:val="89"/>
                    <w:keepNext w:val="0"/>
                    <w:keepLines w:val="0"/>
                    <w:pageBreakBefore w:val="0"/>
                    <w:widowControl w:val="0"/>
                    <w:kinsoku/>
                    <w:overflowPunct/>
                    <w:topLinePunct w:val="0"/>
                    <w:bidi w:val="0"/>
                    <w:adjustRightInd w:val="0"/>
                    <w:snapToGrid w:val="0"/>
                    <w:spacing w:beforeAutospacing="0" w:afterAutospacing="0" w:line="240" w:lineRule="auto"/>
                    <w:ind w:left="0" w:leftChars="0" w:firstLine="0" w:firstLineChars="0"/>
                    <w:textAlignment w:val="auto"/>
                    <w:rPr>
                      <w:rFonts w:hint="eastAsia" w:ascii="Times New Roman" w:hAnsi="Times New Roman"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③</w:t>
                  </w:r>
                  <w:r>
                    <w:rPr>
                      <w:rFonts w:hint="eastAsia" w:ascii="Times New Roman" w:hAnsi="Times New Roman" w:cs="Times New Roman"/>
                      <w:color w:val="auto"/>
                      <w:sz w:val="21"/>
                      <w:szCs w:val="21"/>
                      <w:highlight w:val="none"/>
                      <w:lang w:val="en-US" w:eastAsia="zh-CN"/>
                    </w:rPr>
                    <w:t>堆场</w:t>
                  </w:r>
                  <w:r>
                    <w:rPr>
                      <w:rFonts w:hint="eastAsia" w:cs="Times New Roman"/>
                      <w:color w:val="auto"/>
                      <w:sz w:val="21"/>
                      <w:szCs w:val="21"/>
                      <w:highlight w:val="none"/>
                      <w:lang w:val="en-US" w:eastAsia="zh-CN"/>
                    </w:rPr>
                    <w:t>采取苫布覆盖，装卸过程中</w:t>
                  </w:r>
                  <w:r>
                    <w:rPr>
                      <w:rFonts w:hint="eastAsia" w:ascii="Times New Roman" w:hAnsi="Times New Roman" w:cs="Times New Roman"/>
                      <w:color w:val="auto"/>
                      <w:sz w:val="21"/>
                      <w:szCs w:val="21"/>
                      <w:highlight w:val="none"/>
                      <w:lang w:val="en-US" w:eastAsia="zh-CN"/>
                    </w:rPr>
                    <w:t>设置喷淋装置抑尘；</w:t>
                  </w:r>
                </w:p>
                <w:p>
                  <w:pPr>
                    <w:pStyle w:val="89"/>
                    <w:keepNext w:val="0"/>
                    <w:keepLines w:val="0"/>
                    <w:pageBreakBefore w:val="0"/>
                    <w:widowControl w:val="0"/>
                    <w:kinsoku/>
                    <w:overflowPunct/>
                    <w:topLinePunct w:val="0"/>
                    <w:bidi w:val="0"/>
                    <w:adjustRightInd w:val="0"/>
                    <w:snapToGrid w:val="0"/>
                    <w:spacing w:beforeAutospacing="0" w:afterAutospacing="0" w:line="240" w:lineRule="auto"/>
                    <w:ind w:left="0" w:leftChars="0" w:firstLine="0" w:firstLineChars="0"/>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④输送带加盖密闭运输。</w:t>
                  </w:r>
                </w:p>
              </w:tc>
              <w:tc>
                <w:tcPr>
                  <w:tcW w:w="603" w:type="dxa"/>
                  <w:tcBorders>
                    <w:tl2br w:val="nil"/>
                    <w:tr2bl w:val="nil"/>
                  </w:tcBorders>
                  <w:noWrap w:val="0"/>
                  <w:vAlign w:val="center"/>
                </w:tcPr>
                <w:p>
                  <w:pPr>
                    <w:pStyle w:val="89"/>
                    <w:keepNext w:val="0"/>
                    <w:keepLines w:val="0"/>
                    <w:pageBreakBefore w:val="0"/>
                    <w:widowControl w:val="0"/>
                    <w:kinsoku/>
                    <w:overflowPunct/>
                    <w:topLinePunct w:val="0"/>
                    <w:bidi w:val="0"/>
                    <w:adjustRightInd w:val="0"/>
                    <w:snapToGrid w:val="0"/>
                    <w:spacing w:beforeAutospacing="0" w:afterAutospacing="0" w:line="240" w:lineRule="auto"/>
                    <w:ind w:left="0" w:lef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新建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93"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453"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1842"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噪声</w:t>
                  </w:r>
                </w:p>
              </w:tc>
              <w:tc>
                <w:tcPr>
                  <w:tcW w:w="5187" w:type="dxa"/>
                  <w:tcBorders>
                    <w:tl2br w:val="nil"/>
                    <w:tr2bl w:val="nil"/>
                  </w:tcBorders>
                  <w:noWrap w:val="0"/>
                  <w:vAlign w:val="center"/>
                </w:tcPr>
                <w:p>
                  <w:pPr>
                    <w:pStyle w:val="89"/>
                    <w:keepNext w:val="0"/>
                    <w:keepLines w:val="0"/>
                    <w:pageBreakBefore w:val="0"/>
                    <w:widowControl w:val="0"/>
                    <w:kinsoku/>
                    <w:overflowPunct/>
                    <w:topLinePunct w:val="0"/>
                    <w:bidi w:val="0"/>
                    <w:adjustRightInd w:val="0"/>
                    <w:snapToGrid w:val="0"/>
                    <w:spacing w:beforeAutospacing="0" w:afterAutospacing="0" w:line="240" w:lineRule="auto"/>
                    <w:ind w:left="0" w:leftChars="0" w:firstLine="0" w:firstLineChars="0"/>
                    <w:textAlignment w:val="auto"/>
                    <w:rPr>
                      <w:rFonts w:hint="eastAsia" w:ascii="Times New Roman" w:hAnsi="Times New Roman" w:cs="Times New Roman"/>
                      <w:color w:val="auto"/>
                      <w:sz w:val="21"/>
                      <w:szCs w:val="21"/>
                      <w:highlight w:val="none"/>
                      <w:lang w:val="en-US" w:eastAsia="zh-CN"/>
                    </w:rPr>
                  </w:pPr>
                  <w:r>
                    <w:rPr>
                      <w:rFonts w:ascii="宋体" w:hAnsi="宋体" w:eastAsia="宋体" w:cs="宋体"/>
                      <w:color w:val="auto"/>
                      <w:sz w:val="21"/>
                      <w:szCs w:val="21"/>
                      <w:highlight w:val="none"/>
                    </w:rPr>
                    <w:t>选购低噪声设备，高噪声设备隔声减震，加强设备维护，确保良好运行</w:t>
                  </w:r>
                </w:p>
              </w:tc>
              <w:tc>
                <w:tcPr>
                  <w:tcW w:w="603" w:type="dxa"/>
                  <w:tcBorders>
                    <w:tl2br w:val="nil"/>
                    <w:tr2bl w:val="nil"/>
                  </w:tcBorders>
                  <w:noWrap w:val="0"/>
                  <w:vAlign w:val="center"/>
                </w:tcPr>
                <w:p>
                  <w:pPr>
                    <w:pStyle w:val="89"/>
                    <w:keepNext w:val="0"/>
                    <w:keepLines w:val="0"/>
                    <w:pageBreakBefore w:val="0"/>
                    <w:widowControl w:val="0"/>
                    <w:kinsoku/>
                    <w:overflowPunct/>
                    <w:topLinePunct w:val="0"/>
                    <w:bidi w:val="0"/>
                    <w:adjustRightInd w:val="0"/>
                    <w:snapToGrid w:val="0"/>
                    <w:spacing w:beforeAutospacing="0" w:afterAutospacing="0" w:line="240" w:lineRule="auto"/>
                    <w:ind w:left="0" w:lef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新建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93"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453" w:type="dxa"/>
                  <w:vMerge w:val="continue"/>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1842"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固废收集系统</w:t>
                  </w:r>
                </w:p>
              </w:tc>
              <w:tc>
                <w:tcPr>
                  <w:tcW w:w="5187"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①生活垃圾委托环卫定期清运；</w:t>
                  </w:r>
                </w:p>
                <w:p>
                  <w:pPr>
                    <w:pStyle w:val="2"/>
                    <w:ind w:left="0" w:leftChars="0" w:firstLine="0" w:firstLineChars="0"/>
                    <w:rPr>
                      <w:rFonts w:hint="default" w:ascii="Times New Roman" w:hAnsi="Times New Roman" w:eastAsia="宋体" w:cs="Times New Roman"/>
                      <w:color w:val="auto"/>
                      <w:spacing w:val="0"/>
                      <w:kern w:val="2"/>
                      <w:sz w:val="21"/>
                      <w:szCs w:val="21"/>
                      <w:highlight w:val="none"/>
                      <w:lang w:val="en-US" w:eastAsia="zh-CN" w:bidi="ar-SA"/>
                    </w:rPr>
                  </w:pPr>
                  <w:r>
                    <w:rPr>
                      <w:rFonts w:hint="default" w:ascii="Times New Roman" w:hAnsi="Times New Roman" w:eastAsia="宋体" w:cs="Times New Roman"/>
                      <w:color w:val="auto"/>
                      <w:spacing w:val="0"/>
                      <w:kern w:val="2"/>
                      <w:sz w:val="21"/>
                      <w:szCs w:val="21"/>
                      <w:highlight w:val="none"/>
                      <w:lang w:val="en-US" w:eastAsia="zh-CN" w:bidi="ar-SA"/>
                    </w:rPr>
                    <w:t>②</w:t>
                  </w:r>
                  <w:r>
                    <w:rPr>
                      <w:rFonts w:hint="eastAsia" w:ascii="Times New Roman" w:hAnsi="Times New Roman" w:eastAsia="宋体" w:cs="Times New Roman"/>
                      <w:color w:val="auto"/>
                      <w:spacing w:val="0"/>
                      <w:kern w:val="2"/>
                      <w:sz w:val="21"/>
                      <w:szCs w:val="21"/>
                      <w:highlight w:val="none"/>
                      <w:lang w:val="en-US" w:eastAsia="zh-CN" w:bidi="ar-SA"/>
                    </w:rPr>
                    <w:t>废机油委托有资质单位处置；</w:t>
                  </w:r>
                </w:p>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both"/>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③沉淀泥渣经压滤机处理脱水后储存在污泥池内，</w:t>
                  </w:r>
                  <w:r>
                    <w:rPr>
                      <w:rFonts w:hint="eastAsia" w:cs="Times New Roman"/>
                      <w:color w:val="auto"/>
                      <w:sz w:val="21"/>
                      <w:szCs w:val="21"/>
                      <w:highlight w:val="none"/>
                      <w:lang w:val="en-US" w:eastAsia="zh-CN"/>
                    </w:rPr>
                    <w:t>委托</w:t>
                  </w:r>
                  <w:r>
                    <w:rPr>
                      <w:rFonts w:hint="eastAsia"/>
                      <w:color w:val="auto"/>
                      <w:sz w:val="21"/>
                      <w:szCs w:val="21"/>
                      <w:highlight w:val="none"/>
                    </w:rPr>
                    <w:t>福鼎市利民城市建筑垃圾处理有限公司</w:t>
                  </w:r>
                  <w:r>
                    <w:rPr>
                      <w:rFonts w:hint="eastAsia" w:cs="Times New Roman"/>
                      <w:color w:val="auto"/>
                      <w:sz w:val="21"/>
                      <w:szCs w:val="21"/>
                      <w:highlight w:val="none"/>
                      <w:lang w:val="en-US" w:eastAsia="zh-CN"/>
                    </w:rPr>
                    <w:t>处置</w:t>
                  </w:r>
                  <w:r>
                    <w:rPr>
                      <w:rFonts w:hint="eastAsia" w:cs="Times New Roman"/>
                      <w:color w:val="auto"/>
                      <w:sz w:val="21"/>
                      <w:szCs w:val="21"/>
                      <w:highlight w:val="none"/>
                      <w:lang w:eastAsia="zh-CN"/>
                    </w:rPr>
                    <w:t>。</w:t>
                  </w:r>
                </w:p>
              </w:tc>
              <w:tc>
                <w:tcPr>
                  <w:tcW w:w="603" w:type="dxa"/>
                  <w:tcBorders>
                    <w:tl2br w:val="nil"/>
                    <w:tr2bl w:val="nil"/>
                  </w:tcBorders>
                  <w:noWrap w:val="0"/>
                  <w:vAlign w:val="center"/>
                </w:tcPr>
                <w:p>
                  <w:pPr>
                    <w:keepNext w:val="0"/>
                    <w:keepLines w:val="0"/>
                    <w:pageBreakBefore w:val="0"/>
                    <w:widowControl w:val="0"/>
                    <w:kinsoku/>
                    <w:overflowPunct/>
                    <w:topLinePunct w:val="0"/>
                    <w:bidi w:val="0"/>
                    <w:adjustRightInd w:val="0"/>
                    <w:snapToGrid w:val="0"/>
                    <w:spacing w:beforeAutospacing="0" w:afterAutospacing="0" w:line="240" w:lineRule="auto"/>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新建</w:t>
                  </w:r>
                </w:p>
              </w:tc>
            </w:tr>
          </w:tbl>
          <w:p>
            <w:pPr>
              <w:pStyle w:val="3"/>
              <w:rPr>
                <w:color w:val="auto"/>
                <w:highlight w:val="none"/>
              </w:rPr>
            </w:pPr>
            <w:r>
              <w:rPr>
                <w:color w:val="auto"/>
                <w:szCs w:val="21"/>
                <w:highlight w:val="none"/>
              </w:rPr>
              <w:t>3、</w:t>
            </w:r>
            <w:r>
              <w:rPr>
                <w:color w:val="auto"/>
                <w:highlight w:val="none"/>
              </w:rPr>
              <w:t>主要原辅材料及生产设备</w:t>
            </w:r>
          </w:p>
          <w:p>
            <w:pPr>
              <w:pStyle w:val="4"/>
              <w:pageBreakBefore w:val="0"/>
              <w:widowControl w:val="0"/>
              <w:kinsoku/>
              <w:wordWrap/>
              <w:overflowPunct/>
              <w:topLinePunct w:val="0"/>
              <w:autoSpaceDE/>
              <w:autoSpaceDN/>
              <w:bidi w:val="0"/>
              <w:spacing w:before="0" w:after="0" w:line="360" w:lineRule="auto"/>
              <w:ind w:firstLine="480" w:firstLineChars="200"/>
              <w:textAlignment w:val="auto"/>
              <w:rPr>
                <w:rFonts w:hint="default"/>
                <w:b w:val="0"/>
                <w:bCs w:val="0"/>
                <w:color w:val="auto"/>
                <w:sz w:val="24"/>
                <w:szCs w:val="24"/>
                <w:highlight w:val="none"/>
                <w:lang w:val="en-US" w:eastAsia="zh-CN"/>
              </w:rPr>
            </w:pPr>
            <w:r>
              <w:rPr>
                <w:rFonts w:hint="eastAsia"/>
                <w:b w:val="0"/>
                <w:bCs w:val="0"/>
                <w:color w:val="auto"/>
                <w:sz w:val="24"/>
                <w:szCs w:val="24"/>
                <w:highlight w:val="none"/>
                <w:lang w:val="en-US" w:eastAsia="zh-CN"/>
              </w:rPr>
              <w:t>（1）项目产品方案</w:t>
            </w:r>
          </w:p>
          <w:p>
            <w:pPr>
              <w:pageBreakBefore w:val="0"/>
              <w:widowControl w:val="0"/>
              <w:kinsoku/>
              <w:wordWrap/>
              <w:overflowPunct/>
              <w:topLinePunct w:val="0"/>
              <w:autoSpaceDE/>
              <w:autoSpaceDN/>
              <w:bidi w:val="0"/>
              <w:spacing w:line="360" w:lineRule="auto"/>
              <w:ind w:firstLine="480" w:firstLineChars="200"/>
              <w:textAlignment w:val="auto"/>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项目主要产品及产能详见表4。</w:t>
            </w:r>
          </w:p>
          <w:p>
            <w:pPr>
              <w:pStyle w:val="8"/>
              <w:rPr>
                <w:rFonts w:hint="eastAsia"/>
                <w:b w:val="0"/>
                <w:bCs w:val="0"/>
                <w:color w:val="auto"/>
                <w:sz w:val="24"/>
                <w:szCs w:val="24"/>
                <w:highlight w:val="none"/>
                <w:lang w:val="en-US" w:eastAsia="zh-CN"/>
              </w:rPr>
            </w:pPr>
          </w:p>
          <w:p>
            <w:pPr>
              <w:rPr>
                <w:rFonts w:hint="eastAsia"/>
                <w:b w:val="0"/>
                <w:bCs w:val="0"/>
                <w:color w:val="auto"/>
                <w:sz w:val="24"/>
                <w:szCs w:val="24"/>
                <w:highlight w:val="none"/>
                <w:lang w:val="en-US" w:eastAsia="zh-CN"/>
              </w:rPr>
            </w:pPr>
          </w:p>
          <w:p>
            <w:pPr>
              <w:pStyle w:val="8"/>
              <w:rPr>
                <w:color w:val="auto"/>
                <w:highlight w:val="none"/>
              </w:rPr>
            </w:pPr>
          </w:p>
          <w:p>
            <w:pPr>
              <w:pStyle w:val="57"/>
              <w:bidi w:val="0"/>
              <w:rPr>
                <w:color w:val="auto"/>
                <w:highlight w:val="none"/>
              </w:rPr>
            </w:pPr>
            <w:r>
              <w:rPr>
                <w:color w:val="auto"/>
                <w:highlight w:val="none"/>
              </w:rPr>
              <w:t>项目产品方案</w:t>
            </w:r>
          </w:p>
          <w:tbl>
            <w:tblPr>
              <w:tblStyle w:val="2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42"/>
              <w:gridCol w:w="2187"/>
              <w:gridCol w:w="1959"/>
              <w:gridCol w:w="18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2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rPr>
                  </w:pPr>
                  <w:r>
                    <w:rPr>
                      <w:rFonts w:hint="default" w:ascii="Times New Roman" w:hAnsi="Times New Roman" w:eastAsia="宋体" w:cs="Times New Roman"/>
                      <w:b w:val="0"/>
                      <w:bCs w:val="0"/>
                      <w:color w:val="auto"/>
                      <w:sz w:val="21"/>
                      <w:szCs w:val="21"/>
                      <w:highlight w:val="none"/>
                    </w:rPr>
                    <w:t>产品名称</w:t>
                  </w:r>
                </w:p>
              </w:tc>
              <w:tc>
                <w:tcPr>
                  <w:tcW w:w="2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成分规格</w:t>
                  </w:r>
                </w:p>
              </w:tc>
              <w:tc>
                <w:tcPr>
                  <w:tcW w:w="19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单位</w:t>
                  </w:r>
                </w:p>
              </w:tc>
              <w:tc>
                <w:tcPr>
                  <w:tcW w:w="1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产量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2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val="0"/>
                      <w:bCs w:val="0"/>
                      <w:color w:val="auto"/>
                      <w:sz w:val="21"/>
                      <w:szCs w:val="21"/>
                      <w:highlight w:val="none"/>
                      <w:lang w:val="en-US" w:eastAsia="zh-CN"/>
                    </w:rPr>
                    <w:t>砂石</w:t>
                  </w:r>
                </w:p>
              </w:tc>
              <w:tc>
                <w:tcPr>
                  <w:tcW w:w="2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color w:val="auto"/>
                      <w:highlight w:val="none"/>
                    </w:rPr>
                    <w:t>0</w:t>
                  </w:r>
                  <w:r>
                    <w:rPr>
                      <w:rFonts w:hint="eastAsia"/>
                      <w:color w:val="auto"/>
                      <w:highlight w:val="none"/>
                      <w:lang w:val="en-US" w:eastAsia="zh-CN"/>
                    </w:rPr>
                    <w:t>.2~</w:t>
                  </w:r>
                  <w:r>
                    <w:rPr>
                      <w:color w:val="auto"/>
                      <w:highlight w:val="none"/>
                    </w:rPr>
                    <w:t xml:space="preserve">5mm </w:t>
                  </w:r>
                </w:p>
              </w:tc>
              <w:tc>
                <w:tcPr>
                  <w:tcW w:w="19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万t/a</w:t>
                  </w:r>
                </w:p>
              </w:tc>
              <w:tc>
                <w:tcPr>
                  <w:tcW w:w="1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color w:val="auto"/>
                      <w:highlight w:val="none"/>
                      <w:lang w:val="en-US" w:eastAsia="zh-CN"/>
                    </w:rPr>
                    <w:t>63.6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837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color w:val="auto"/>
                      <w:highlight w:val="none"/>
                      <w:lang w:val="en-US" w:eastAsia="zh-CN"/>
                    </w:rPr>
                  </w:pPr>
                  <w:r>
                    <w:rPr>
                      <w:rFonts w:hint="eastAsia"/>
                      <w:color w:val="auto"/>
                      <w:sz w:val="20"/>
                      <w:szCs w:val="22"/>
                      <w:highlight w:val="none"/>
                      <w:lang w:val="en-US" w:eastAsia="zh-CN"/>
                    </w:rPr>
                    <w:t>注：加工处理规模55万方渣料</w:t>
                  </w:r>
                </w:p>
              </w:tc>
            </w:tr>
          </w:tbl>
          <w:p>
            <w:pPr>
              <w:pageBreakBefore w:val="0"/>
              <w:widowControl w:val="0"/>
              <w:kinsoku/>
              <w:wordWrap/>
              <w:overflowPunct/>
              <w:topLinePunct w:val="0"/>
              <w:autoSpaceDE/>
              <w:autoSpaceDN/>
              <w:bidi w:val="0"/>
              <w:spacing w:line="360" w:lineRule="auto"/>
              <w:ind w:firstLine="480" w:firstLineChars="200"/>
              <w:textAlignment w:val="auto"/>
              <w:rPr>
                <w:rFonts w:hint="eastAsia"/>
                <w:b w:val="0"/>
                <w:bCs w:val="0"/>
                <w:color w:val="auto"/>
                <w:sz w:val="24"/>
                <w:szCs w:val="24"/>
                <w:highlight w:val="none"/>
                <w:lang w:val="en-US" w:eastAsia="zh-CN"/>
              </w:rPr>
            </w:pPr>
          </w:p>
          <w:p>
            <w:pPr>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default"/>
                <w:b w:val="0"/>
                <w:bCs w:val="0"/>
                <w:color w:val="auto"/>
                <w:sz w:val="24"/>
                <w:szCs w:val="24"/>
                <w:highlight w:val="none"/>
                <w:lang w:val="en-US" w:eastAsia="zh-CN"/>
              </w:rPr>
            </w:pPr>
            <w:r>
              <w:rPr>
                <w:rFonts w:hint="eastAsia"/>
                <w:b w:val="0"/>
                <w:bCs w:val="0"/>
                <w:color w:val="auto"/>
                <w:sz w:val="24"/>
                <w:szCs w:val="24"/>
                <w:highlight w:val="none"/>
                <w:lang w:val="en-US" w:eastAsia="zh-CN"/>
              </w:rPr>
              <w:t>（2）主要原辅材料</w:t>
            </w:r>
          </w:p>
          <w:p>
            <w:pPr>
              <w:pageBreakBefore w:val="0"/>
              <w:widowControl w:val="0"/>
              <w:numPr>
                <w:ilvl w:val="0"/>
                <w:numId w:val="0"/>
              </w:numPr>
              <w:kinsoku/>
              <w:wordWrap/>
              <w:overflowPunct/>
              <w:topLinePunct w:val="0"/>
              <w:autoSpaceDE/>
              <w:autoSpaceDN/>
              <w:bidi w:val="0"/>
              <w:spacing w:line="360" w:lineRule="auto"/>
              <w:ind w:firstLine="480" w:firstLineChars="200"/>
              <w:textAlignment w:val="auto"/>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项目主要原辅材料详见表5。</w:t>
            </w:r>
          </w:p>
          <w:p>
            <w:pPr>
              <w:pStyle w:val="57"/>
              <w:bidi w:val="0"/>
              <w:rPr>
                <w:rFonts w:hint="eastAsia"/>
                <w:color w:val="auto"/>
                <w:highlight w:val="none"/>
                <w:lang w:val="en-US" w:eastAsia="zh-CN"/>
              </w:rPr>
            </w:pPr>
            <w:r>
              <w:rPr>
                <w:rFonts w:hint="eastAsia"/>
                <w:color w:val="auto"/>
                <w:highlight w:val="none"/>
                <w:lang w:val="en-US" w:eastAsia="zh-CN"/>
              </w:rPr>
              <w:t>主要原辅材料一览表</w:t>
            </w:r>
          </w:p>
          <w:tbl>
            <w:tblPr>
              <w:tblStyle w:val="25"/>
              <w:tblW w:w="0" w:type="auto"/>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506"/>
              <w:gridCol w:w="1946"/>
              <w:gridCol w:w="844"/>
              <w:gridCol w:w="1858"/>
              <w:gridCol w:w="1620"/>
              <w:gridCol w:w="1601"/>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506"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rPr>
                  </w:pPr>
                  <w:r>
                    <w:rPr>
                      <w:rFonts w:hint="default"/>
                      <w:b w:val="0"/>
                      <w:bCs w:val="0"/>
                      <w:color w:val="auto"/>
                      <w:sz w:val="21"/>
                      <w:szCs w:val="21"/>
                      <w:highlight w:val="none"/>
                    </w:rPr>
                    <w:t>序号</w:t>
                  </w:r>
                </w:p>
              </w:tc>
              <w:tc>
                <w:tcPr>
                  <w:tcW w:w="1946"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rPr>
                  </w:pPr>
                  <w:r>
                    <w:rPr>
                      <w:rFonts w:hint="default"/>
                      <w:b w:val="0"/>
                      <w:bCs w:val="0"/>
                      <w:color w:val="auto"/>
                      <w:sz w:val="21"/>
                      <w:szCs w:val="21"/>
                      <w:highlight w:val="none"/>
                    </w:rPr>
                    <w:t>名称</w:t>
                  </w:r>
                </w:p>
              </w:tc>
              <w:tc>
                <w:tcPr>
                  <w:tcW w:w="844"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r>
                    <w:rPr>
                      <w:rFonts w:hint="eastAsia"/>
                      <w:b w:val="0"/>
                      <w:bCs w:val="0"/>
                      <w:color w:val="auto"/>
                      <w:sz w:val="21"/>
                      <w:szCs w:val="21"/>
                      <w:highlight w:val="none"/>
                      <w:lang w:val="en-US" w:eastAsia="zh-CN"/>
                    </w:rPr>
                    <w:t>单位</w:t>
                  </w:r>
                </w:p>
              </w:tc>
              <w:tc>
                <w:tcPr>
                  <w:tcW w:w="1858"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组分</w:t>
                  </w:r>
                </w:p>
              </w:tc>
              <w:tc>
                <w:tcPr>
                  <w:tcW w:w="1620"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年用量</w:t>
                  </w:r>
                </w:p>
              </w:tc>
              <w:tc>
                <w:tcPr>
                  <w:tcW w:w="1601"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506"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default"/>
                      <w:b w:val="0"/>
                      <w:bCs w:val="0"/>
                      <w:color w:val="auto"/>
                      <w:sz w:val="21"/>
                      <w:szCs w:val="21"/>
                      <w:highlight w:val="none"/>
                      <w:lang w:val="en-US" w:eastAsia="zh-CN"/>
                    </w:rPr>
                    <w:t>1</w:t>
                  </w:r>
                </w:p>
              </w:tc>
              <w:tc>
                <w:tcPr>
                  <w:tcW w:w="1946"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渣料</w:t>
                  </w:r>
                </w:p>
              </w:tc>
              <w:tc>
                <w:tcPr>
                  <w:tcW w:w="844"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bookmarkStart w:id="2" w:name="OLE_LINK3"/>
                  <w:r>
                    <w:rPr>
                      <w:rFonts w:hint="eastAsia"/>
                      <w:b w:val="0"/>
                      <w:bCs w:val="0"/>
                      <w:color w:val="auto"/>
                      <w:sz w:val="21"/>
                      <w:szCs w:val="21"/>
                      <w:highlight w:val="none"/>
                      <w:lang w:val="en-US" w:eastAsia="zh-CN"/>
                    </w:rPr>
                    <w:t>万t/a</w:t>
                  </w:r>
                  <w:bookmarkEnd w:id="2"/>
                </w:p>
              </w:tc>
              <w:tc>
                <w:tcPr>
                  <w:tcW w:w="1858"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石、泥</w:t>
                  </w:r>
                </w:p>
              </w:tc>
              <w:tc>
                <w:tcPr>
                  <w:tcW w:w="1620"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66.0</w:t>
                  </w:r>
                </w:p>
              </w:tc>
              <w:tc>
                <w:tcPr>
                  <w:tcW w:w="1601"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由拍卖取得</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06"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宋体" w:cs="宋体"/>
                      <w:b w:val="0"/>
                      <w:bCs w:val="0"/>
                      <w:color w:val="auto"/>
                      <w:kern w:val="0"/>
                      <w:sz w:val="21"/>
                      <w:szCs w:val="21"/>
                      <w:highlight w:val="none"/>
                      <w:lang w:val="en-US" w:eastAsia="zh-CN" w:bidi="ar-SA"/>
                    </w:rPr>
                  </w:pPr>
                  <w:r>
                    <w:rPr>
                      <w:rFonts w:hint="eastAsia"/>
                      <w:b w:val="0"/>
                      <w:bCs w:val="0"/>
                      <w:color w:val="auto"/>
                      <w:sz w:val="21"/>
                      <w:szCs w:val="21"/>
                      <w:highlight w:val="none"/>
                      <w:lang w:val="en-US" w:eastAsia="zh-CN"/>
                    </w:rPr>
                    <w:t>2</w:t>
                  </w:r>
                </w:p>
              </w:tc>
              <w:tc>
                <w:tcPr>
                  <w:tcW w:w="1946"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聚合氯化铝（PAC）</w:t>
                  </w:r>
                </w:p>
              </w:tc>
              <w:tc>
                <w:tcPr>
                  <w:tcW w:w="844"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t/a</w:t>
                  </w:r>
                </w:p>
              </w:tc>
              <w:tc>
                <w:tcPr>
                  <w:tcW w:w="1858"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Al</w:t>
                  </w:r>
                  <w:r>
                    <w:rPr>
                      <w:rFonts w:hint="eastAsia"/>
                      <w:b w:val="0"/>
                      <w:bCs w:val="0"/>
                      <w:color w:val="auto"/>
                      <w:sz w:val="21"/>
                      <w:szCs w:val="21"/>
                      <w:highlight w:val="none"/>
                      <w:vertAlign w:val="subscript"/>
                      <w:lang w:val="en-US" w:eastAsia="zh-CN"/>
                    </w:rPr>
                    <w:t>2</w:t>
                  </w:r>
                  <w:r>
                    <w:rPr>
                      <w:rFonts w:hint="eastAsia"/>
                      <w:b w:val="0"/>
                      <w:bCs w:val="0"/>
                      <w:color w:val="auto"/>
                      <w:sz w:val="21"/>
                      <w:szCs w:val="21"/>
                      <w:highlight w:val="none"/>
                      <w:lang w:val="en-US" w:eastAsia="zh-CN"/>
                    </w:rPr>
                    <w:t>Cl（OH）</w:t>
                  </w:r>
                  <w:r>
                    <w:rPr>
                      <w:rFonts w:hint="eastAsia"/>
                      <w:b w:val="0"/>
                      <w:bCs w:val="0"/>
                      <w:color w:val="auto"/>
                      <w:sz w:val="21"/>
                      <w:szCs w:val="21"/>
                      <w:highlight w:val="none"/>
                      <w:vertAlign w:val="subscript"/>
                      <w:lang w:val="en-US" w:eastAsia="zh-CN"/>
                    </w:rPr>
                    <w:t>6-n</w:t>
                  </w:r>
                </w:p>
              </w:tc>
              <w:tc>
                <w:tcPr>
                  <w:tcW w:w="1620"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10.0</w:t>
                  </w:r>
                </w:p>
              </w:tc>
              <w:tc>
                <w:tcPr>
                  <w:tcW w:w="1601" w:type="dxa"/>
                  <w:vMerge w:val="restart"/>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废水处理混凝沉淀剂</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506"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3</w:t>
                  </w:r>
                </w:p>
              </w:tc>
              <w:tc>
                <w:tcPr>
                  <w:tcW w:w="1946"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聚丙烯酰胺（PAM）</w:t>
                  </w:r>
                </w:p>
              </w:tc>
              <w:tc>
                <w:tcPr>
                  <w:tcW w:w="844"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t/a</w:t>
                  </w:r>
                </w:p>
              </w:tc>
              <w:tc>
                <w:tcPr>
                  <w:tcW w:w="1858"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(C</w:t>
                  </w:r>
                  <w:r>
                    <w:rPr>
                      <w:rFonts w:hint="eastAsia"/>
                      <w:b w:val="0"/>
                      <w:bCs w:val="0"/>
                      <w:color w:val="auto"/>
                      <w:sz w:val="21"/>
                      <w:szCs w:val="21"/>
                      <w:highlight w:val="none"/>
                      <w:vertAlign w:val="subscript"/>
                      <w:lang w:val="en-US" w:eastAsia="zh-CN"/>
                    </w:rPr>
                    <w:t>3</w:t>
                  </w:r>
                  <w:r>
                    <w:rPr>
                      <w:rFonts w:hint="eastAsia"/>
                      <w:b w:val="0"/>
                      <w:bCs w:val="0"/>
                      <w:color w:val="auto"/>
                      <w:sz w:val="21"/>
                      <w:szCs w:val="21"/>
                      <w:highlight w:val="none"/>
                      <w:lang w:val="en-US" w:eastAsia="zh-CN"/>
                    </w:rPr>
                    <w:t>H</w:t>
                  </w:r>
                  <w:r>
                    <w:rPr>
                      <w:rFonts w:hint="eastAsia"/>
                      <w:b w:val="0"/>
                      <w:bCs w:val="0"/>
                      <w:color w:val="auto"/>
                      <w:sz w:val="21"/>
                      <w:szCs w:val="21"/>
                      <w:highlight w:val="none"/>
                      <w:vertAlign w:val="subscript"/>
                      <w:lang w:val="en-US" w:eastAsia="zh-CN"/>
                    </w:rPr>
                    <w:t>5</w:t>
                  </w:r>
                  <w:r>
                    <w:rPr>
                      <w:rFonts w:hint="eastAsia"/>
                      <w:b w:val="0"/>
                      <w:bCs w:val="0"/>
                      <w:color w:val="auto"/>
                      <w:sz w:val="21"/>
                      <w:szCs w:val="21"/>
                      <w:highlight w:val="none"/>
                      <w:lang w:val="en-US" w:eastAsia="zh-CN"/>
                    </w:rPr>
                    <w:t>NO)</w:t>
                  </w:r>
                  <w:r>
                    <w:rPr>
                      <w:rFonts w:hint="eastAsia"/>
                      <w:b w:val="0"/>
                      <w:bCs w:val="0"/>
                      <w:color w:val="auto"/>
                      <w:sz w:val="21"/>
                      <w:szCs w:val="21"/>
                      <w:highlight w:val="none"/>
                      <w:vertAlign w:val="subscript"/>
                      <w:lang w:val="en-US" w:eastAsia="zh-CN"/>
                    </w:rPr>
                    <w:t>n</w:t>
                  </w:r>
                </w:p>
              </w:tc>
              <w:tc>
                <w:tcPr>
                  <w:tcW w:w="1620" w:type="dxa"/>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2.0</w:t>
                  </w:r>
                </w:p>
              </w:tc>
              <w:tc>
                <w:tcPr>
                  <w:tcW w:w="1601" w:type="dxa"/>
                  <w:vMerge w:val="continue"/>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textAlignment w:val="auto"/>
                    <w:rPr>
                      <w:rFonts w:hint="eastAsia"/>
                      <w:b w:val="0"/>
                      <w:bCs w:val="0"/>
                      <w:color w:val="auto"/>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8375" w:type="dxa"/>
                  <w:gridSpan w:val="6"/>
                  <w:noWrap w:val="0"/>
                  <w:vAlign w:val="center"/>
                </w:tcPr>
                <w:p>
                  <w:pPr>
                    <w:pStyle w:val="52"/>
                    <w:keepNext w:val="0"/>
                    <w:keepLines w:val="0"/>
                    <w:pageBreakBefore w:val="0"/>
                    <w:widowControl w:val="0"/>
                    <w:tabs>
                      <w:tab w:val="left" w:pos="1980"/>
                      <w:tab w:val="left" w:pos="3825"/>
                      <w:tab w:val="left" w:pos="4680"/>
                    </w:tabs>
                    <w:kinsoku/>
                    <w:wordWrap/>
                    <w:overflowPunct/>
                    <w:topLinePunct w:val="0"/>
                    <w:autoSpaceDE/>
                    <w:autoSpaceDN/>
                    <w:bidi w:val="0"/>
                    <w:adjustRightInd/>
                    <w:snapToGrid/>
                    <w:spacing w:line="240" w:lineRule="auto"/>
                    <w:ind w:firstLine="0" w:firstLineChars="0"/>
                    <w:jc w:val="both"/>
                    <w:textAlignment w:val="auto"/>
                    <w:rPr>
                      <w:rFonts w:hint="default"/>
                      <w:b w:val="0"/>
                      <w:bCs w:val="0"/>
                      <w:color w:val="auto"/>
                      <w:sz w:val="21"/>
                      <w:szCs w:val="21"/>
                      <w:highlight w:val="none"/>
                      <w:lang w:val="en-US" w:eastAsia="zh-CN"/>
                    </w:rPr>
                  </w:pPr>
                  <w:r>
                    <w:rPr>
                      <w:rFonts w:hint="eastAsia"/>
                      <w:b w:val="0"/>
                      <w:bCs w:val="0"/>
                      <w:color w:val="auto"/>
                      <w:sz w:val="20"/>
                      <w:szCs w:val="20"/>
                      <w:highlight w:val="none"/>
                      <w:lang w:val="en-US" w:eastAsia="zh-CN"/>
                    </w:rPr>
                    <w:t>注：根据建设单位提供资料，本项目渣料密度1.8t/m</w:t>
                  </w:r>
                  <w:r>
                    <w:rPr>
                      <w:rFonts w:hint="eastAsia"/>
                      <w:b w:val="0"/>
                      <w:bCs w:val="0"/>
                      <w:color w:val="auto"/>
                      <w:sz w:val="20"/>
                      <w:szCs w:val="20"/>
                      <w:highlight w:val="none"/>
                      <w:vertAlign w:val="superscript"/>
                      <w:lang w:val="en-US" w:eastAsia="zh-CN"/>
                    </w:rPr>
                    <w:t>3</w:t>
                  </w:r>
                  <w:r>
                    <w:rPr>
                      <w:rFonts w:hint="eastAsia"/>
                      <w:b w:val="0"/>
                      <w:bCs w:val="0"/>
                      <w:color w:val="auto"/>
                      <w:sz w:val="20"/>
                      <w:szCs w:val="20"/>
                      <w:highlight w:val="none"/>
                      <w:lang w:val="en-US" w:eastAsia="zh-CN"/>
                    </w:rPr>
                    <w:t>计，55万方即99.0万吨，生产周期18个月，则渣料用量66万吨/a。</w:t>
                  </w:r>
                </w:p>
              </w:tc>
            </w:tr>
          </w:tbl>
          <w:p>
            <w:pPr>
              <w:pStyle w:val="98"/>
              <w:ind w:firstLine="480"/>
              <w:rPr>
                <w:color w:val="auto"/>
                <w:highlight w:val="none"/>
              </w:rPr>
            </w:pPr>
            <w:r>
              <w:rPr>
                <w:color w:val="auto"/>
                <w:highlight w:val="none"/>
              </w:rPr>
              <w:t>(2)主要生产设备</w:t>
            </w:r>
          </w:p>
          <w:p>
            <w:pPr>
              <w:pStyle w:val="98"/>
              <w:ind w:firstLine="480"/>
              <w:rPr>
                <w:color w:val="auto"/>
                <w:highlight w:val="none"/>
              </w:rPr>
            </w:pPr>
            <w:r>
              <w:rPr>
                <w:color w:val="auto"/>
                <w:highlight w:val="none"/>
              </w:rPr>
              <w:t>项目主要工艺设备清单详见</w:t>
            </w:r>
            <w:r>
              <w:rPr>
                <w:rFonts w:hint="eastAsia"/>
                <w:color w:val="auto"/>
                <w:highlight w:val="none"/>
                <w:lang w:val="en-US" w:eastAsia="zh-CN"/>
              </w:rPr>
              <w:t>表6</w:t>
            </w:r>
            <w:r>
              <w:rPr>
                <w:color w:val="auto"/>
                <w:highlight w:val="none"/>
              </w:rPr>
              <w:t>。</w:t>
            </w:r>
          </w:p>
          <w:p>
            <w:pPr>
              <w:pStyle w:val="57"/>
              <w:rPr>
                <w:color w:val="auto"/>
                <w:highlight w:val="none"/>
              </w:rPr>
            </w:pPr>
            <w:r>
              <w:rPr>
                <w:color w:val="auto"/>
                <w:highlight w:val="none"/>
              </w:rPr>
              <w:t xml:space="preserve">  </w:t>
            </w:r>
            <w:bookmarkStart w:id="3" w:name="_Ref73429659"/>
            <w:r>
              <w:rPr>
                <w:color w:val="auto"/>
                <w:highlight w:val="none"/>
              </w:rPr>
              <w:t>主要生产设备清单</w:t>
            </w:r>
            <w:bookmarkEnd w:id="3"/>
          </w:p>
          <w:tbl>
            <w:tblPr>
              <w:tblStyle w:val="2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8"/>
              <w:gridCol w:w="930"/>
              <w:gridCol w:w="2307"/>
              <w:gridCol w:w="1738"/>
              <w:gridCol w:w="24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blHeader/>
                <w:jc w:val="center"/>
              </w:trPr>
              <w:tc>
                <w:tcPr>
                  <w:tcW w:w="918"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生产线</w:t>
                  </w:r>
                </w:p>
              </w:tc>
              <w:tc>
                <w:tcPr>
                  <w:tcW w:w="930"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序号</w:t>
                  </w:r>
                </w:p>
              </w:tc>
              <w:tc>
                <w:tcPr>
                  <w:tcW w:w="2307"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设 备 名 称</w:t>
                  </w:r>
                </w:p>
              </w:tc>
              <w:tc>
                <w:tcPr>
                  <w:tcW w:w="1738"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型号</w:t>
                  </w:r>
                </w:p>
              </w:tc>
              <w:tc>
                <w:tcPr>
                  <w:tcW w:w="2482"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数 量</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台/套</w:t>
                  </w:r>
                  <w:r>
                    <w:rPr>
                      <w:rFonts w:hint="default" w:ascii="Times New Roman" w:hAnsi="Times New Roman" w:eastAsia="宋体" w:cs="Times New Roman"/>
                      <w:color w:val="auto"/>
                      <w:sz w:val="21"/>
                      <w:szCs w:val="21"/>
                      <w:highlight w:val="non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918" w:type="dxa"/>
                  <w:vMerge w:val="restart"/>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both"/>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砂石生产线</w:t>
                  </w:r>
                </w:p>
              </w:tc>
              <w:tc>
                <w:tcPr>
                  <w:tcW w:w="930"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2307"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给料机</w:t>
                  </w:r>
                </w:p>
              </w:tc>
              <w:tc>
                <w:tcPr>
                  <w:tcW w:w="1738"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42110</w:t>
                  </w:r>
                </w:p>
              </w:tc>
              <w:tc>
                <w:tcPr>
                  <w:tcW w:w="2482"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8" w:type="dxa"/>
                  <w:vMerge w:val="continue"/>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930"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2</w:t>
                  </w:r>
                </w:p>
              </w:tc>
              <w:tc>
                <w:tcPr>
                  <w:tcW w:w="2307"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鄂破机</w:t>
                  </w:r>
                </w:p>
              </w:tc>
              <w:tc>
                <w:tcPr>
                  <w:tcW w:w="1738"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CJ100</w:t>
                  </w:r>
                </w:p>
              </w:tc>
              <w:tc>
                <w:tcPr>
                  <w:tcW w:w="2482"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918" w:type="dxa"/>
                  <w:vMerge w:val="continue"/>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930"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3</w:t>
                  </w:r>
                </w:p>
              </w:tc>
              <w:tc>
                <w:tcPr>
                  <w:tcW w:w="2307"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圆锥破碎机</w:t>
                  </w:r>
                </w:p>
              </w:tc>
              <w:tc>
                <w:tcPr>
                  <w:tcW w:w="1738"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1400</w:t>
                  </w:r>
                </w:p>
              </w:tc>
              <w:tc>
                <w:tcPr>
                  <w:tcW w:w="2482"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8" w:type="dxa"/>
                  <w:vMerge w:val="continue"/>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930"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4</w:t>
                  </w:r>
                </w:p>
              </w:tc>
              <w:tc>
                <w:tcPr>
                  <w:tcW w:w="2307"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eastAsia" w:cs="Times New Roman"/>
                      <w:color w:val="auto"/>
                      <w:sz w:val="21"/>
                      <w:szCs w:val="21"/>
                      <w:highlight w:val="none"/>
                      <w:lang w:val="en-US" w:eastAsia="zh-CN"/>
                    </w:rPr>
                    <w:t>振动筛</w:t>
                  </w:r>
                </w:p>
              </w:tc>
              <w:tc>
                <w:tcPr>
                  <w:tcW w:w="1738"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eastAsia" w:cs="Times New Roman"/>
                      <w:color w:val="auto"/>
                      <w:sz w:val="21"/>
                      <w:szCs w:val="21"/>
                      <w:highlight w:val="none"/>
                      <w:lang w:val="en-US" w:eastAsia="zh-CN"/>
                    </w:rPr>
                    <w:t>2270</w:t>
                  </w:r>
                </w:p>
              </w:tc>
              <w:tc>
                <w:tcPr>
                  <w:tcW w:w="2482"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eastAsia" w:cs="Times New Roman"/>
                      <w:color w:val="auto"/>
                      <w:sz w:val="21"/>
                      <w:szCs w:val="21"/>
                      <w:highlight w:val="no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8" w:type="dxa"/>
                  <w:vMerge w:val="continue"/>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930"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5</w:t>
                  </w:r>
                </w:p>
              </w:tc>
              <w:tc>
                <w:tcPr>
                  <w:tcW w:w="2307"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eastAsia" w:cs="Times New Roman"/>
                      <w:iCs/>
                      <w:color w:val="auto"/>
                      <w:kern w:val="2"/>
                      <w:sz w:val="21"/>
                      <w:szCs w:val="21"/>
                      <w:highlight w:val="none"/>
                      <w:lang w:val="en-US" w:eastAsia="zh-CN" w:bidi="ar-SA"/>
                    </w:rPr>
                    <w:t>高压对辊机</w:t>
                  </w:r>
                </w:p>
              </w:tc>
              <w:tc>
                <w:tcPr>
                  <w:tcW w:w="1738"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9015</w:t>
                  </w:r>
                </w:p>
              </w:tc>
              <w:tc>
                <w:tcPr>
                  <w:tcW w:w="2482"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8" w:type="dxa"/>
                  <w:vMerge w:val="continue"/>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p>
              </w:tc>
              <w:tc>
                <w:tcPr>
                  <w:tcW w:w="930"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iCs/>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6</w:t>
                  </w:r>
                </w:p>
              </w:tc>
              <w:tc>
                <w:tcPr>
                  <w:tcW w:w="2307"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宋体" w:cs="Times New Roman"/>
                      <w:iCs/>
                      <w:color w:val="auto"/>
                      <w:kern w:val="2"/>
                      <w:sz w:val="21"/>
                      <w:szCs w:val="21"/>
                      <w:highlight w:val="none"/>
                      <w:lang w:val="en-US" w:eastAsia="zh-CN" w:bidi="ar-SA"/>
                    </w:rPr>
                  </w:pPr>
                  <w:r>
                    <w:rPr>
                      <w:rFonts w:hint="eastAsia" w:cs="Times New Roman"/>
                      <w:color w:val="auto"/>
                      <w:sz w:val="21"/>
                      <w:szCs w:val="21"/>
                      <w:highlight w:val="none"/>
                      <w:lang w:val="en-US" w:eastAsia="zh-CN"/>
                    </w:rPr>
                    <w:t>整形机（立式破碎机）</w:t>
                  </w:r>
                </w:p>
              </w:tc>
              <w:tc>
                <w:tcPr>
                  <w:tcW w:w="1738"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420" w:leftChars="0" w:hanging="420" w:hangingChars="200"/>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1263</w:t>
                  </w:r>
                </w:p>
              </w:tc>
              <w:tc>
                <w:tcPr>
                  <w:tcW w:w="2482"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420" w:leftChars="0" w:hanging="420" w:hangingChars="200"/>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8" w:type="dxa"/>
                  <w:vMerge w:val="continue"/>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p>
              </w:tc>
              <w:tc>
                <w:tcPr>
                  <w:tcW w:w="930"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7</w:t>
                  </w:r>
                </w:p>
              </w:tc>
              <w:tc>
                <w:tcPr>
                  <w:tcW w:w="2307"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洗砂机</w:t>
                  </w:r>
                </w:p>
              </w:tc>
              <w:tc>
                <w:tcPr>
                  <w:tcW w:w="1738"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2442</w:t>
                  </w:r>
                </w:p>
              </w:tc>
              <w:tc>
                <w:tcPr>
                  <w:tcW w:w="2482"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918" w:type="dxa"/>
                  <w:vMerge w:val="continue"/>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p>
              </w:tc>
              <w:tc>
                <w:tcPr>
                  <w:tcW w:w="930"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420" w:leftChars="0" w:hanging="420" w:hangingChars="20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8</w:t>
                  </w:r>
                </w:p>
              </w:tc>
              <w:tc>
                <w:tcPr>
                  <w:tcW w:w="2307"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rPr>
                    <w:t>脱水筛</w:t>
                  </w:r>
                </w:p>
              </w:tc>
              <w:tc>
                <w:tcPr>
                  <w:tcW w:w="1738"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rPr>
                    <w:t>2440</w:t>
                  </w:r>
                </w:p>
              </w:tc>
              <w:tc>
                <w:tcPr>
                  <w:tcW w:w="2482"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8" w:type="dxa"/>
                  <w:vMerge w:val="continue"/>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jc w:val="center"/>
                    <w:textAlignment w:val="auto"/>
                    <w:rPr>
                      <w:rFonts w:hint="default" w:ascii="Times New Roman" w:hAnsi="Times New Roman" w:eastAsia="宋体" w:cs="Times New Roman"/>
                      <w:color w:val="auto"/>
                      <w:sz w:val="21"/>
                      <w:szCs w:val="21"/>
                      <w:highlight w:val="none"/>
                      <w:lang w:val="en-US" w:eastAsia="zh-CN"/>
                    </w:rPr>
                  </w:pPr>
                </w:p>
              </w:tc>
              <w:tc>
                <w:tcPr>
                  <w:tcW w:w="930"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9</w:t>
                  </w:r>
                </w:p>
              </w:tc>
              <w:tc>
                <w:tcPr>
                  <w:tcW w:w="2307"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eastAsia" w:cs="Times New Roman"/>
                      <w:color w:val="auto"/>
                      <w:sz w:val="21"/>
                      <w:szCs w:val="21"/>
                      <w:highlight w:val="none"/>
                      <w:lang w:val="en-US" w:eastAsia="zh-CN"/>
                    </w:rPr>
                    <w:t>输送带</w:t>
                  </w:r>
                </w:p>
              </w:tc>
              <w:tc>
                <w:tcPr>
                  <w:tcW w:w="1738"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1200带</w:t>
                  </w:r>
                </w:p>
              </w:tc>
              <w:tc>
                <w:tcPr>
                  <w:tcW w:w="2482"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2条（40m）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8" w:type="dxa"/>
                  <w:vMerge w:val="continue"/>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p>
              </w:tc>
              <w:tc>
                <w:tcPr>
                  <w:tcW w:w="930"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10</w:t>
                  </w:r>
                </w:p>
              </w:tc>
              <w:tc>
                <w:tcPr>
                  <w:tcW w:w="2307"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eastAsia" w:ascii="Times New Roman" w:hAnsi="Times New Roman" w:eastAsia="宋体" w:cs="Times New Roman"/>
                      <w:iCs/>
                      <w:color w:val="auto"/>
                      <w:kern w:val="2"/>
                      <w:sz w:val="21"/>
                      <w:szCs w:val="21"/>
                      <w:highlight w:val="none"/>
                      <w:lang w:val="en-US" w:eastAsia="zh-CN" w:bidi="ar-SA"/>
                    </w:rPr>
                  </w:pPr>
                  <w:r>
                    <w:rPr>
                      <w:rFonts w:hint="eastAsia" w:cs="Times New Roman"/>
                      <w:color w:val="auto"/>
                      <w:sz w:val="21"/>
                      <w:szCs w:val="21"/>
                      <w:highlight w:val="none"/>
                      <w:lang w:val="en-US" w:eastAsia="zh-CN"/>
                    </w:rPr>
                    <w:t>输送带</w:t>
                  </w:r>
                </w:p>
              </w:tc>
              <w:tc>
                <w:tcPr>
                  <w:tcW w:w="1738"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1000带</w:t>
                  </w:r>
                </w:p>
              </w:tc>
              <w:tc>
                <w:tcPr>
                  <w:tcW w:w="2482"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eastAsia" w:ascii="Times New Roman" w:hAnsi="Times New Roman" w:eastAsia="宋体" w:cs="Times New Roman"/>
                      <w:iCs/>
                      <w:color w:val="auto"/>
                      <w:kern w:val="2"/>
                      <w:sz w:val="21"/>
                      <w:szCs w:val="21"/>
                      <w:highlight w:val="none"/>
                      <w:lang w:val="en-US" w:eastAsia="zh-CN" w:bidi="ar-SA"/>
                    </w:rPr>
                  </w:pPr>
                  <w:r>
                    <w:rPr>
                      <w:rFonts w:hint="eastAsia" w:cs="Times New Roman"/>
                      <w:color w:val="auto"/>
                      <w:sz w:val="21"/>
                      <w:szCs w:val="21"/>
                      <w:highlight w:val="none"/>
                      <w:lang w:val="en-US" w:eastAsia="zh-CN"/>
                    </w:rPr>
                    <w:t>2条（30m）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8" w:type="dxa"/>
                  <w:vMerge w:val="continue"/>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p>
              </w:tc>
              <w:tc>
                <w:tcPr>
                  <w:tcW w:w="930"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11</w:t>
                  </w:r>
                </w:p>
              </w:tc>
              <w:tc>
                <w:tcPr>
                  <w:tcW w:w="2307"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输送带</w:t>
                  </w:r>
                </w:p>
              </w:tc>
              <w:tc>
                <w:tcPr>
                  <w:tcW w:w="1738"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600带</w:t>
                  </w:r>
                </w:p>
              </w:tc>
              <w:tc>
                <w:tcPr>
                  <w:tcW w:w="2482"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1条（28m）；1条（48m）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8" w:type="dxa"/>
                  <w:vMerge w:val="continue"/>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p>
              </w:tc>
              <w:tc>
                <w:tcPr>
                  <w:tcW w:w="930"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12</w:t>
                  </w:r>
                </w:p>
              </w:tc>
              <w:tc>
                <w:tcPr>
                  <w:tcW w:w="2307"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eastAsia" w:cs="Times New Roman"/>
                      <w:color w:val="auto"/>
                      <w:sz w:val="21"/>
                      <w:szCs w:val="21"/>
                      <w:highlight w:val="none"/>
                      <w:lang w:val="en-US" w:eastAsia="zh-CN"/>
                    </w:rPr>
                    <w:t>厢式压滤机</w:t>
                  </w:r>
                </w:p>
              </w:tc>
              <w:tc>
                <w:tcPr>
                  <w:tcW w:w="1738"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250平方</w:t>
                  </w:r>
                </w:p>
              </w:tc>
              <w:tc>
                <w:tcPr>
                  <w:tcW w:w="2482"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8" w:type="dxa"/>
                  <w:vMerge w:val="continue"/>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p>
              </w:tc>
              <w:tc>
                <w:tcPr>
                  <w:tcW w:w="930"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3</w:t>
                  </w:r>
                </w:p>
              </w:tc>
              <w:tc>
                <w:tcPr>
                  <w:tcW w:w="2307"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eastAsia" w:cs="Times New Roman"/>
                      <w:color w:val="auto"/>
                      <w:sz w:val="21"/>
                      <w:szCs w:val="21"/>
                      <w:highlight w:val="none"/>
                      <w:lang w:val="en-US" w:eastAsia="zh-CN"/>
                    </w:rPr>
                    <w:t>行车</w:t>
                  </w:r>
                </w:p>
              </w:tc>
              <w:tc>
                <w:tcPr>
                  <w:tcW w:w="1738"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eastAsia" w:cs="Times New Roman"/>
                      <w:color w:val="auto"/>
                      <w:sz w:val="21"/>
                      <w:szCs w:val="21"/>
                      <w:highlight w:val="none"/>
                      <w:lang w:val="en-US" w:eastAsia="zh-CN"/>
                    </w:rPr>
                    <w:t>16t</w:t>
                  </w:r>
                </w:p>
              </w:tc>
              <w:tc>
                <w:tcPr>
                  <w:tcW w:w="2482" w:type="dxa"/>
                  <w:tcBorders>
                    <w:tl2br w:val="nil"/>
                    <w:tr2bl w:val="nil"/>
                  </w:tcBorders>
                  <w:noWrap w:val="0"/>
                  <w:vAlign w:val="center"/>
                </w:tcPr>
                <w:p>
                  <w:pPr>
                    <w:pStyle w:val="63"/>
                    <w:keepNext w:val="0"/>
                    <w:keepLines w:val="0"/>
                    <w:pageBreakBefore w:val="0"/>
                    <w:widowControl w:val="0"/>
                    <w:tabs>
                      <w:tab w:val="left" w:pos="0"/>
                    </w:tabs>
                    <w:kinsoku/>
                    <w:overflowPunct/>
                    <w:topLinePunct w:val="0"/>
                    <w:bidi w:val="0"/>
                    <w:adjustRightInd/>
                    <w:spacing w:beforeAutospacing="0" w:afterAutospacing="0" w:line="240" w:lineRule="auto"/>
                    <w:ind w:left="0" w:leftChars="0" w:firstLine="0" w:firstLineChars="0"/>
                    <w:jc w:val="center"/>
                    <w:textAlignment w:val="auto"/>
                    <w:rPr>
                      <w:rFonts w:hint="default" w:ascii="Times New Roman" w:hAnsi="Times New Roman" w:eastAsia="宋体" w:cs="Times New Roman"/>
                      <w:iCs/>
                      <w:color w:val="auto"/>
                      <w:kern w:val="2"/>
                      <w:sz w:val="21"/>
                      <w:szCs w:val="21"/>
                      <w:highlight w:val="none"/>
                      <w:lang w:val="en-US" w:eastAsia="zh-CN" w:bidi="ar-SA"/>
                    </w:rPr>
                  </w:pPr>
                  <w:r>
                    <w:rPr>
                      <w:rFonts w:hint="eastAsia" w:cs="Times New Roman"/>
                      <w:color w:val="auto"/>
                      <w:sz w:val="21"/>
                      <w:szCs w:val="21"/>
                      <w:highlight w:val="none"/>
                      <w:lang w:val="en-US" w:eastAsia="zh-CN"/>
                    </w:rPr>
                    <w:t>1</w:t>
                  </w:r>
                </w:p>
              </w:tc>
            </w:tr>
          </w:tbl>
          <w:p>
            <w:pPr>
              <w:pStyle w:val="98"/>
              <w:ind w:firstLine="480"/>
              <w:rPr>
                <w:color w:val="auto"/>
                <w:highlight w:val="none"/>
              </w:rPr>
            </w:pPr>
          </w:p>
          <w:p>
            <w:pPr>
              <w:pStyle w:val="98"/>
              <w:ind w:firstLine="480"/>
              <w:rPr>
                <w:color w:val="auto"/>
                <w:highlight w:val="none"/>
              </w:rPr>
            </w:pPr>
            <w:r>
              <w:rPr>
                <w:color w:val="auto"/>
                <w:highlight w:val="none"/>
              </w:rPr>
              <w:t>(3)产品品种及生产能力</w:t>
            </w:r>
          </w:p>
          <w:p>
            <w:pPr>
              <w:pStyle w:val="98"/>
              <w:ind w:firstLine="480"/>
              <w:rPr>
                <w:color w:val="auto"/>
                <w:highlight w:val="none"/>
              </w:rPr>
            </w:pPr>
            <w:r>
              <w:rPr>
                <w:rFonts w:hint="eastAsia"/>
                <w:color w:val="auto"/>
                <w:highlight w:val="none"/>
              </w:rPr>
              <w:t>本项目产品规格在0~5mm，项目年生产砂石总量63.6万吨。根据业主前期调查资料，原料为公开拍卖程序竞得的土石渣，其入料粒度0-500mm。因此，生产车间原料入料能力按照每小时120t/h设计，除掉土后确保成品每小时能力不低于100t。即6600h×100t/h=66万吨&gt;63.6万吨，可满足生产能力要求。</w:t>
            </w:r>
          </w:p>
          <w:p>
            <w:pPr>
              <w:pStyle w:val="57"/>
              <w:bidi w:val="0"/>
              <w:rPr>
                <w:rFonts w:hint="default"/>
                <w:color w:val="auto"/>
                <w:highlight w:val="none"/>
                <w:lang w:val="en-US" w:eastAsia="zh-CN"/>
              </w:rPr>
            </w:pPr>
            <w:r>
              <w:rPr>
                <w:rFonts w:hint="eastAsia"/>
                <w:color w:val="auto"/>
                <w:highlight w:val="none"/>
                <w:lang w:val="en-US" w:eastAsia="zh-CN"/>
              </w:rPr>
              <w:t>项目物料平衡一览表</w:t>
            </w:r>
          </w:p>
          <w:tbl>
            <w:tblPr>
              <w:tblStyle w:val="25"/>
              <w:tblW w:w="0" w:type="auto"/>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662"/>
              <w:gridCol w:w="1336"/>
              <w:gridCol w:w="1183"/>
              <w:gridCol w:w="667"/>
              <w:gridCol w:w="2606"/>
              <w:gridCol w:w="1921"/>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662"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default" w:ascii="Times New Roman" w:hAnsi="Times New Roman" w:eastAsia="宋体" w:cs="宋体"/>
                      <w:b w:val="0"/>
                      <w:color w:val="auto"/>
                      <w:kern w:val="0"/>
                      <w:sz w:val="21"/>
                      <w:szCs w:val="21"/>
                      <w:highlight w:val="none"/>
                      <w:lang w:val="en-US" w:eastAsia="zh-CN" w:bidi="ar-SA"/>
                    </w:rPr>
                    <w:t>序号</w:t>
                  </w:r>
                </w:p>
              </w:tc>
              <w:tc>
                <w:tcPr>
                  <w:tcW w:w="1336"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进料名称</w:t>
                  </w:r>
                </w:p>
              </w:tc>
              <w:tc>
                <w:tcPr>
                  <w:tcW w:w="1183" w:type="dxa"/>
                  <w:noWrap w:val="0"/>
                  <w:vAlign w:val="center"/>
                </w:tcPr>
                <w:p>
                  <w:pPr>
                    <w:widowControl w:val="0"/>
                    <w:bidi w:val="0"/>
                    <w:adjustRightInd w:val="0"/>
                    <w:snapToGrid w:val="0"/>
                    <w:spacing w:line="240" w:lineRule="auto"/>
                    <w:ind w:firstLine="0" w:firstLineChars="0"/>
                    <w:jc w:val="center"/>
                    <w:rPr>
                      <w:rFonts w:hint="eastAsia"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数量（t/a）</w:t>
                  </w:r>
                </w:p>
              </w:tc>
              <w:tc>
                <w:tcPr>
                  <w:tcW w:w="667"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序号</w:t>
                  </w:r>
                </w:p>
              </w:tc>
              <w:tc>
                <w:tcPr>
                  <w:tcW w:w="2606"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产出名称</w:t>
                  </w:r>
                </w:p>
              </w:tc>
              <w:tc>
                <w:tcPr>
                  <w:tcW w:w="1921"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数量（t/a）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662"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default" w:ascii="Times New Roman" w:hAnsi="Times New Roman" w:eastAsia="宋体" w:cs="宋体"/>
                      <w:b w:val="0"/>
                      <w:color w:val="auto"/>
                      <w:kern w:val="0"/>
                      <w:sz w:val="21"/>
                      <w:szCs w:val="21"/>
                      <w:highlight w:val="none"/>
                      <w:lang w:val="en-US" w:eastAsia="zh-CN" w:bidi="ar-SA"/>
                    </w:rPr>
                    <w:t>1</w:t>
                  </w:r>
                </w:p>
              </w:tc>
              <w:tc>
                <w:tcPr>
                  <w:tcW w:w="1336"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渣料</w:t>
                  </w:r>
                </w:p>
              </w:tc>
              <w:tc>
                <w:tcPr>
                  <w:tcW w:w="1183"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660000</w:t>
                  </w:r>
                </w:p>
              </w:tc>
              <w:tc>
                <w:tcPr>
                  <w:tcW w:w="667"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1</w:t>
                  </w:r>
                </w:p>
              </w:tc>
              <w:tc>
                <w:tcPr>
                  <w:tcW w:w="2606"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砂石</w:t>
                  </w:r>
                </w:p>
              </w:tc>
              <w:tc>
                <w:tcPr>
                  <w:tcW w:w="1921"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636000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662"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w:t>
                  </w:r>
                </w:p>
              </w:tc>
              <w:tc>
                <w:tcPr>
                  <w:tcW w:w="1336"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w:t>
                  </w:r>
                </w:p>
              </w:tc>
              <w:tc>
                <w:tcPr>
                  <w:tcW w:w="1183"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w:t>
                  </w:r>
                </w:p>
              </w:tc>
              <w:tc>
                <w:tcPr>
                  <w:tcW w:w="667"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2</w:t>
                  </w:r>
                </w:p>
              </w:tc>
              <w:tc>
                <w:tcPr>
                  <w:tcW w:w="2606"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污泥</w:t>
                  </w:r>
                </w:p>
              </w:tc>
              <w:tc>
                <w:tcPr>
                  <w:tcW w:w="1921"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23985.267（干重）</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662"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w:t>
                  </w:r>
                </w:p>
              </w:tc>
              <w:tc>
                <w:tcPr>
                  <w:tcW w:w="1336"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w:t>
                  </w:r>
                </w:p>
              </w:tc>
              <w:tc>
                <w:tcPr>
                  <w:tcW w:w="1183"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w:t>
                  </w:r>
                </w:p>
              </w:tc>
              <w:tc>
                <w:tcPr>
                  <w:tcW w:w="667"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3</w:t>
                  </w:r>
                </w:p>
              </w:tc>
              <w:tc>
                <w:tcPr>
                  <w:tcW w:w="2606"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粉尘（含除尘器收集粉尘）</w:t>
                  </w:r>
                </w:p>
              </w:tc>
              <w:tc>
                <w:tcPr>
                  <w:tcW w:w="1921"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14.733</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998" w:type="dxa"/>
                  <w:gridSpan w:val="2"/>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合计</w:t>
                  </w:r>
                </w:p>
              </w:tc>
              <w:tc>
                <w:tcPr>
                  <w:tcW w:w="1183"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660000</w:t>
                  </w:r>
                </w:p>
              </w:tc>
              <w:tc>
                <w:tcPr>
                  <w:tcW w:w="667"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w:t>
                  </w:r>
                </w:p>
              </w:tc>
              <w:tc>
                <w:tcPr>
                  <w:tcW w:w="2606"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w:t>
                  </w:r>
                </w:p>
              </w:tc>
              <w:tc>
                <w:tcPr>
                  <w:tcW w:w="1921" w:type="dxa"/>
                  <w:noWrap w:val="0"/>
                  <w:vAlign w:val="center"/>
                </w:tcPr>
                <w:p>
                  <w:pPr>
                    <w:widowControl w:val="0"/>
                    <w:bidi w:val="0"/>
                    <w:adjustRightInd w:val="0"/>
                    <w:snapToGrid w:val="0"/>
                    <w:spacing w:line="240" w:lineRule="auto"/>
                    <w:ind w:firstLine="0" w:firstLineChars="0"/>
                    <w:jc w:val="center"/>
                    <w:rPr>
                      <w:rFonts w:hint="default" w:ascii="Times New Roman" w:hAnsi="Times New Roman" w:eastAsia="宋体" w:cs="宋体"/>
                      <w:b w:val="0"/>
                      <w:color w:val="auto"/>
                      <w:kern w:val="0"/>
                      <w:sz w:val="21"/>
                      <w:szCs w:val="21"/>
                      <w:highlight w:val="none"/>
                      <w:lang w:val="en-US" w:eastAsia="zh-CN" w:bidi="ar-SA"/>
                    </w:rPr>
                  </w:pPr>
                  <w:r>
                    <w:rPr>
                      <w:rFonts w:hint="eastAsia" w:ascii="Times New Roman" w:hAnsi="Times New Roman" w:eastAsia="宋体" w:cs="宋体"/>
                      <w:b w:val="0"/>
                      <w:color w:val="auto"/>
                      <w:kern w:val="0"/>
                      <w:sz w:val="21"/>
                      <w:szCs w:val="21"/>
                      <w:highlight w:val="none"/>
                      <w:lang w:val="en-US" w:eastAsia="zh-CN" w:bidi="ar-SA"/>
                    </w:rPr>
                    <w:t>660000</w:t>
                  </w:r>
                </w:p>
              </w:tc>
            </w:tr>
          </w:tbl>
          <w:p>
            <w:pPr>
              <w:pStyle w:val="98"/>
              <w:ind w:firstLine="480"/>
              <w:rPr>
                <w:color w:val="auto"/>
                <w:highlight w:val="none"/>
              </w:rPr>
            </w:pPr>
          </w:p>
          <w:p>
            <w:pPr>
              <w:pStyle w:val="3"/>
              <w:rPr>
                <w:color w:val="auto"/>
                <w:highlight w:val="none"/>
              </w:rPr>
            </w:pPr>
            <w:r>
              <w:rPr>
                <w:color w:val="auto"/>
                <w:highlight w:val="none"/>
              </w:rPr>
              <w:t>4、配套工程</w:t>
            </w:r>
          </w:p>
          <w:p>
            <w:pPr>
              <w:pStyle w:val="96"/>
              <w:rPr>
                <w:color w:val="auto"/>
                <w:highlight w:val="none"/>
              </w:rPr>
            </w:pPr>
            <w:r>
              <w:rPr>
                <w:color w:val="auto"/>
                <w:highlight w:val="none"/>
              </w:rPr>
              <w:t>4.1给排水工程</w:t>
            </w:r>
          </w:p>
          <w:p>
            <w:pPr>
              <w:pStyle w:val="98"/>
              <w:ind w:firstLine="480"/>
              <w:rPr>
                <w:rFonts w:hint="eastAsia"/>
                <w:bCs/>
                <w:color w:val="auto"/>
                <w:highlight w:val="none"/>
                <w:lang w:val="en-US" w:eastAsia="zh-CN"/>
              </w:rPr>
            </w:pPr>
            <w:r>
              <w:rPr>
                <w:bCs/>
                <w:color w:val="auto"/>
                <w:highlight w:val="none"/>
              </w:rPr>
              <w:t>项目依托</w:t>
            </w:r>
            <w:r>
              <w:rPr>
                <w:rFonts w:hint="eastAsia"/>
                <w:bCs/>
                <w:color w:val="auto"/>
                <w:highlight w:val="none"/>
                <w:lang w:val="en-US" w:eastAsia="zh-CN"/>
              </w:rPr>
              <w:t>市政管网</w:t>
            </w:r>
            <w:r>
              <w:rPr>
                <w:bCs/>
                <w:color w:val="auto"/>
                <w:highlight w:val="none"/>
              </w:rPr>
              <w:t>作为给水水源</w:t>
            </w:r>
            <w:r>
              <w:rPr>
                <w:rFonts w:hint="eastAsia"/>
                <w:color w:val="auto"/>
                <w:highlight w:val="none"/>
                <w:lang w:eastAsia="zh-CN"/>
              </w:rPr>
              <w:t>，</w:t>
            </w:r>
            <w:r>
              <w:rPr>
                <w:color w:val="auto"/>
                <w:highlight w:val="none"/>
              </w:rPr>
              <w:t>项目污废水采用“雨污分流</w:t>
            </w:r>
            <w:r>
              <w:rPr>
                <w:rFonts w:hint="eastAsia"/>
                <w:color w:val="auto"/>
                <w:highlight w:val="none"/>
                <w:lang w:eastAsia="zh-CN"/>
              </w:rPr>
              <w:t>、</w:t>
            </w:r>
            <w:r>
              <w:rPr>
                <w:rFonts w:hint="eastAsia"/>
                <w:color w:val="auto"/>
                <w:highlight w:val="none"/>
                <w:lang w:val="en-US" w:eastAsia="zh-CN"/>
              </w:rPr>
              <w:t>清污分流</w:t>
            </w:r>
            <w:r>
              <w:rPr>
                <w:color w:val="auto"/>
                <w:highlight w:val="none"/>
              </w:rPr>
              <w:t>”的排水制度。</w:t>
            </w:r>
          </w:p>
          <w:p>
            <w:pPr>
              <w:pStyle w:val="98"/>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(1)生产废水</w:t>
            </w:r>
          </w:p>
          <w:p>
            <w:pPr>
              <w:pStyle w:val="98"/>
              <w:ind w:firstLine="480"/>
              <w:rPr>
                <w:color w:val="auto"/>
                <w:highlight w:val="none"/>
              </w:rPr>
            </w:pPr>
            <w:r>
              <w:rPr>
                <w:rFonts w:hint="default" w:ascii="Times New Roman" w:hAnsi="Times New Roman" w:cs="Times New Roman"/>
                <w:color w:val="auto"/>
                <w:highlight w:val="none"/>
              </w:rPr>
              <w:t>①筛分水洗废水</w:t>
            </w:r>
          </w:p>
          <w:p>
            <w:pPr>
              <w:pStyle w:val="89"/>
              <w:rPr>
                <w:rFonts w:hint="eastAsia" w:ascii="Times New Roman" w:hAnsi="Times New Roman" w:cs="Times New Roman"/>
                <w:color w:val="auto"/>
                <w:highlight w:val="none"/>
                <w:lang w:val="en-US" w:eastAsia="zh-CN"/>
              </w:rPr>
            </w:pPr>
            <w:r>
              <w:rPr>
                <w:rFonts w:hint="eastAsia"/>
                <w:color w:val="auto"/>
                <w:highlight w:val="none"/>
                <w:lang w:val="en-US" w:eastAsia="zh-CN"/>
              </w:rPr>
              <w:t>根据建设单位提供资料项目机制砂洗砂过程中，每吨机制砂用水量</w:t>
            </w:r>
            <w:r>
              <w:rPr>
                <w:rFonts w:hint="default" w:ascii="Times New Roman" w:hAnsi="Times New Roman" w:cs="Times New Roman"/>
                <w:color w:val="auto"/>
                <w:highlight w:val="none"/>
                <w:lang w:val="en-US" w:eastAsia="zh-CN"/>
              </w:rPr>
              <w:t>约为0.</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lang w:val="en-US" w:eastAsia="zh-CN"/>
              </w:rPr>
              <w:t>t，</w:t>
            </w:r>
            <w:r>
              <w:rPr>
                <w:rFonts w:hint="eastAsia" w:ascii="Times New Roman" w:hAnsi="Times New Roman" w:cs="Times New Roman"/>
                <w:color w:val="auto"/>
                <w:highlight w:val="none"/>
                <w:lang w:val="en-US" w:eastAsia="zh-CN"/>
              </w:rPr>
              <w:t>项目需要水洗砂石来源于生产线产生的粒径小于5mm的石料，共计约63.6万t/a，用水量约为578.18t/d（19.08万t/a），洗砂废水经深锥浓缩罐处理后循环使用，不外排。因随污泥带走量约48.48t/d（1.60万t/a）（污泥含水率约为40%），产品带走量约214.24t/d（7.07万t/a）（产品脱水后含水率约10%），水量蒸发损耗量约为29.19t/d（0.96万t/a）（占总水量的10%）。水量总损耗为291.91t/d（9.63万t/a）。</w:t>
            </w:r>
          </w:p>
          <w:p>
            <w:pPr>
              <w:pStyle w:val="98"/>
              <w:ind w:left="0" w:leftChars="0" w:firstLine="480" w:firstLineChars="200"/>
              <w:rPr>
                <w:color w:val="auto"/>
                <w:highlight w:val="none"/>
              </w:rPr>
            </w:pPr>
            <w:r>
              <w:rPr>
                <w:color w:val="auto"/>
                <w:highlight w:val="none"/>
              </w:rPr>
              <w:t>项目筛分水洗工序中产生的废水采用污水罐沉淀，沉淀后暂存于清水池，回用于生产，</w:t>
            </w:r>
            <w:r>
              <w:rPr>
                <w:rFonts w:hint="eastAsia" w:cs="Times New Roman"/>
                <w:color w:val="auto"/>
                <w:sz w:val="24"/>
                <w:szCs w:val="24"/>
                <w:highlight w:val="none"/>
                <w:lang w:val="en-US" w:eastAsia="zh-CN"/>
              </w:rPr>
              <w:t>设置废水浓缩罐及厢式压滤机，位于厂区西南侧</w:t>
            </w:r>
            <w:r>
              <w:rPr>
                <w:color w:val="auto"/>
                <w:sz w:val="24"/>
                <w:szCs w:val="24"/>
                <w:highlight w:val="none"/>
              </w:rPr>
              <w:t>，</w:t>
            </w:r>
            <w:r>
              <w:rPr>
                <w:color w:val="auto"/>
                <w:highlight w:val="none"/>
              </w:rPr>
              <w:t>水暂存于清水池，回用于生产。</w:t>
            </w:r>
          </w:p>
          <w:p>
            <w:pPr>
              <w:pStyle w:val="98"/>
              <w:ind w:firstLine="480"/>
              <w:rPr>
                <w:color w:val="auto"/>
                <w:highlight w:val="none"/>
              </w:rPr>
            </w:pPr>
            <w:r>
              <w:rPr>
                <w:rFonts w:hint="eastAsia" w:ascii="宋体" w:hAnsi="宋体" w:cs="宋体"/>
                <w:color w:val="auto"/>
                <w:highlight w:val="none"/>
              </w:rPr>
              <w:t>②</w:t>
            </w:r>
            <w:r>
              <w:rPr>
                <w:color w:val="auto"/>
                <w:highlight w:val="none"/>
              </w:rPr>
              <w:t>喷淋和洒水抑尘用水</w:t>
            </w:r>
          </w:p>
          <w:p>
            <w:pPr>
              <w:pStyle w:val="98"/>
              <w:ind w:firstLine="480"/>
              <w:rPr>
                <w:color w:val="auto"/>
                <w:highlight w:val="none"/>
              </w:rPr>
            </w:pPr>
            <w:r>
              <w:rPr>
                <w:color w:val="auto"/>
                <w:highlight w:val="none"/>
              </w:rPr>
              <w:t>为了降低厂区粉尘对项目周边环境的影响，将对生产车间进行喷淋抑尘，根据业主提供资料，喷淋量按</w:t>
            </w:r>
            <w:r>
              <w:rPr>
                <w:rFonts w:hint="eastAsia"/>
                <w:color w:val="auto"/>
                <w:highlight w:val="none"/>
                <w:lang w:val="en-US" w:eastAsia="zh-CN"/>
              </w:rPr>
              <w:t>0.1L/</w:t>
            </w:r>
            <w:r>
              <w:rPr>
                <w:color w:val="auto"/>
                <w:highlight w:val="none"/>
              </w:rPr>
              <w:t>m</w:t>
            </w:r>
            <w:r>
              <w:rPr>
                <w:color w:val="auto"/>
                <w:highlight w:val="none"/>
                <w:vertAlign w:val="superscript"/>
              </w:rPr>
              <w:t>2</w:t>
            </w:r>
            <w:r>
              <w:rPr>
                <w:color w:val="auto"/>
                <w:highlight w:val="none"/>
              </w:rPr>
              <w:t>·h计，每天生产车间生产</w:t>
            </w:r>
            <w:r>
              <w:rPr>
                <w:rFonts w:hint="eastAsia"/>
                <w:color w:val="auto"/>
                <w:highlight w:val="none"/>
                <w:lang w:val="en-US" w:eastAsia="zh-CN"/>
              </w:rPr>
              <w:t>20</w:t>
            </w:r>
            <w:r>
              <w:rPr>
                <w:color w:val="auto"/>
                <w:highlight w:val="none"/>
              </w:rPr>
              <w:t>h，生产车间</w:t>
            </w:r>
            <w:r>
              <w:rPr>
                <w:rFonts w:hint="eastAsia"/>
                <w:color w:val="auto"/>
                <w:highlight w:val="none"/>
                <w:lang w:val="en-US" w:eastAsia="zh-CN"/>
              </w:rPr>
              <w:t>和堆场</w:t>
            </w:r>
            <w:r>
              <w:rPr>
                <w:color w:val="auto"/>
                <w:highlight w:val="none"/>
              </w:rPr>
              <w:t>面积</w:t>
            </w:r>
            <w:r>
              <w:rPr>
                <w:rFonts w:hint="eastAsia"/>
                <w:color w:val="auto"/>
                <w:highlight w:val="none"/>
                <w:lang w:val="en-US" w:eastAsia="zh-CN"/>
              </w:rPr>
              <w:t>30</w:t>
            </w:r>
            <w:r>
              <w:rPr>
                <w:color w:val="auto"/>
                <w:highlight w:val="none"/>
              </w:rPr>
              <w:t>00m</w:t>
            </w:r>
            <w:r>
              <w:rPr>
                <w:color w:val="auto"/>
                <w:highlight w:val="none"/>
                <w:vertAlign w:val="superscript"/>
              </w:rPr>
              <w:t>2</w:t>
            </w:r>
            <w:r>
              <w:rPr>
                <w:color w:val="auto"/>
                <w:highlight w:val="none"/>
              </w:rPr>
              <w:t>，则喷淋量为</w:t>
            </w:r>
            <w:r>
              <w:rPr>
                <w:rFonts w:hint="eastAsia"/>
                <w:color w:val="auto"/>
                <w:highlight w:val="none"/>
                <w:lang w:val="en-US" w:eastAsia="zh-CN"/>
              </w:rPr>
              <w:t>6.0</w:t>
            </w:r>
            <w:r>
              <w:rPr>
                <w:color w:val="auto"/>
                <w:highlight w:val="none"/>
              </w:rPr>
              <w:t>m</w:t>
            </w:r>
            <w:r>
              <w:rPr>
                <w:color w:val="auto"/>
                <w:highlight w:val="none"/>
                <w:vertAlign w:val="superscript"/>
              </w:rPr>
              <w:t>3</w:t>
            </w:r>
            <w:r>
              <w:rPr>
                <w:color w:val="auto"/>
                <w:highlight w:val="none"/>
              </w:rPr>
              <w:t>/d；堆料场、成品场、装卸点、厂区空地和道路等进行洒水抑尘，根据业主提供资料，洒水量按</w:t>
            </w:r>
            <w:r>
              <w:rPr>
                <w:rFonts w:hint="eastAsia"/>
                <w:color w:val="auto"/>
                <w:highlight w:val="none"/>
                <w:lang w:val="en-US" w:eastAsia="zh-CN"/>
              </w:rPr>
              <w:t>0.2L</w:t>
            </w:r>
            <w:r>
              <w:rPr>
                <w:color w:val="auto"/>
                <w:highlight w:val="none"/>
              </w:rPr>
              <w:t>/m</w:t>
            </w:r>
            <w:r>
              <w:rPr>
                <w:color w:val="auto"/>
                <w:highlight w:val="none"/>
                <w:vertAlign w:val="superscript"/>
              </w:rPr>
              <w:t>2</w:t>
            </w:r>
            <w:r>
              <w:rPr>
                <w:color w:val="auto"/>
                <w:highlight w:val="none"/>
              </w:rPr>
              <w:t>·次计，每天洒水4次，原料堆场、成品堆场、装卸点、厂区空地和道路等面积约为</w:t>
            </w:r>
            <w:r>
              <w:rPr>
                <w:rFonts w:hint="eastAsia"/>
                <w:color w:val="auto"/>
                <w:highlight w:val="none"/>
                <w:lang w:val="en-US" w:eastAsia="zh-CN"/>
              </w:rPr>
              <w:t>7000</w:t>
            </w:r>
            <w:r>
              <w:rPr>
                <w:color w:val="auto"/>
                <w:highlight w:val="none"/>
              </w:rPr>
              <w:t xml:space="preserve"> m</w:t>
            </w:r>
            <w:r>
              <w:rPr>
                <w:color w:val="auto"/>
                <w:highlight w:val="none"/>
                <w:vertAlign w:val="superscript"/>
              </w:rPr>
              <w:t>2</w:t>
            </w:r>
            <w:r>
              <w:rPr>
                <w:color w:val="auto"/>
                <w:highlight w:val="none"/>
              </w:rPr>
              <w:t>，则洒水量为</w:t>
            </w:r>
            <w:r>
              <w:rPr>
                <w:rFonts w:hint="eastAsia"/>
                <w:color w:val="auto"/>
                <w:highlight w:val="none"/>
                <w:lang w:val="en-US" w:eastAsia="zh-CN"/>
              </w:rPr>
              <w:t>5.6</w:t>
            </w:r>
            <w:r>
              <w:rPr>
                <w:color w:val="auto"/>
                <w:highlight w:val="none"/>
              </w:rPr>
              <w:t>m</w:t>
            </w:r>
            <w:r>
              <w:rPr>
                <w:color w:val="auto"/>
                <w:highlight w:val="none"/>
                <w:vertAlign w:val="superscript"/>
              </w:rPr>
              <w:t>3</w:t>
            </w:r>
            <w:r>
              <w:rPr>
                <w:color w:val="auto"/>
                <w:highlight w:val="none"/>
              </w:rPr>
              <w:t>/d。</w:t>
            </w:r>
          </w:p>
          <w:p>
            <w:pPr>
              <w:pStyle w:val="98"/>
              <w:ind w:firstLine="480"/>
              <w:rPr>
                <w:rFonts w:hint="default" w:eastAsia="宋体"/>
                <w:color w:val="auto"/>
                <w:highlight w:val="none"/>
                <w:lang w:val="en-US" w:eastAsia="zh-CN"/>
              </w:rPr>
            </w:pPr>
            <w:r>
              <w:rPr>
                <w:rFonts w:hint="eastAsia"/>
                <w:color w:val="auto"/>
                <w:highlight w:val="none"/>
                <w:lang w:val="en-US" w:eastAsia="zh-CN"/>
              </w:rPr>
              <w:t>③车辆清洗水</w:t>
            </w:r>
          </w:p>
          <w:p>
            <w:pPr>
              <w:pStyle w:val="98"/>
              <w:ind w:firstLine="480"/>
              <w:rPr>
                <w:rFonts w:hint="default" w:eastAsia="宋体"/>
                <w:color w:val="auto"/>
                <w:highlight w:val="none"/>
                <w:lang w:val="en-US" w:eastAsia="zh-CN"/>
              </w:rPr>
            </w:pPr>
            <w:r>
              <w:rPr>
                <w:rFonts w:hint="eastAsia"/>
                <w:color w:val="auto"/>
                <w:highlight w:val="none"/>
                <w:lang w:val="en-US" w:eastAsia="zh-CN"/>
              </w:rPr>
              <w:t>本项目在出入口设置车辆冲洗区，对车轮胎、车体等进行冲洗，年</w:t>
            </w:r>
            <w:r>
              <w:rPr>
                <w:color w:val="auto"/>
                <w:highlight w:val="none"/>
              </w:rPr>
              <w:t>装载</w:t>
            </w:r>
            <w:r>
              <w:rPr>
                <w:rFonts w:hint="eastAsia"/>
                <w:color w:val="auto"/>
                <w:highlight w:val="none"/>
                <w:lang w:val="en-US" w:eastAsia="zh-CN"/>
              </w:rPr>
              <w:t>33000</w:t>
            </w:r>
            <w:r>
              <w:rPr>
                <w:color w:val="auto"/>
                <w:highlight w:val="none"/>
              </w:rPr>
              <w:t>辆次</w:t>
            </w:r>
            <w:r>
              <w:rPr>
                <w:rFonts w:hint="eastAsia"/>
                <w:color w:val="auto"/>
                <w:highlight w:val="none"/>
                <w:lang w:eastAsia="zh-CN"/>
              </w:rPr>
              <w:t>，</w:t>
            </w:r>
            <w:r>
              <w:rPr>
                <w:rFonts w:hint="eastAsia"/>
                <w:color w:val="auto"/>
                <w:highlight w:val="none"/>
                <w:lang w:val="en-US" w:eastAsia="zh-CN"/>
              </w:rPr>
              <w:t>每</w:t>
            </w:r>
            <w:r>
              <w:rPr>
                <w:color w:val="auto"/>
                <w:highlight w:val="none"/>
              </w:rPr>
              <w:t>辆次</w:t>
            </w:r>
            <w:r>
              <w:rPr>
                <w:rFonts w:hint="eastAsia"/>
                <w:color w:val="auto"/>
                <w:highlight w:val="none"/>
                <w:lang w:val="en-US" w:eastAsia="zh-CN"/>
              </w:rPr>
              <w:t>用水量1m³，损耗量按5%计，则车辆清洗水水量1650t/a(5t/d)，该冲洗水循环使用，不外排。</w:t>
            </w:r>
          </w:p>
          <w:p>
            <w:pPr>
              <w:pStyle w:val="98"/>
              <w:ind w:firstLine="480"/>
              <w:rPr>
                <w:color w:val="auto"/>
                <w:highlight w:val="none"/>
              </w:rPr>
            </w:pPr>
            <w:r>
              <w:rPr>
                <w:color w:val="auto"/>
                <w:highlight w:val="none"/>
              </w:rPr>
              <w:t>综上，项目车间及厂区喷淋和洒水抑尘用水</w:t>
            </w:r>
            <w:r>
              <w:rPr>
                <w:rFonts w:hint="eastAsia"/>
                <w:color w:val="auto"/>
                <w:highlight w:val="none"/>
                <w:lang w:val="en-US" w:eastAsia="zh-CN"/>
              </w:rPr>
              <w:t>16.6</w:t>
            </w:r>
            <w:r>
              <w:rPr>
                <w:color w:val="auto"/>
                <w:highlight w:val="none"/>
              </w:rPr>
              <w:t xml:space="preserve"> m</w:t>
            </w:r>
            <w:r>
              <w:rPr>
                <w:color w:val="auto"/>
                <w:highlight w:val="none"/>
                <w:vertAlign w:val="superscript"/>
              </w:rPr>
              <w:t>3</w:t>
            </w:r>
            <w:r>
              <w:rPr>
                <w:color w:val="auto"/>
                <w:highlight w:val="none"/>
              </w:rPr>
              <w:t>/d，</w:t>
            </w:r>
            <w:r>
              <w:rPr>
                <w:rFonts w:hint="eastAsia"/>
                <w:color w:val="auto"/>
                <w:highlight w:val="none"/>
                <w:lang w:val="en-US" w:eastAsia="zh-CN"/>
              </w:rPr>
              <w:t>生产</w:t>
            </w:r>
            <w:r>
              <w:rPr>
                <w:color w:val="auto"/>
                <w:highlight w:val="none"/>
              </w:rPr>
              <w:t>用水均经蒸发损耗，无废水外排。</w:t>
            </w:r>
          </w:p>
          <w:p>
            <w:pPr>
              <w:pStyle w:val="98"/>
              <w:ind w:firstLine="480"/>
              <w:rPr>
                <w:color w:val="auto"/>
                <w:highlight w:val="none"/>
              </w:rPr>
            </w:pPr>
            <w:r>
              <w:rPr>
                <w:color w:val="auto"/>
                <w:highlight w:val="none"/>
              </w:rPr>
              <w:t>(2)生活污水</w:t>
            </w:r>
          </w:p>
          <w:p>
            <w:pPr>
              <w:pStyle w:val="98"/>
              <w:ind w:firstLine="480"/>
              <w:rPr>
                <w:color w:val="auto"/>
                <w:highlight w:val="none"/>
              </w:rPr>
            </w:pPr>
            <w:r>
              <w:rPr>
                <w:rFonts w:ascii="Times New Roman" w:hAnsi="Times New Roman" w:eastAsia="宋体" w:cs="Times New Roman"/>
                <w:color w:val="auto"/>
                <w:sz w:val="24"/>
                <w:szCs w:val="24"/>
                <w:highlight w:val="none"/>
              </w:rPr>
              <w:t>项目员工共</w:t>
            </w:r>
            <w:r>
              <w:rPr>
                <w:rFonts w:hint="eastAsia" w:ascii="Times New Roman" w:hAnsi="Times New Roman" w:eastAsia="宋体" w:cs="Times New Roman"/>
                <w:color w:val="auto"/>
                <w:sz w:val="24"/>
                <w:szCs w:val="24"/>
                <w:highlight w:val="none"/>
                <w:lang w:val="en-US" w:eastAsia="zh-CN"/>
              </w:rPr>
              <w:t>10</w:t>
            </w:r>
            <w:r>
              <w:rPr>
                <w:rFonts w:ascii="Times New Roman" w:hAnsi="Times New Roman" w:eastAsia="宋体" w:cs="Times New Roman"/>
                <w:color w:val="auto"/>
                <w:sz w:val="24"/>
                <w:szCs w:val="24"/>
                <w:highlight w:val="none"/>
              </w:rPr>
              <w:t>人</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两班制，每班人数5人</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居住在离项目约126m的鸡母岩村庄，村庄内配套有公共厕所、饭店，生活设施较为便捷，员工均不在厂内食宿，且根据相关文件，场地为临时加工点，为期18个月，因此本工程不设卫生间设施，厂区不产生生活污水</w:t>
            </w:r>
            <w:r>
              <w:rPr>
                <w:color w:val="auto"/>
                <w:highlight w:val="none"/>
              </w:rPr>
              <w:t>。</w:t>
            </w:r>
          </w:p>
          <w:p>
            <w:pPr>
              <w:pStyle w:val="98"/>
              <w:ind w:firstLine="480"/>
              <w:rPr>
                <w:color w:val="auto"/>
                <w:highlight w:val="none"/>
              </w:rPr>
            </w:pPr>
            <w:r>
              <w:rPr>
                <w:color w:val="auto"/>
                <w:highlight w:val="none"/>
              </w:rPr>
              <w:t>(3)初期雨水</w:t>
            </w:r>
          </w:p>
          <w:p>
            <w:pPr>
              <w:pStyle w:val="98"/>
              <w:ind w:firstLine="480"/>
              <w:rPr>
                <w:color w:val="auto"/>
                <w:highlight w:val="none"/>
              </w:rPr>
            </w:pPr>
            <w:r>
              <w:rPr>
                <w:color w:val="auto"/>
                <w:highlight w:val="none"/>
              </w:rPr>
              <w:t>场地降雨冲洗会产生一定的废水，一般采用历年最大暴雨的前15min雨量为初期雨水量，</w:t>
            </w:r>
            <w:r>
              <w:rPr>
                <w:rFonts w:hint="eastAsia"/>
                <w:color w:val="auto"/>
                <w:highlight w:val="none"/>
                <w:lang w:eastAsia="zh-CN"/>
              </w:rPr>
              <w:t>计算公式</w:t>
            </w:r>
            <w:r>
              <w:rPr>
                <w:color w:val="auto"/>
                <w:highlight w:val="none"/>
              </w:rPr>
              <w:t>如下：</w:t>
            </w:r>
          </w:p>
          <w:p>
            <w:pPr>
              <w:pStyle w:val="98"/>
              <w:ind w:firstLine="480"/>
              <w:jc w:val="center"/>
              <w:rPr>
                <w:color w:val="auto"/>
                <w:highlight w:val="none"/>
              </w:rPr>
            </w:pPr>
            <w:r>
              <w:rPr>
                <w:color w:val="auto"/>
                <w:highlight w:val="none"/>
              </w:rPr>
              <w:object>
                <v:shape id="_x0000_i1025" o:spt="75" type="#_x0000_t75" style="height:15.6pt;width:52.1pt;" o:ole="t" filled="f" o:preferrelative="t" stroked="f" coordsize="21600,21600">
                  <v:path/>
                  <v:fill on="f" focussize="0,0"/>
                  <v:stroke on="f"/>
                  <v:imagedata r:id="rId10" o:title=""/>
                  <o:lock v:ext="edit" aspectratio="t"/>
                  <w10:wrap type="none"/>
                  <w10:anchorlock/>
                </v:shape>
                <o:OLEObject Type="Embed" ProgID="Equation.DSMT4" ShapeID="_x0000_i1025" DrawAspect="Content" ObjectID="_1468075725" r:id="rId9">
                  <o:LockedField>false</o:LockedField>
                </o:OLEObject>
              </w:object>
            </w:r>
          </w:p>
          <w:p>
            <w:pPr>
              <w:pStyle w:val="98"/>
              <w:ind w:firstLine="480"/>
              <w:rPr>
                <w:color w:val="auto"/>
                <w:highlight w:val="none"/>
              </w:rPr>
            </w:pPr>
            <w:r>
              <w:rPr>
                <w:color w:val="auto"/>
                <w:highlight w:val="none"/>
              </w:rPr>
              <w:object>
                <v:shape id="_x0000_i1026" o:spt="75" type="#_x0000_t75" style="height:15.05pt;width:11.3pt;" o:ole="t" filled="f" o:preferrelative="t" stroked="f" coordsize="21600,21600">
                  <v:path/>
                  <v:fill on="f" focussize="0,0"/>
                  <v:stroke on="f"/>
                  <v:imagedata r:id="rId12" o:title=""/>
                  <o:lock v:ext="edit" aspectratio="t"/>
                  <w10:wrap type="none"/>
                  <w10:anchorlock/>
                </v:shape>
                <o:OLEObject Type="Embed" ProgID="Equation.DSMT4" ShapeID="_x0000_i1026" DrawAspect="Content" ObjectID="_1468075726" r:id="rId11">
                  <o:LockedField>false</o:LockedField>
                </o:OLEObject>
              </w:object>
            </w:r>
            <w:r>
              <w:rPr>
                <w:color w:val="auto"/>
                <w:highlight w:val="none"/>
              </w:rPr>
              <w:t>—初期雨水流量(L/s)；</w:t>
            </w:r>
          </w:p>
          <w:p>
            <w:pPr>
              <w:pStyle w:val="98"/>
              <w:ind w:firstLine="480"/>
              <w:rPr>
                <w:color w:val="auto"/>
                <w:highlight w:val="none"/>
              </w:rPr>
            </w:pPr>
            <w:r>
              <w:rPr>
                <w:color w:val="auto"/>
                <w:position w:val="-4"/>
                <w:highlight w:val="none"/>
              </w:rPr>
              <w:object>
                <v:shape id="_x0000_i1027" o:spt="75" type="#_x0000_t75" style="height:13.45pt;width:11.8pt;" o:ole="t" filled="f" o:preferrelative="t" stroked="f" coordsize="21600,21600">
                  <v:path/>
                  <v:fill on="f" focussize="0,0"/>
                  <v:stroke on="f"/>
                  <v:imagedata r:id="rId14" o:title=""/>
                  <o:lock v:ext="edit" aspectratio="t"/>
                  <w10:wrap type="none"/>
                  <w10:anchorlock/>
                </v:shape>
                <o:OLEObject Type="Embed" ProgID="Equation.DSMT4" ShapeID="_x0000_i1027" DrawAspect="Content" ObjectID="_1468075727" r:id="rId13">
                  <o:LockedField>false</o:LockedField>
                </o:OLEObject>
              </w:object>
            </w:r>
            <w:r>
              <w:rPr>
                <w:color w:val="auto"/>
                <w:highlight w:val="none"/>
              </w:rPr>
              <w:t>—汇水面积(</w:t>
            </w:r>
            <w:r>
              <w:rPr>
                <w:rFonts w:hint="eastAsia"/>
                <w:color w:val="auto"/>
                <w:highlight w:val="none"/>
                <w:lang w:val="en-US" w:eastAsia="zh-CN"/>
              </w:rPr>
              <w:t>15亩</w:t>
            </w:r>
            <w:r>
              <w:rPr>
                <w:color w:val="auto"/>
                <w:highlight w:val="none"/>
              </w:rPr>
              <w:t>)；</w:t>
            </w:r>
          </w:p>
          <w:p>
            <w:pPr>
              <w:pStyle w:val="98"/>
              <w:ind w:firstLine="482"/>
              <w:rPr>
                <w:color w:val="auto"/>
                <w:highlight w:val="none"/>
              </w:rPr>
            </w:pPr>
            <w:r>
              <w:rPr>
                <w:b/>
                <w:color w:val="auto"/>
                <w:position w:val="-10"/>
                <w:highlight w:val="none"/>
              </w:rPr>
              <w:object>
                <v:shape id="_x0000_i1028" o:spt="75" type="#_x0000_t75" style="height:13.45pt;width:11.8pt;" o:ole="t" filled="f" o:preferrelative="t" stroked="f" coordsize="21600,21600">
                  <v:path/>
                  <v:fill on="f" focussize="0,0"/>
                  <v:stroke on="f"/>
                  <v:imagedata r:id="rId16" o:title=""/>
                  <o:lock v:ext="edit" aspectratio="t"/>
                  <w10:wrap type="none"/>
                  <w10:anchorlock/>
                </v:shape>
                <o:OLEObject Type="Embed" ProgID="Equation.DSMT4" ShapeID="_x0000_i1028" DrawAspect="Content" ObjectID="_1468075728" r:id="rId15">
                  <o:LockedField>false</o:LockedField>
                </o:OLEObject>
              </w:object>
            </w:r>
            <w:r>
              <w:rPr>
                <w:b/>
                <w:color w:val="auto"/>
                <w:highlight w:val="none"/>
              </w:rPr>
              <w:t>—</w:t>
            </w:r>
            <w:r>
              <w:rPr>
                <w:color w:val="auto"/>
                <w:highlight w:val="none"/>
              </w:rPr>
              <w:t>为径流系数(取0.6)；</w:t>
            </w:r>
          </w:p>
          <w:p>
            <w:pPr>
              <w:pStyle w:val="98"/>
              <w:ind w:firstLine="480"/>
              <w:rPr>
                <w:color w:val="auto"/>
                <w:highlight w:val="none"/>
              </w:rPr>
            </w:pPr>
            <w:r>
              <w:rPr>
                <w:color w:val="auto"/>
                <w:position w:val="-4"/>
                <w:highlight w:val="none"/>
              </w:rPr>
              <w:object>
                <v:shape id="_x0000_i1029" o:spt="75" type="#_x0000_t75" style="height:13.45pt;width:11.3pt;" o:ole="t" filled="f" o:preferrelative="t" stroked="f" coordsize="21600,21600">
                  <v:path/>
                  <v:fill on="f" focussize="0,0"/>
                  <v:stroke on="f"/>
                  <v:imagedata r:id="rId18" o:title=""/>
                  <o:lock v:ext="edit" aspectratio="t"/>
                  <w10:wrap type="none"/>
                  <w10:anchorlock/>
                </v:shape>
                <o:OLEObject Type="Embed" ProgID="Equation.DSMT4" ShapeID="_x0000_i1029" DrawAspect="Content" ObjectID="_1468075729" r:id="rId17">
                  <o:LockedField>false</o:LockedField>
                </o:OLEObject>
              </w:object>
            </w:r>
            <w:r>
              <w:rPr>
                <w:color w:val="auto"/>
                <w:highlight w:val="none"/>
              </w:rPr>
              <w:t>—为收水时间，一般取15min；</w:t>
            </w:r>
          </w:p>
          <w:p>
            <w:pPr>
              <w:pStyle w:val="98"/>
              <w:spacing w:line="360" w:lineRule="auto"/>
              <w:ind w:firstLine="480"/>
              <w:rPr>
                <w:color w:val="auto"/>
                <w:highlight w:val="none"/>
              </w:rPr>
            </w:pPr>
            <w:r>
              <w:rPr>
                <w:color w:val="auto"/>
                <w:highlight w:val="none"/>
              </w:rPr>
              <w:object>
                <v:shape id="_x0000_i1030" o:spt="75" type="#_x0000_t75" style="height:11.8pt;width:9.65pt;" o:ole="t" filled="f" o:preferrelative="t" stroked="f" coordsize="21600,21600">
                  <v:path/>
                  <v:fill on="f" focussize="0,0"/>
                  <v:stroke on="f"/>
                  <v:imagedata r:id="rId20" o:title=""/>
                  <o:lock v:ext="edit" aspectratio="t"/>
                  <w10:wrap type="none"/>
                  <w10:anchorlock/>
                </v:shape>
                <o:OLEObject Type="Embed" ProgID="Equation.DSMT4" ShapeID="_x0000_i1030" DrawAspect="Content" ObjectID="_1468075730" r:id="rId19">
                  <o:LockedField>false</o:LockedField>
                </o:OLEObject>
              </w:object>
            </w:r>
            <w:r>
              <w:rPr>
                <w:color w:val="auto"/>
                <w:highlight w:val="none"/>
              </w:rPr>
              <w:t>—暴雨强度(L/s·hm</w:t>
            </w:r>
            <w:r>
              <w:rPr>
                <w:color w:val="auto"/>
                <w:highlight w:val="none"/>
                <w:vertAlign w:val="superscript"/>
              </w:rPr>
              <w:t>2</w:t>
            </w:r>
            <w:r>
              <w:rPr>
                <w:color w:val="auto"/>
                <w:highlight w:val="none"/>
              </w:rPr>
              <w:t>)</w:t>
            </w:r>
          </w:p>
          <w:p>
            <w:pPr>
              <w:pStyle w:val="98"/>
              <w:spacing w:line="360" w:lineRule="auto"/>
              <w:ind w:firstLine="480"/>
              <w:rPr>
                <w:color w:val="auto"/>
                <w:highlight w:val="none"/>
              </w:rPr>
            </w:pPr>
            <w:r>
              <w:rPr>
                <w:color w:val="auto"/>
                <w:highlight w:val="none"/>
              </w:rPr>
              <w:t>暴雨强度的计算参照福建省暴雨强度计算公式：</w:t>
            </w:r>
          </w:p>
          <w:p>
            <w:pPr>
              <w:spacing w:line="360" w:lineRule="auto"/>
              <w:ind w:firstLine="480"/>
              <w:jc w:val="center"/>
              <w:rPr>
                <w:color w:val="auto"/>
                <w:highlight w:val="none"/>
              </w:rPr>
            </w:pPr>
            <w:r>
              <w:rPr>
                <w:color w:val="auto"/>
                <w:position w:val="-26"/>
                <w:highlight w:val="none"/>
              </w:rPr>
              <w:object>
                <v:shape id="_x0000_i1031" o:spt="75" type="#_x0000_t75" style="height:33.3pt;width:162.3pt;" o:ole="t" filled="f" o:preferrelative="t" stroked="f" coordsize="21600,21600">
                  <v:path/>
                  <v:fill on="f" focussize="0,0"/>
                  <v:stroke on="f"/>
                  <v:imagedata r:id="rId22" o:title=""/>
                  <o:lock v:ext="edit" aspectratio="t"/>
                  <w10:wrap type="none"/>
                  <w10:anchorlock/>
                </v:shape>
                <o:OLEObject Type="Embed" ProgID="Equation.DSMT4" ShapeID="_x0000_i1031" DrawAspect="Content" ObjectID="_1468075731" r:id="rId21">
                  <o:LockedField>false</o:LockedField>
                </o:OLEObject>
              </w:object>
            </w:r>
          </w:p>
          <w:p>
            <w:pPr>
              <w:pStyle w:val="98"/>
              <w:spacing w:line="360" w:lineRule="auto"/>
              <w:ind w:firstLine="480"/>
              <w:rPr>
                <w:color w:val="auto"/>
                <w:highlight w:val="none"/>
              </w:rPr>
            </w:pPr>
            <w:r>
              <w:rPr>
                <w:color w:val="auto"/>
                <w:highlight w:val="none"/>
              </w:rPr>
              <w:object>
                <v:shape id="_x0000_i1032" o:spt="75" type="#_x0000_t75" style="height:13.45pt;width:11.8pt;" o:ole="t" filled="f" o:preferrelative="t" stroked="f" coordsize="21600,21600">
                  <v:path/>
                  <v:fill on="f" focussize="0,0"/>
                  <v:stroke on="f"/>
                  <v:imagedata r:id="rId24" o:title=""/>
                  <o:lock v:ext="edit" aspectratio="t"/>
                  <w10:wrap type="none"/>
                  <w10:anchorlock/>
                </v:shape>
                <o:OLEObject Type="Embed" ProgID="Equation.DSMT4" ShapeID="_x0000_i1032" DrawAspect="Content" ObjectID="_1468075732" r:id="rId23">
                  <o:LockedField>false</o:LockedField>
                </o:OLEObject>
              </w:object>
            </w:r>
            <w:r>
              <w:rPr>
                <w:color w:val="auto"/>
                <w:highlight w:val="none"/>
              </w:rPr>
              <w:t>—设计重现期，取2年；</w:t>
            </w:r>
          </w:p>
          <w:p>
            <w:pPr>
              <w:pStyle w:val="98"/>
              <w:spacing w:line="360" w:lineRule="auto"/>
              <w:ind w:firstLine="480"/>
              <w:rPr>
                <w:color w:val="auto"/>
                <w:highlight w:val="none"/>
              </w:rPr>
            </w:pPr>
            <w:r>
              <w:rPr>
                <w:color w:val="auto"/>
                <w:highlight w:val="none"/>
              </w:rPr>
              <w:object>
                <v:shape id="_x0000_i1033" o:spt="75" type="#_x0000_t75" style="height:11.8pt;width:8.05pt;" o:ole="t" filled="f" o:preferrelative="t" stroked="f" coordsize="21600,21600">
                  <v:path/>
                  <v:fill on="f" focussize="0,0"/>
                  <v:stroke on="f"/>
                  <v:imagedata r:id="rId26" o:title=""/>
                  <o:lock v:ext="edit" aspectratio="t"/>
                  <w10:wrap type="none"/>
                  <w10:anchorlock/>
                </v:shape>
                <o:OLEObject Type="Embed" ProgID="Equation.DSMT4" ShapeID="_x0000_i1033" DrawAspect="Content" ObjectID="_1468075733" r:id="rId25">
                  <o:LockedField>false</o:LockedField>
                </o:OLEObject>
              </w:object>
            </w:r>
            <w:r>
              <w:rPr>
                <w:color w:val="auto"/>
                <w:highlight w:val="none"/>
              </w:rPr>
              <w:t>—降雨历时，取15min；</w:t>
            </w:r>
          </w:p>
          <w:p>
            <w:pPr>
              <w:pStyle w:val="98"/>
              <w:ind w:firstLine="480"/>
              <w:rPr>
                <w:color w:val="auto"/>
                <w:highlight w:val="none"/>
              </w:rPr>
            </w:pPr>
            <w:r>
              <w:rPr>
                <w:color w:val="auto"/>
                <w:highlight w:val="none"/>
              </w:rPr>
              <w:t>经计算，暴雨强度为</w:t>
            </w:r>
            <w:r>
              <w:rPr>
                <w:rFonts w:hint="eastAsia"/>
                <w:color w:val="auto"/>
                <w:highlight w:val="none"/>
                <w:lang w:val="en-US" w:eastAsia="zh-CN"/>
              </w:rPr>
              <w:t>297.24</w:t>
            </w:r>
            <w:r>
              <w:rPr>
                <w:color w:val="auto"/>
                <w:highlight w:val="none"/>
              </w:rPr>
              <w:t>L/s·hm</w:t>
            </w:r>
            <w:r>
              <w:rPr>
                <w:color w:val="auto"/>
                <w:highlight w:val="none"/>
                <w:vertAlign w:val="superscript"/>
              </w:rPr>
              <w:t>2</w:t>
            </w:r>
            <w:r>
              <w:rPr>
                <w:color w:val="auto"/>
                <w:highlight w:val="none"/>
              </w:rPr>
              <w:t>，雨水流量</w:t>
            </w:r>
            <w:r>
              <w:rPr>
                <w:rFonts w:hint="eastAsia"/>
                <w:color w:val="auto"/>
                <w:highlight w:val="none"/>
                <w:lang w:val="en-US" w:eastAsia="zh-CN"/>
              </w:rPr>
              <w:t>178.34</w:t>
            </w:r>
            <w:r>
              <w:rPr>
                <w:color w:val="auto"/>
                <w:highlight w:val="none"/>
              </w:rPr>
              <w:t>L/s，则15min内的初期雨水量为</w:t>
            </w:r>
            <w:r>
              <w:rPr>
                <w:rFonts w:hint="eastAsia"/>
                <w:color w:val="auto"/>
                <w:highlight w:val="none"/>
                <w:lang w:val="en-US" w:eastAsia="zh-CN"/>
              </w:rPr>
              <w:t>160.51</w:t>
            </w:r>
            <w:r>
              <w:rPr>
                <w:color w:val="auto"/>
                <w:highlight w:val="none"/>
              </w:rPr>
              <w:t>m</w:t>
            </w:r>
            <w:r>
              <w:rPr>
                <w:color w:val="auto"/>
                <w:highlight w:val="none"/>
                <w:vertAlign w:val="superscript"/>
              </w:rPr>
              <w:t>3</w:t>
            </w:r>
            <w:r>
              <w:rPr>
                <w:color w:val="auto"/>
                <w:highlight w:val="none"/>
              </w:rPr>
              <w:t>/次，每年降雨以15次计，则初期雨水量为</w:t>
            </w:r>
            <w:r>
              <w:rPr>
                <w:rFonts w:hint="eastAsia"/>
                <w:color w:val="auto"/>
                <w:highlight w:val="none"/>
                <w:lang w:val="en-US" w:eastAsia="zh-CN"/>
              </w:rPr>
              <w:t>2407.59</w:t>
            </w:r>
            <w:r>
              <w:rPr>
                <w:color w:val="auto"/>
                <w:highlight w:val="none"/>
              </w:rPr>
              <w:t xml:space="preserve"> m</w:t>
            </w:r>
            <w:r>
              <w:rPr>
                <w:color w:val="auto"/>
                <w:highlight w:val="none"/>
                <w:vertAlign w:val="superscript"/>
              </w:rPr>
              <w:t>3</w:t>
            </w:r>
            <w:r>
              <w:rPr>
                <w:color w:val="auto"/>
                <w:highlight w:val="none"/>
              </w:rPr>
              <w:t>/a(</w:t>
            </w:r>
            <w:r>
              <w:rPr>
                <w:rFonts w:hint="eastAsia"/>
                <w:color w:val="auto"/>
                <w:highlight w:val="none"/>
                <w:lang w:val="en-US" w:eastAsia="zh-CN"/>
              </w:rPr>
              <w:t>7.30</w:t>
            </w:r>
            <w:r>
              <w:rPr>
                <w:color w:val="auto"/>
                <w:highlight w:val="none"/>
              </w:rPr>
              <w:t>m</w:t>
            </w:r>
            <w:r>
              <w:rPr>
                <w:color w:val="auto"/>
                <w:highlight w:val="none"/>
                <w:vertAlign w:val="superscript"/>
              </w:rPr>
              <w:t>3</w:t>
            </w:r>
            <w:r>
              <w:rPr>
                <w:color w:val="auto"/>
                <w:highlight w:val="none"/>
              </w:rPr>
              <w:t>/d)，该部分雨水采用污水罐沉降处理后用作厂区洒水。定期将污水罐污泥清理，外卖综合处置。</w:t>
            </w:r>
          </w:p>
          <w:p>
            <w:pPr>
              <w:pStyle w:val="98"/>
              <w:ind w:firstLine="480"/>
              <w:rPr>
                <w:rFonts w:hint="eastAsia"/>
                <w:color w:val="auto"/>
                <w:highlight w:val="none"/>
                <w:lang w:val="en-US" w:eastAsia="zh-CN"/>
              </w:rPr>
            </w:pPr>
            <w:r>
              <w:rPr>
                <w:rFonts w:hint="eastAsia"/>
                <w:color w:val="auto"/>
                <w:highlight w:val="none"/>
                <w:lang w:val="en-US" w:eastAsia="zh-CN"/>
              </w:rPr>
              <w:t>项目水平衡示意图详见图1</w:t>
            </w:r>
          </w:p>
          <w:p>
            <w:pPr>
              <w:pStyle w:val="98"/>
              <w:ind w:left="0" w:leftChars="0" w:firstLine="0" w:firstLineChars="0"/>
              <w:rPr>
                <w:rFonts w:hint="eastAsia"/>
                <w:color w:val="auto"/>
                <w:highlight w:val="none"/>
                <w:lang w:val="en-US" w:eastAsia="zh-CN"/>
              </w:rPr>
            </w:pPr>
          </w:p>
          <w:p>
            <w:pPr>
              <w:pStyle w:val="98"/>
              <w:ind w:left="0" w:leftChars="0" w:firstLine="0" w:firstLineChars="0"/>
              <w:jc w:val="center"/>
              <w:rPr>
                <w:rFonts w:hint="eastAsia" w:eastAsia="宋体"/>
                <w:color w:val="auto"/>
                <w:highlight w:val="none"/>
                <w:lang w:eastAsia="zh-CN"/>
              </w:rPr>
            </w:pPr>
            <w:r>
              <w:rPr>
                <w:rFonts w:hint="eastAsia"/>
                <w:b/>
                <w:bCs/>
                <w:color w:val="auto"/>
                <w:highlight w:val="none"/>
              </w:rPr>
              <w:t>图1  水平衡示意图</w:t>
            </w:r>
            <w:r>
              <w:rPr>
                <w:rFonts w:hint="eastAsia"/>
                <w:b/>
                <w:bCs/>
                <w:color w:val="auto"/>
                <w:highlight w:val="none"/>
                <w:lang w:val="en-US" w:eastAsia="zh-CN"/>
              </w:rPr>
              <w:t xml:space="preserve"> 单位：t/d</w:t>
            </w:r>
          </w:p>
          <w:p>
            <w:pPr>
              <w:pStyle w:val="96"/>
              <w:rPr>
                <w:color w:val="auto"/>
                <w:highlight w:val="none"/>
              </w:rPr>
            </w:pPr>
            <w:r>
              <w:rPr>
                <w:color w:val="auto"/>
                <w:highlight w:val="none"/>
              </w:rPr>
              <w:t>4.2供电</w:t>
            </w:r>
          </w:p>
          <w:p>
            <w:pPr>
              <w:pStyle w:val="98"/>
              <w:ind w:firstLine="480"/>
              <w:rPr>
                <w:color w:val="auto"/>
                <w:highlight w:val="none"/>
              </w:rPr>
            </w:pPr>
            <w:r>
              <w:rPr>
                <w:color w:val="auto"/>
                <w:highlight w:val="none"/>
              </w:rPr>
              <w:t>本项目供电依托</w:t>
            </w:r>
            <w:r>
              <w:rPr>
                <w:rFonts w:hint="eastAsia"/>
                <w:color w:val="auto"/>
                <w:highlight w:val="none"/>
                <w:lang w:val="en-US" w:eastAsia="zh-CN"/>
              </w:rPr>
              <w:t>市政</w:t>
            </w:r>
            <w:r>
              <w:rPr>
                <w:color w:val="auto"/>
                <w:highlight w:val="none"/>
              </w:rPr>
              <w:t>电网供电，项目耗电约</w:t>
            </w:r>
            <w:r>
              <w:rPr>
                <w:rFonts w:hint="eastAsia"/>
                <w:color w:val="auto"/>
                <w:highlight w:val="none"/>
                <w:lang w:val="en-US" w:eastAsia="zh-CN"/>
              </w:rPr>
              <w:t>432.6</w:t>
            </w:r>
            <w:r>
              <w:rPr>
                <w:color w:val="auto"/>
                <w:highlight w:val="none"/>
              </w:rPr>
              <w:t>万kWh/a。</w:t>
            </w:r>
          </w:p>
          <w:p>
            <w:pPr>
              <w:pStyle w:val="3"/>
              <w:rPr>
                <w:color w:val="auto"/>
                <w:highlight w:val="none"/>
              </w:rPr>
            </w:pPr>
            <w:r>
              <w:rPr>
                <w:color w:val="auto"/>
                <w:highlight w:val="none"/>
              </w:rPr>
              <w:t>5、厂区平面布置</w:t>
            </w:r>
          </w:p>
          <w:p>
            <w:pPr>
              <w:pStyle w:val="98"/>
              <w:ind w:firstLine="480"/>
              <w:rPr>
                <w:color w:val="auto"/>
                <w:highlight w:val="none"/>
              </w:rPr>
            </w:pPr>
            <w:r>
              <w:rPr>
                <w:rFonts w:hint="eastAsia"/>
                <w:color w:val="auto"/>
                <w:highlight w:val="none"/>
              </w:rPr>
              <w:t>本项目位于福鼎市山前街道百胜村鸡母岩君德码头西北角，</w:t>
            </w:r>
            <w:r>
              <w:rPr>
                <w:rFonts w:hint="eastAsia"/>
                <w:color w:val="auto"/>
                <w:highlight w:val="none"/>
                <w:lang w:val="en-US" w:eastAsia="zh-CN"/>
              </w:rPr>
              <w:t>项目</w:t>
            </w:r>
            <w:r>
              <w:rPr>
                <w:rFonts w:hint="eastAsia"/>
                <w:color w:val="auto"/>
                <w:highlight w:val="none"/>
              </w:rPr>
              <w:t>西面毗邻沙埕湾，东北面为</w:t>
            </w:r>
            <w:r>
              <w:rPr>
                <w:rFonts w:hint="eastAsia"/>
                <w:color w:val="auto"/>
                <w:highlight w:val="none"/>
                <w:lang w:val="en-US" w:eastAsia="zh-CN"/>
              </w:rPr>
              <w:t>江滨大道</w:t>
            </w:r>
            <w:r>
              <w:rPr>
                <w:rFonts w:hint="eastAsia"/>
                <w:color w:val="auto"/>
                <w:highlight w:val="none"/>
              </w:rPr>
              <w:t>，东南面为</w:t>
            </w:r>
            <w:r>
              <w:rPr>
                <w:rFonts w:hint="eastAsia"/>
                <w:color w:val="auto"/>
                <w:highlight w:val="none"/>
                <w:lang w:val="en-US" w:eastAsia="zh-CN"/>
              </w:rPr>
              <w:t>君德码头</w:t>
            </w:r>
            <w:r>
              <w:rPr>
                <w:rFonts w:hint="eastAsia"/>
                <w:color w:val="auto"/>
                <w:highlight w:val="none"/>
              </w:rPr>
              <w:t>。项目生产车间位于用地北侧，原料堆料场位于生产车间南侧，成品场位于用地东南侧。生产车间内布置有：给料机、鄂破机、振动筛、轮式洗砂机、脱水筛、高压对辊机。项目污水罐及压滤机位于西北侧；清水池位于厂区西北侧。</w:t>
            </w:r>
            <w:r>
              <w:rPr>
                <w:rFonts w:hint="eastAsia"/>
                <w:color w:val="auto"/>
                <w:highlight w:val="none"/>
                <w:lang w:val="en-US" w:eastAsia="zh-CN"/>
              </w:rPr>
              <w:t>厂区平面布局位于</w:t>
            </w:r>
            <w:r>
              <w:rPr>
                <w:rFonts w:hint="eastAsia"/>
                <w:color w:val="auto"/>
                <w:highlight w:val="none"/>
              </w:rPr>
              <w:t>福鼎市自然资源局202</w:t>
            </w:r>
            <w:r>
              <w:rPr>
                <w:rFonts w:hint="eastAsia"/>
                <w:color w:val="auto"/>
                <w:highlight w:val="none"/>
                <w:lang w:val="en-US" w:eastAsia="zh-CN"/>
              </w:rPr>
              <w:t>3</w:t>
            </w:r>
            <w:r>
              <w:rPr>
                <w:rFonts w:hint="eastAsia"/>
                <w:color w:val="auto"/>
                <w:highlight w:val="none"/>
              </w:rPr>
              <w:t>年</w:t>
            </w:r>
            <w:r>
              <w:rPr>
                <w:rFonts w:hint="eastAsia"/>
                <w:color w:val="auto"/>
                <w:highlight w:val="none"/>
                <w:lang w:val="en-US" w:eastAsia="zh-CN"/>
              </w:rPr>
              <w:t>2</w:t>
            </w:r>
            <w:r>
              <w:rPr>
                <w:rFonts w:hint="eastAsia"/>
                <w:color w:val="auto"/>
                <w:highlight w:val="none"/>
              </w:rPr>
              <w:t>月</w:t>
            </w:r>
            <w:r>
              <w:rPr>
                <w:rFonts w:hint="eastAsia"/>
                <w:color w:val="auto"/>
                <w:highlight w:val="none"/>
                <w:lang w:val="en-US" w:eastAsia="zh-CN"/>
              </w:rPr>
              <w:t>13</w:t>
            </w:r>
            <w:r>
              <w:rPr>
                <w:rFonts w:hint="eastAsia"/>
                <w:color w:val="auto"/>
                <w:highlight w:val="none"/>
              </w:rPr>
              <w:t>日</w:t>
            </w:r>
            <w:r>
              <w:rPr>
                <w:rFonts w:hint="eastAsia"/>
                <w:color w:val="auto"/>
                <w:highlight w:val="none"/>
                <w:lang w:val="en-US" w:eastAsia="zh-CN"/>
              </w:rPr>
              <w:t>出具的《福鼎市自然资源局关于福鼎市嘉邦建材有限公司使用君德码头部分用地作为临时碎石加工点的复函》中的红线范围内。</w:t>
            </w:r>
            <w:r>
              <w:rPr>
                <w:color w:val="auto"/>
                <w:highlight w:val="none"/>
                <w:lang w:val="en-US" w:eastAsia="zh-CN"/>
              </w:rPr>
              <w:t>项目平面布置基本合理</w:t>
            </w:r>
          </w:p>
          <w:p>
            <w:pPr>
              <w:pStyle w:val="98"/>
              <w:ind w:firstLine="480"/>
              <w:rPr>
                <w:color w:val="auto"/>
                <w:highlight w:val="none"/>
                <w:vertAlign w:val="baseline"/>
              </w:rPr>
            </w:pPr>
            <w:r>
              <w:rPr>
                <w:color w:val="auto"/>
                <w:highlight w:val="none"/>
              </w:rPr>
              <w:t>项目各个车间功能分区明确，各生产工段之间相对独立、互不干扰，各功能区域分工明确，遵循物料及产品流向合理等原则。</w:t>
            </w:r>
            <w:r>
              <w:rPr>
                <w:rFonts w:hint="eastAsia"/>
                <w:color w:val="auto"/>
                <w:highlight w:val="none"/>
                <w:lang w:val="en-US" w:eastAsia="zh-CN"/>
              </w:rPr>
              <w:t>项目现状图如下，</w:t>
            </w:r>
            <w:r>
              <w:rPr>
                <w:color w:val="auto"/>
                <w:highlight w:val="none"/>
              </w:rPr>
              <w:t>项目总平面布置图详见附图</w:t>
            </w:r>
            <w:r>
              <w:rPr>
                <w:rFonts w:hint="eastAsia"/>
                <w:color w:val="auto"/>
                <w:highlight w:val="none"/>
                <w:lang w:val="en-US" w:eastAsia="zh-CN"/>
              </w:rPr>
              <w:t>3</w:t>
            </w:r>
            <w:r>
              <w:rPr>
                <w:color w:val="auto"/>
                <w:highlight w:val="none"/>
              </w:rPr>
              <w:t>。</w:t>
            </w:r>
            <w:r>
              <w:rPr>
                <w:rFonts w:hint="eastAsia"/>
                <w:b w:val="0"/>
                <w:bCs w:val="0"/>
                <w:color w:val="auto"/>
                <w:highlight w:val="none"/>
                <w:lang w:val="en-US" w:eastAsia="zh-CN"/>
              </w:rPr>
              <w:t>本项目与</w:t>
            </w:r>
            <w:r>
              <w:rPr>
                <w:rFonts w:hint="eastAsia"/>
                <w:color w:val="auto"/>
                <w:highlight w:val="none"/>
                <w:lang w:val="en-US" w:eastAsia="zh-CN"/>
              </w:rPr>
              <w:t>君德码头关系图见附图4</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5"/>
              <w:gridCol w:w="4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5" w:type="dxa"/>
                  <w:noWrap w:val="0"/>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highlight w:val="none"/>
                      <w:vertAlign w:val="baseline"/>
                      <w:lang w:eastAsia="zh-CN"/>
                    </w:rPr>
                  </w:pPr>
                </w:p>
              </w:tc>
              <w:tc>
                <w:tcPr>
                  <w:tcW w:w="4183" w:type="dxa"/>
                  <w:noWrap w:val="0"/>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5" w:type="dxa"/>
                  <w:noWrap w:val="0"/>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olor w:val="auto"/>
                      <w:highlight w:val="none"/>
                      <w:vertAlign w:val="baseline"/>
                      <w:lang w:val="en-US" w:eastAsia="zh-CN"/>
                    </w:rPr>
                  </w:pPr>
                </w:p>
              </w:tc>
              <w:tc>
                <w:tcPr>
                  <w:tcW w:w="4183" w:type="dxa"/>
                  <w:noWrap w:val="0"/>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highlight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5" w:type="dxa"/>
                  <w:noWrap w:val="0"/>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highlight w:val="none"/>
                      <w:vertAlign w:val="baseline"/>
                      <w:lang w:eastAsia="zh-CN"/>
                    </w:rPr>
                  </w:pPr>
                </w:p>
              </w:tc>
              <w:tc>
                <w:tcPr>
                  <w:tcW w:w="4183" w:type="dxa"/>
                  <w:noWrap w:val="0"/>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5" w:type="dxa"/>
                  <w:noWrap w:val="0"/>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olor w:val="auto"/>
                      <w:highlight w:val="none"/>
                      <w:vertAlign w:val="baseline"/>
                      <w:lang w:val="en-US" w:eastAsia="zh-CN"/>
                    </w:rPr>
                  </w:pPr>
                </w:p>
              </w:tc>
              <w:tc>
                <w:tcPr>
                  <w:tcW w:w="4183" w:type="dxa"/>
                  <w:noWrap w:val="0"/>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68" w:type="dxa"/>
                  <w:gridSpan w:val="2"/>
                  <w:noWrap w:val="0"/>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8" w:type="dxa"/>
                  <w:gridSpan w:val="2"/>
                  <w:noWrap w:val="0"/>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5" w:type="dxa"/>
                  <w:noWrap w:val="0"/>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highlight w:val="none"/>
                      <w:vertAlign w:val="baseline"/>
                      <w:lang w:val="en-US" w:eastAsia="zh-CN"/>
                    </w:rPr>
                  </w:pPr>
                </w:p>
              </w:tc>
              <w:tc>
                <w:tcPr>
                  <w:tcW w:w="4183" w:type="dxa"/>
                  <w:noWrap w:val="0"/>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8" w:type="dxa"/>
                  <w:gridSpan w:val="2"/>
                  <w:noWrap w:val="0"/>
                  <w:vAlign w:val="center"/>
                </w:tcPr>
                <w:p>
                  <w:pPr>
                    <w:pStyle w:val="9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highlight w:val="none"/>
                      <w:vertAlign w:val="baseline"/>
                      <w:lang w:val="en-US" w:eastAsia="zh-CN"/>
                    </w:rPr>
                  </w:pPr>
                </w:p>
              </w:tc>
            </w:tr>
          </w:tbl>
          <w:p>
            <w:pPr>
              <w:pStyle w:val="98"/>
              <w:ind w:firstLine="480"/>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95" w:hRule="atLeast"/>
          <w:jc w:val="center"/>
        </w:trPr>
        <w:tc>
          <w:tcPr>
            <w:tcW w:w="693" w:type="dxa"/>
            <w:noWrap w:val="0"/>
            <w:vAlign w:val="center"/>
          </w:tcPr>
          <w:p>
            <w:pPr>
              <w:pStyle w:val="20"/>
              <w:adjustRightInd w:val="0"/>
              <w:snapToGrid w:val="0"/>
              <w:spacing w:before="0" w:beforeAutospacing="0" w:after="0" w:afterAutospacing="0" w:line="360" w:lineRule="auto"/>
              <w:jc w:val="center"/>
              <w:rPr>
                <w:rFonts w:ascii="Times New Roman" w:hAnsi="Times New Roman"/>
                <w:color w:val="auto"/>
                <w:szCs w:val="24"/>
                <w:highlight w:val="none"/>
              </w:rPr>
            </w:pPr>
            <w:r>
              <w:rPr>
                <w:rFonts w:ascii="Times New Roman" w:hAnsi="Times New Roman"/>
                <w:color w:val="auto"/>
                <w:szCs w:val="24"/>
                <w:highlight w:val="none"/>
              </w:rPr>
              <w:t>工艺流程和产排污环节</w:t>
            </w:r>
          </w:p>
        </w:tc>
        <w:tc>
          <w:tcPr>
            <w:tcW w:w="8594" w:type="dxa"/>
            <w:noWrap w:val="0"/>
            <w:vAlign w:val="top"/>
          </w:tcPr>
          <w:p>
            <w:pPr>
              <w:pStyle w:val="3"/>
              <w:rPr>
                <w:color w:val="auto"/>
                <w:highlight w:val="none"/>
              </w:rPr>
            </w:pPr>
            <w:r>
              <w:rPr>
                <w:color w:val="auto"/>
                <w:highlight w:val="none"/>
              </w:rPr>
              <w:t>1、工艺流程</w:t>
            </w:r>
          </w:p>
          <w:p>
            <w:pPr>
              <w:ind w:firstLine="480"/>
              <w:rPr>
                <w:color w:val="auto"/>
                <w:sz w:val="24"/>
                <w:szCs w:val="32"/>
                <w:highlight w:val="none"/>
              </w:rPr>
            </w:pPr>
            <w:r>
              <w:rPr>
                <w:color w:val="auto"/>
                <w:sz w:val="24"/>
                <w:szCs w:val="32"/>
                <w:highlight w:val="none"/>
              </w:rPr>
              <w:t>拟建项目主要工艺流程及产污环节见图</w:t>
            </w:r>
            <w:r>
              <w:rPr>
                <w:rFonts w:hint="eastAsia"/>
                <w:color w:val="auto"/>
                <w:sz w:val="24"/>
                <w:szCs w:val="32"/>
                <w:highlight w:val="none"/>
                <w:lang w:val="en-US" w:eastAsia="zh-CN"/>
              </w:rPr>
              <w:t>2</w:t>
            </w:r>
            <w:r>
              <w:rPr>
                <w:color w:val="auto"/>
                <w:sz w:val="24"/>
                <w:szCs w:val="32"/>
                <w:highlight w:val="none"/>
              </w:rPr>
              <w:t>。</w:t>
            </w:r>
          </w:p>
          <w:p>
            <w:pPr>
              <w:widowControl/>
              <w:jc w:val="center"/>
              <w:rPr>
                <w:color w:val="auto"/>
                <w:kern w:val="0"/>
                <w:highlight w:val="none"/>
              </w:rPr>
            </w:pPr>
          </w:p>
          <w:p>
            <w:pPr>
              <w:jc w:val="center"/>
              <w:outlineLvl w:val="4"/>
              <w:rPr>
                <w:b/>
                <w:color w:val="auto"/>
                <w:kern w:val="0"/>
                <w:sz w:val="24"/>
                <w:highlight w:val="none"/>
              </w:rPr>
            </w:pPr>
            <w:r>
              <w:rPr>
                <w:b/>
                <w:color w:val="auto"/>
                <w:kern w:val="0"/>
                <w:sz w:val="24"/>
                <w:highlight w:val="none"/>
              </w:rPr>
              <w:t>图</w:t>
            </w:r>
            <w:r>
              <w:rPr>
                <w:rFonts w:hint="eastAsia"/>
                <w:b/>
                <w:color w:val="auto"/>
                <w:kern w:val="0"/>
                <w:sz w:val="24"/>
                <w:highlight w:val="none"/>
                <w:lang w:val="en-US" w:eastAsia="zh-CN"/>
              </w:rPr>
              <w:t>2</w:t>
            </w:r>
            <w:r>
              <w:rPr>
                <w:b/>
                <w:color w:val="auto"/>
                <w:kern w:val="0"/>
                <w:sz w:val="24"/>
                <w:highlight w:val="none"/>
              </w:rPr>
              <w:t xml:space="preserve"> 工艺流程及产污环节示意图</w:t>
            </w:r>
          </w:p>
          <w:p>
            <w:pPr>
              <w:pStyle w:val="3"/>
              <w:rPr>
                <w:color w:val="auto"/>
                <w:highlight w:val="none"/>
              </w:rPr>
            </w:pPr>
            <w:r>
              <w:rPr>
                <w:color w:val="auto"/>
                <w:highlight w:val="none"/>
              </w:rPr>
              <w:t>2、主要工艺说明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val="en-US"/>
              </w:rPr>
            </w:pPr>
            <w:r>
              <w:rPr>
                <w:rFonts w:hint="eastAsia" w:ascii="Times New Roman" w:hAnsi="Times New Roman" w:eastAsia="宋体" w:cs="Times New Roman"/>
                <w:color w:val="auto"/>
                <w:sz w:val="24"/>
                <w:highlight w:val="none"/>
                <w:lang w:val="en-US" w:eastAsia="zh-CN"/>
              </w:rPr>
              <w:t>1</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鄂破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生产主要原料为渣料，进场地后储存于原料库，由输送带进入生产鄂破机进行初步破碎，鄂破机内</w:t>
            </w:r>
            <w:r>
              <w:rPr>
                <w:rFonts w:hint="eastAsia" w:ascii="Times New Roman" w:hAnsi="Times New Roman" w:eastAsia="宋体" w:cs="Times New Roman"/>
                <w:color w:val="auto"/>
                <w:sz w:val="24"/>
                <w:highlight w:val="none"/>
              </w:rPr>
              <w:t>对</w:t>
            </w:r>
            <w:r>
              <w:rPr>
                <w:rFonts w:hint="eastAsia" w:ascii="Times New Roman" w:hAnsi="Times New Roman" w:eastAsia="宋体" w:cs="Times New Roman"/>
                <w:color w:val="auto"/>
                <w:sz w:val="24"/>
                <w:highlight w:val="none"/>
                <w:lang w:val="en-US" w:eastAsia="zh-CN"/>
              </w:rPr>
              <w:t>尾矿</w:t>
            </w:r>
            <w:r>
              <w:rPr>
                <w:rFonts w:hint="eastAsia" w:ascii="Times New Roman" w:hAnsi="Times New Roman" w:eastAsia="宋体" w:cs="Times New Roman"/>
                <w:color w:val="auto"/>
                <w:sz w:val="24"/>
                <w:highlight w:val="none"/>
              </w:rPr>
              <w:t>有挤压、搓、碾等多重</w:t>
            </w:r>
            <w:r>
              <w:rPr>
                <w:rFonts w:hint="default" w:ascii="Times New Roman" w:hAnsi="Times New Roman" w:eastAsia="宋体" w:cs="Times New Roman"/>
                <w:color w:val="auto"/>
                <w:sz w:val="24"/>
                <w:highlight w:val="none"/>
              </w:rPr>
              <w:fldChar w:fldCharType="begin"/>
            </w:r>
            <w:r>
              <w:rPr>
                <w:rFonts w:hint="default" w:ascii="Times New Roman" w:hAnsi="Times New Roman" w:eastAsia="宋体" w:cs="Times New Roman"/>
                <w:color w:val="auto"/>
                <w:sz w:val="24"/>
                <w:highlight w:val="none"/>
              </w:rPr>
              <w:instrText xml:space="preserve"> HYPERLINK "https://baike.baidu.com/item/%E7%A0%B4%E7%A2%8E/4802716" \t "https://baike.baidu.com/item/%E9%84%82%E7%A0%B4%E6%9C%BA/_blank" </w:instrText>
            </w:r>
            <w:r>
              <w:rPr>
                <w:rFonts w:hint="default" w:ascii="Times New Roman" w:hAnsi="Times New Roman" w:eastAsia="宋体" w:cs="Times New Roman"/>
                <w:color w:val="auto"/>
                <w:sz w:val="24"/>
                <w:highlight w:val="none"/>
              </w:rPr>
              <w:fldChar w:fldCharType="separate"/>
            </w:r>
            <w:r>
              <w:rPr>
                <w:rFonts w:hint="default" w:ascii="Times New Roman" w:hAnsi="Times New Roman" w:eastAsia="宋体" w:cs="Times New Roman"/>
                <w:color w:val="auto"/>
                <w:sz w:val="24"/>
                <w:highlight w:val="none"/>
              </w:rPr>
              <w:t>破碎</w:t>
            </w:r>
            <w:r>
              <w:rPr>
                <w:rFonts w:hint="default" w:ascii="Times New Roman" w:hAnsi="Times New Roman" w:eastAsia="宋体" w:cs="Times New Roman"/>
                <w:color w:val="auto"/>
                <w:sz w:val="24"/>
                <w:highlight w:val="none"/>
              </w:rPr>
              <w:fldChar w:fldCharType="end"/>
            </w:r>
            <w:r>
              <w:rPr>
                <w:rFonts w:hint="default" w:ascii="Times New Roman" w:hAnsi="Times New Roman" w:eastAsia="宋体" w:cs="Times New Roman"/>
                <w:color w:val="auto"/>
                <w:sz w:val="24"/>
                <w:highlight w:val="none"/>
              </w:rPr>
              <w:t>，使物料由大变小，逐渐下落，直至从排料口排出。</w:t>
            </w:r>
            <w:r>
              <w:rPr>
                <w:rFonts w:hint="eastAsia" w:ascii="Times New Roman" w:hAnsi="Times New Roman" w:eastAsia="宋体" w:cs="Times New Roman"/>
                <w:color w:val="auto"/>
                <w:sz w:val="24"/>
                <w:highlight w:val="none"/>
                <w:lang w:val="en-US" w:eastAsia="zh-CN"/>
              </w:rPr>
              <w:t>经过鄂破后，物料粒径小于250mm。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val="en-US"/>
              </w:rPr>
            </w:pPr>
            <w:r>
              <w:rPr>
                <w:rFonts w:hint="eastAsia" w:ascii="Times New Roman" w:hAnsi="Times New Roman" w:eastAsia="宋体" w:cs="Times New Roman"/>
                <w:color w:val="auto"/>
                <w:sz w:val="24"/>
                <w:highlight w:val="none"/>
                <w:lang w:val="en-US" w:eastAsia="zh-CN"/>
              </w:rPr>
              <w:t>2</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圆锥破碎</w:t>
            </w:r>
          </w:p>
          <w:p>
            <w:pPr>
              <w:pStyle w:val="89"/>
              <w:spacing w:beforeAutospacing="0" w:afterAutospacing="0"/>
              <w:rPr>
                <w:rFonts w:hint="default" w:ascii="Times New Roman" w:hAnsi="Times New Roman" w:eastAsia="宋体" w:cs="Times New Roman"/>
                <w:color w:val="auto"/>
                <w:highlight w:val="none"/>
                <w:lang w:val="en-US" w:eastAsia="zh-CN"/>
              </w:rPr>
            </w:pPr>
            <w:r>
              <w:rPr>
                <w:rFonts w:hint="eastAsia"/>
                <w:color w:val="auto"/>
                <w:highlight w:val="none"/>
                <w:lang w:val="en-US" w:eastAsia="zh-CN"/>
              </w:rPr>
              <w:t>经过鄂</w:t>
            </w:r>
            <w:r>
              <w:rPr>
                <w:rFonts w:hint="default" w:ascii="Times New Roman" w:hAnsi="Times New Roman" w:cs="Times New Roman"/>
                <w:color w:val="auto"/>
                <w:highlight w:val="none"/>
                <w:lang w:val="en-US" w:eastAsia="zh-CN"/>
              </w:rPr>
              <w:t>破后的物料由输送带送入第一道圆锥破碎机（</w:t>
            </w:r>
            <w:r>
              <w:rPr>
                <w:rFonts w:hint="eastAsia" w:ascii="宋体" w:hAnsi="宋体" w:eastAsia="宋体" w:cs="宋体"/>
                <w:color w:val="auto"/>
                <w:sz w:val="24"/>
                <w:szCs w:val="24"/>
                <w:highlight w:val="none"/>
                <w:lang w:val="en-US" w:eastAsia="zh-CN"/>
              </w:rPr>
              <w:t>1400</w:t>
            </w:r>
            <w:r>
              <w:rPr>
                <w:rFonts w:hint="default" w:ascii="Times New Roman" w:hAnsi="Times New Roman" w:cs="Times New Roman"/>
                <w:color w:val="auto"/>
                <w:highlight w:val="none"/>
                <w:lang w:val="en-US" w:eastAsia="zh-CN"/>
              </w:rPr>
              <w:t>型）进行第二次破碎，圆锥破碎工作原理：</w:t>
            </w:r>
            <w:r>
              <w:rPr>
                <w:rFonts w:hint="default" w:ascii="Times New Roman" w:hAnsi="Times New Roman" w:cs="Times New Roman"/>
                <w:color w:val="auto"/>
                <w:highlight w:val="none"/>
              </w:rPr>
              <w:fldChar w:fldCharType="begin"/>
            </w:r>
            <w:r>
              <w:rPr>
                <w:rFonts w:hint="default" w:ascii="Times New Roman" w:hAnsi="Times New Roman" w:cs="Times New Roman"/>
                <w:color w:val="auto"/>
                <w:highlight w:val="none"/>
              </w:rPr>
              <w:instrText xml:space="preserve"> HYPERLINK "https://baike.baidu.com/item/%E7%94%B5%E5%8A%A8%E6%9C%BA/63197" \t "https://baike.baidu.com/item/_blank" </w:instrText>
            </w:r>
            <w:r>
              <w:rPr>
                <w:rFonts w:hint="default" w:ascii="Times New Roman" w:hAnsi="Times New Roman" w:cs="Times New Roman"/>
                <w:color w:val="auto"/>
                <w:highlight w:val="none"/>
              </w:rPr>
              <w:fldChar w:fldCharType="separate"/>
            </w:r>
            <w:r>
              <w:rPr>
                <w:rFonts w:hint="default" w:ascii="Times New Roman" w:hAnsi="Times New Roman" w:cs="Times New Roman"/>
                <w:color w:val="auto"/>
                <w:highlight w:val="none"/>
              </w:rPr>
              <w:t>电动机</w:t>
            </w:r>
            <w:r>
              <w:rPr>
                <w:rFonts w:hint="default" w:ascii="Times New Roman" w:hAnsi="Times New Roman" w:cs="Times New Roman"/>
                <w:color w:val="auto"/>
                <w:highlight w:val="none"/>
              </w:rPr>
              <w:fldChar w:fldCharType="end"/>
            </w:r>
            <w:r>
              <w:rPr>
                <w:rFonts w:hint="default" w:ascii="Times New Roman" w:hAnsi="Times New Roman" w:cs="Times New Roman"/>
                <w:color w:val="auto"/>
                <w:highlight w:val="none"/>
              </w:rPr>
              <w:t>通过传动装置带动偏心套旋转，动锥在偏心轴套的迫动下做旋转摆动，动锥靠近静锥的区段即成为破碎腔，物料受到动锥和静锥的多次挤压和撞击而破碎。动锥离开该区段时，该处已破碎至要求粒度的物料在自身重力作用下下落，从锥底排出。</w:t>
            </w:r>
            <w:r>
              <w:rPr>
                <w:rFonts w:hint="default" w:ascii="Times New Roman" w:hAnsi="Times New Roman" w:cs="Times New Roman"/>
                <w:color w:val="auto"/>
                <w:highlight w:val="none"/>
                <w:lang w:val="en-US" w:eastAsia="zh-CN"/>
              </w:rPr>
              <w:t>经第一道圆锥破碎后，物料粒径小于150mm。粒径小于150mm的进入第二道圆锥破碎（1400型），粒径大于150mm的物料返回至第一道圆锥破碎</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经第二道圆锥破碎，粒径小于48mm。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3</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立式冲击破</w:t>
            </w:r>
          </w:p>
          <w:p>
            <w:pPr>
              <w:pStyle w:val="89"/>
              <w:spacing w:beforeAutospacing="0" w:afterAutospacing="0"/>
              <w:rPr>
                <w:rFonts w:hint="default" w:eastAsia="宋体"/>
                <w:color w:val="auto"/>
                <w:highlight w:val="none"/>
                <w:lang w:val="en-US" w:eastAsia="zh-CN"/>
              </w:rPr>
            </w:pPr>
            <w:r>
              <w:rPr>
                <w:rFonts w:hint="eastAsia"/>
                <w:color w:val="auto"/>
                <w:highlight w:val="none"/>
                <w:lang w:val="en-US" w:eastAsia="zh-CN"/>
              </w:rPr>
              <w:t>经过圆锥破碎的物料由输</w:t>
            </w:r>
            <w:r>
              <w:rPr>
                <w:rFonts w:hint="eastAsia" w:cs="Times New Roman"/>
                <w:color w:val="auto"/>
                <w:highlight w:val="none"/>
                <w:lang w:val="en-US" w:eastAsia="zh-CN"/>
              </w:rPr>
              <w:t>送</w:t>
            </w:r>
            <w:r>
              <w:rPr>
                <w:rFonts w:hint="default" w:ascii="Times New Roman" w:hAnsi="Times New Roman" w:cs="Times New Roman"/>
                <w:color w:val="auto"/>
                <w:highlight w:val="none"/>
                <w:lang w:val="en-US" w:eastAsia="zh-CN"/>
              </w:rPr>
              <w:t>带输送至立式冲击破碎机（</w:t>
            </w:r>
            <w:r>
              <w:rPr>
                <w:rFonts w:hint="eastAsia" w:ascii="Times New Roman" w:hAnsi="Times New Roman" w:cs="Times New Roman"/>
                <w:color w:val="auto"/>
                <w:highlight w:val="none"/>
                <w:lang w:val="en-US" w:eastAsia="zh-CN"/>
              </w:rPr>
              <w:t>1263</w:t>
            </w:r>
            <w:r>
              <w:rPr>
                <w:rFonts w:hint="default" w:ascii="Times New Roman" w:hAnsi="Times New Roman" w:cs="Times New Roman"/>
                <w:color w:val="auto"/>
                <w:highlight w:val="none"/>
                <w:lang w:val="en-US" w:eastAsia="zh-CN"/>
              </w:rPr>
              <w:t>型）。</w:t>
            </w:r>
            <w:r>
              <w:rPr>
                <w:rFonts w:hint="eastAsia" w:cs="Times New Roman"/>
                <w:color w:val="auto"/>
                <w:highlight w:val="none"/>
                <w:lang w:val="en-US" w:eastAsia="zh-CN"/>
              </w:rPr>
              <w:t>立式冲击破碎机工作原理：物料由机器上部垂直落入高速旋转的叶轮内，在高速离心力的作用下，与另一部分以伞状形式分流在叶轮四周的物料产生高速撞击与粉碎，物料在互相撞击后，又会在叶轮和机壳之间以物料形成涡流多次的互相撞击、摩擦而粉碎，从下部直通排出。</w:t>
            </w:r>
            <w:r>
              <w:rPr>
                <w:rFonts w:hint="default" w:ascii="Times New Roman" w:hAnsi="Times New Roman" w:cs="Times New Roman"/>
                <w:color w:val="auto"/>
                <w:highlight w:val="none"/>
                <w:lang w:val="en-US" w:eastAsia="zh-CN"/>
              </w:rPr>
              <w:t>经</w:t>
            </w:r>
            <w:r>
              <w:rPr>
                <w:rFonts w:hint="eastAsia"/>
                <w:color w:val="auto"/>
                <w:highlight w:val="none"/>
                <w:lang w:val="en-US" w:eastAsia="zh-CN"/>
              </w:rPr>
              <w:t>立式冲击破</w:t>
            </w:r>
            <w:r>
              <w:rPr>
                <w:rFonts w:hint="default" w:ascii="Times New Roman" w:hAnsi="Times New Roman" w:cs="Times New Roman"/>
                <w:color w:val="auto"/>
                <w:highlight w:val="none"/>
                <w:lang w:val="en-US" w:eastAsia="zh-CN"/>
              </w:rPr>
              <w:t>碎后，物料粒径小于</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lang w:val="en-US" w:eastAsia="zh-CN"/>
              </w:rPr>
              <w:t>mm</w:t>
            </w:r>
            <w:r>
              <w:rPr>
                <w:rFonts w:hint="eastAsia"/>
                <w:color w:val="auto"/>
                <w:highlight w:val="none"/>
                <w:lang w:eastAsia="zh-CN"/>
              </w:rPr>
              <w:t>，</w:t>
            </w:r>
            <w:r>
              <w:rPr>
                <w:rFonts w:hint="eastAsia"/>
                <w:color w:val="auto"/>
                <w:highlight w:val="none"/>
                <w:lang w:val="en-US" w:eastAsia="zh-CN"/>
              </w:rPr>
              <w:t>大于</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lang w:val="en-US" w:eastAsia="zh-CN"/>
              </w:rPr>
              <w:t>mm</w:t>
            </w:r>
            <w:r>
              <w:rPr>
                <w:rFonts w:hint="eastAsia" w:ascii="Times New Roman" w:hAnsi="Times New Roman" w:cs="Times New Roman"/>
                <w:color w:val="auto"/>
                <w:highlight w:val="none"/>
                <w:lang w:val="en-US" w:eastAsia="zh-CN"/>
              </w:rPr>
              <w:t>的物料返回至立式冲击破工序</w:t>
            </w:r>
            <w:r>
              <w:rPr>
                <w:rFonts w:hint="default" w:ascii="Times New Roman" w:hAnsi="Times New Roman" w:cs="Times New Roman"/>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4</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洗砂、脱水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val="en-US" w:eastAsia="zh-CN"/>
              </w:rPr>
              <w:t>经筛分后，粒径小于5mm的物料送入</w:t>
            </w:r>
            <w:r>
              <w:rPr>
                <w:rFonts w:hint="eastAsia" w:ascii="Times New Roman" w:hAnsi="Times New Roman" w:eastAsia="宋体" w:cs="Times New Roman"/>
                <w:color w:val="auto"/>
                <w:sz w:val="24"/>
                <w:highlight w:val="none"/>
                <w:lang w:val="en-US" w:eastAsia="zh-CN"/>
              </w:rPr>
              <w:t>洗砂机进行洗砂，再进入</w:t>
            </w:r>
            <w:r>
              <w:rPr>
                <w:rFonts w:hint="default" w:ascii="Times New Roman" w:hAnsi="Times New Roman" w:eastAsia="宋体" w:cs="Times New Roman"/>
                <w:color w:val="auto"/>
                <w:sz w:val="24"/>
                <w:highlight w:val="none"/>
                <w:lang w:val="en-US" w:eastAsia="zh-CN"/>
              </w:rPr>
              <w:t>洗脱一体机，洗脱一体机分两段，前段部分为洗砂机，后段为脱水筛。</w:t>
            </w:r>
            <w:r>
              <w:rPr>
                <w:rFonts w:hint="default" w:ascii="Times New Roman" w:hAnsi="Times New Roman" w:eastAsia="宋体" w:cs="Times New Roman"/>
                <w:color w:val="auto"/>
                <w:sz w:val="24"/>
                <w:szCs w:val="24"/>
                <w:highlight w:val="none"/>
              </w:rPr>
              <w:t>通过洗砂机内装置对砂石进行搅拌清洗，从而使粒径在0.2mm~</w:t>
            </w:r>
            <w:r>
              <w:rPr>
                <w:rFonts w:hint="default"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mm的</w:t>
            </w:r>
            <w:r>
              <w:rPr>
                <w:rFonts w:hint="eastAsia" w:ascii="Times New Roman" w:hAnsi="Times New Roman" w:eastAsia="宋体" w:cs="Times New Roman"/>
                <w:color w:val="auto"/>
                <w:sz w:val="24"/>
                <w:szCs w:val="24"/>
                <w:highlight w:val="none"/>
                <w:lang w:val="en-US" w:eastAsia="zh-CN"/>
              </w:rPr>
              <w:t>骨料</w:t>
            </w:r>
            <w:r>
              <w:rPr>
                <w:rFonts w:hint="default" w:ascii="Times New Roman" w:hAnsi="Times New Roman" w:eastAsia="宋体" w:cs="Times New Roman"/>
                <w:color w:val="auto"/>
                <w:sz w:val="24"/>
                <w:szCs w:val="24"/>
                <w:highlight w:val="none"/>
              </w:rPr>
              <w:t>上附着的粒径小于0.2mm的石粉和泥土分离</w:t>
            </w:r>
            <w:r>
              <w:rPr>
                <w:rFonts w:hint="default"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lang w:val="en-US" w:eastAsia="zh-CN"/>
              </w:rPr>
              <w:t>成品砂进入成品堆场</w:t>
            </w:r>
            <w:r>
              <w:rPr>
                <w:rFonts w:hint="eastAsia" w:ascii="Times New Roman" w:hAnsi="Times New Roman" w:eastAsia="宋体" w:cs="Times New Roman"/>
                <w:color w:val="auto"/>
                <w:sz w:val="24"/>
                <w:highlight w:val="none"/>
                <w:lang w:eastAsia="zh-CN"/>
              </w:rPr>
              <w:t>。</w:t>
            </w:r>
          </w:p>
          <w:p>
            <w:pPr>
              <w:widowControl w:val="0"/>
              <w:bidi w:val="0"/>
              <w:spacing w:line="360" w:lineRule="auto"/>
              <w:ind w:firstLine="0" w:firstLineChars="0"/>
              <w:jc w:val="both"/>
              <w:rPr>
                <w:rFonts w:ascii="Times New Roman" w:hAnsi="Times New Roman" w:eastAsia="宋体" w:cs="Times New Roman"/>
                <w:b/>
                <w:color w:val="auto"/>
                <w:kern w:val="2"/>
                <w:sz w:val="24"/>
                <w:szCs w:val="20"/>
                <w:highlight w:val="none"/>
                <w:lang w:val="en-US" w:eastAsia="zh-CN" w:bidi="ar-SA"/>
              </w:rPr>
            </w:pPr>
          </w:p>
          <w:p>
            <w:pPr>
              <w:keepNext/>
              <w:keepLines/>
              <w:widowControl w:val="0"/>
              <w:bidi w:val="0"/>
              <w:spacing w:before="50" w:beforeLines="50" w:beforeAutospacing="0" w:after="50" w:afterLines="50" w:afterAutospacing="0" w:line="240" w:lineRule="auto"/>
              <w:ind w:firstLine="0" w:firstLineChars="0"/>
              <w:jc w:val="both"/>
              <w:outlineLvl w:val="1"/>
              <w:rPr>
                <w:rFonts w:hint="default" w:ascii="Times New Roman" w:hAnsi="Times New Roman" w:eastAsia="宋体" w:cs="Times New Roman"/>
                <w:b/>
                <w:color w:val="auto"/>
                <w:kern w:val="2"/>
                <w:sz w:val="24"/>
                <w:szCs w:val="24"/>
                <w:highlight w:val="none"/>
                <w:lang w:val="en-US" w:eastAsia="zh-CN" w:bidi="ar-SA"/>
              </w:rPr>
            </w:pPr>
            <w:r>
              <w:rPr>
                <w:rFonts w:hint="eastAsia" w:ascii="Times New Roman" w:hAnsi="Times New Roman" w:eastAsia="宋体" w:cs="Times New Roman"/>
                <w:b/>
                <w:color w:val="auto"/>
                <w:kern w:val="2"/>
                <w:sz w:val="24"/>
                <w:szCs w:val="24"/>
                <w:highlight w:val="none"/>
                <w:lang w:val="en-US" w:eastAsia="zh-CN" w:bidi="ar-SA"/>
              </w:rPr>
              <w:t>4.项目产污环节汇总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项目产污环节汇总详见表8。</w:t>
            </w:r>
          </w:p>
          <w:p>
            <w:pPr>
              <w:pStyle w:val="57"/>
              <w:bidi w:val="0"/>
              <w:rPr>
                <w:color w:val="auto"/>
                <w:highlight w:val="none"/>
              </w:rPr>
            </w:pPr>
            <w:r>
              <w:rPr>
                <w:rFonts w:hint="eastAsia"/>
                <w:color w:val="auto"/>
                <w:highlight w:val="none"/>
                <w:lang w:val="en-US" w:eastAsia="zh-CN"/>
              </w:rPr>
              <w:t xml:space="preserve"> </w:t>
            </w:r>
            <w:r>
              <w:rPr>
                <w:color w:val="auto"/>
                <w:highlight w:val="none"/>
              </w:rPr>
              <w:t xml:space="preserve"> </w:t>
            </w:r>
            <w:r>
              <w:rPr>
                <w:rFonts w:hint="eastAsia"/>
                <w:color w:val="auto"/>
                <w:highlight w:val="none"/>
                <w:lang w:val="en-US" w:eastAsia="zh-CN"/>
              </w:rPr>
              <w:t>项目</w:t>
            </w:r>
            <w:r>
              <w:rPr>
                <w:color w:val="auto"/>
                <w:highlight w:val="none"/>
              </w:rPr>
              <w:t>产污环节一览表</w:t>
            </w:r>
          </w:p>
          <w:tbl>
            <w:tblPr>
              <w:tblStyle w:val="2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95"/>
              <w:gridCol w:w="1134"/>
              <w:gridCol w:w="1069"/>
              <w:gridCol w:w="791"/>
              <w:gridCol w:w="1506"/>
              <w:gridCol w:w="32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0" w:hRule="atLeast"/>
                <w:tblHeader/>
                <w:jc w:val="center"/>
              </w:trPr>
              <w:tc>
                <w:tcPr>
                  <w:tcW w:w="595"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污染类型</w:t>
                  </w:r>
                </w:p>
              </w:tc>
              <w:tc>
                <w:tcPr>
                  <w:tcW w:w="1134"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编号</w:t>
                  </w:r>
                </w:p>
              </w:tc>
              <w:tc>
                <w:tcPr>
                  <w:tcW w:w="1069"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污染源名称</w:t>
                  </w:r>
                </w:p>
              </w:tc>
              <w:tc>
                <w:tcPr>
                  <w:tcW w:w="2297" w:type="dxa"/>
                  <w:gridSpan w:val="2"/>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污染因子</w:t>
                  </w:r>
                </w:p>
              </w:tc>
              <w:tc>
                <w:tcPr>
                  <w:tcW w:w="3280"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治理措施及排放去向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95" w:type="dxa"/>
                  <w:vMerge w:val="restart"/>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olor w:val="auto"/>
                      <w:highlight w:val="none"/>
                      <w:lang w:val="en-US" w:eastAsia="zh-CN"/>
                    </w:rPr>
                    <w:t>废气</w:t>
                  </w:r>
                </w:p>
              </w:tc>
              <w:tc>
                <w:tcPr>
                  <w:tcW w:w="1134"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G1-</w:t>
                  </w:r>
                  <w:r>
                    <w:rPr>
                      <w:rFonts w:hint="eastAsia" w:ascii="Times New Roman" w:hAnsi="Times New Roman" w:eastAsia="宋体" w:cs="Times New Roman"/>
                      <w:color w:val="auto"/>
                      <w:sz w:val="21"/>
                      <w:szCs w:val="21"/>
                      <w:highlight w:val="none"/>
                      <w:lang w:val="en-US" w:eastAsia="zh-CN"/>
                    </w:rPr>
                    <w:t>1</w:t>
                  </w:r>
                </w:p>
              </w:tc>
              <w:tc>
                <w:tcPr>
                  <w:tcW w:w="1069"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鄂破废气</w:t>
                  </w:r>
                </w:p>
              </w:tc>
              <w:tc>
                <w:tcPr>
                  <w:tcW w:w="22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napToGrid w:val="0"/>
                      <w:color w:val="auto"/>
                      <w:kern w:val="0"/>
                      <w:sz w:val="21"/>
                      <w:szCs w:val="21"/>
                      <w:highlight w:val="none"/>
                      <w:lang w:val="en-US" w:eastAsia="zh-CN" w:bidi="zh-CN"/>
                    </w:rPr>
                  </w:pPr>
                  <w:r>
                    <w:rPr>
                      <w:rFonts w:hint="default" w:ascii="Times New Roman" w:hAnsi="Times New Roman" w:eastAsia="宋体" w:cs="Times New Roman"/>
                      <w:snapToGrid w:val="0"/>
                      <w:color w:val="auto"/>
                      <w:kern w:val="0"/>
                      <w:sz w:val="21"/>
                      <w:szCs w:val="21"/>
                      <w:highlight w:val="none"/>
                      <w:lang w:val="en-US" w:eastAsia="zh-CN" w:bidi="zh-CN"/>
                    </w:rPr>
                    <w:t>颗粒物</w:t>
                  </w:r>
                </w:p>
              </w:tc>
              <w:tc>
                <w:tcPr>
                  <w:tcW w:w="328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r>
                    <w:rPr>
                      <w:rFonts w:hint="eastAsia" w:ascii="Times New Roman" w:hAnsi="Times New Roman" w:cs="Times New Roman"/>
                      <w:color w:val="auto"/>
                      <w:sz w:val="21"/>
                      <w:szCs w:val="21"/>
                      <w:highlight w:val="none"/>
                      <w:lang w:val="en-US" w:eastAsia="zh-CN"/>
                    </w:rPr>
                    <w:t>密闭车间+袋式除尘器+15m高排气筒高空排放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95" w:type="dxa"/>
                  <w:vMerge w:val="continue"/>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1134"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bookmarkStart w:id="4" w:name="OLE_LINK1"/>
                  <w:r>
                    <w:rPr>
                      <w:rFonts w:hint="default" w:ascii="Times New Roman" w:hAnsi="Times New Roman" w:eastAsia="宋体" w:cs="Times New Roman"/>
                      <w:color w:val="auto"/>
                      <w:sz w:val="21"/>
                      <w:szCs w:val="21"/>
                      <w:highlight w:val="none"/>
                      <w:lang w:val="en-US" w:eastAsia="zh-CN"/>
                    </w:rPr>
                    <w:t>G1-2</w:t>
                  </w:r>
                  <w:bookmarkEnd w:id="4"/>
                  <w:r>
                    <w:rPr>
                      <w:rFonts w:hint="eastAsia" w:ascii="Times New Roman" w:hAnsi="Times New Roman" w:eastAsia="宋体" w:cs="Times New Roman"/>
                      <w:color w:val="auto"/>
                      <w:sz w:val="21"/>
                      <w:szCs w:val="21"/>
                      <w:highlight w:val="none"/>
                      <w:lang w:val="en-US" w:eastAsia="zh-CN"/>
                    </w:rPr>
                    <w:t xml:space="preserve"> </w:t>
                  </w:r>
                </w:p>
              </w:tc>
              <w:tc>
                <w:tcPr>
                  <w:tcW w:w="1069"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圆锥</w:t>
                  </w:r>
                  <w:r>
                    <w:rPr>
                      <w:rFonts w:hint="eastAsia" w:ascii="Times New Roman" w:hAnsi="Times New Roman" w:eastAsia="宋体" w:cs="Times New Roman"/>
                      <w:color w:val="auto"/>
                      <w:sz w:val="21"/>
                      <w:szCs w:val="21"/>
                      <w:highlight w:val="none"/>
                      <w:lang w:val="en-US" w:eastAsia="zh-CN"/>
                    </w:rPr>
                    <w:t>及筛分</w:t>
                  </w:r>
                  <w:r>
                    <w:rPr>
                      <w:rFonts w:hint="default" w:ascii="Times New Roman" w:hAnsi="Times New Roman" w:eastAsia="宋体" w:cs="Times New Roman"/>
                      <w:color w:val="auto"/>
                      <w:sz w:val="21"/>
                      <w:szCs w:val="21"/>
                      <w:highlight w:val="none"/>
                      <w:lang w:val="en-US" w:eastAsia="zh-CN"/>
                    </w:rPr>
                    <w:t>废气</w:t>
                  </w:r>
                </w:p>
              </w:tc>
              <w:tc>
                <w:tcPr>
                  <w:tcW w:w="22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napToGrid w:val="0"/>
                      <w:color w:val="auto"/>
                      <w:kern w:val="0"/>
                      <w:sz w:val="21"/>
                      <w:szCs w:val="21"/>
                      <w:highlight w:val="none"/>
                      <w:lang w:val="en-US" w:eastAsia="zh-CN" w:bidi="zh-CN"/>
                    </w:rPr>
                  </w:pPr>
                  <w:r>
                    <w:rPr>
                      <w:rFonts w:hint="default" w:ascii="Times New Roman" w:hAnsi="Times New Roman" w:eastAsia="宋体" w:cs="Times New Roman"/>
                      <w:snapToGrid w:val="0"/>
                      <w:color w:val="auto"/>
                      <w:kern w:val="0"/>
                      <w:sz w:val="21"/>
                      <w:szCs w:val="21"/>
                      <w:highlight w:val="none"/>
                      <w:lang w:val="en-US" w:eastAsia="zh-CN" w:bidi="zh-CN"/>
                    </w:rPr>
                    <w:t>颗粒物</w:t>
                  </w:r>
                </w:p>
              </w:tc>
              <w:tc>
                <w:tcPr>
                  <w:tcW w:w="328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95" w:type="dxa"/>
                  <w:vMerge w:val="continue"/>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1134"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G1-3</w:t>
                  </w:r>
                </w:p>
              </w:tc>
              <w:tc>
                <w:tcPr>
                  <w:tcW w:w="1069"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立式冲击破碎</w:t>
                  </w:r>
                  <w:r>
                    <w:rPr>
                      <w:rFonts w:hint="eastAsia" w:ascii="Times New Roman" w:hAnsi="Times New Roman" w:eastAsia="宋体" w:cs="Times New Roman"/>
                      <w:color w:val="auto"/>
                      <w:sz w:val="21"/>
                      <w:szCs w:val="21"/>
                      <w:highlight w:val="none"/>
                      <w:lang w:val="en-US" w:eastAsia="zh-CN"/>
                    </w:rPr>
                    <w:t>及筛分</w:t>
                  </w:r>
                  <w:r>
                    <w:rPr>
                      <w:rFonts w:hint="default" w:ascii="Times New Roman" w:hAnsi="Times New Roman" w:eastAsia="宋体" w:cs="Times New Roman"/>
                      <w:color w:val="auto"/>
                      <w:sz w:val="21"/>
                      <w:szCs w:val="21"/>
                      <w:highlight w:val="none"/>
                      <w:lang w:val="en-US" w:eastAsia="zh-CN"/>
                    </w:rPr>
                    <w:t>废气</w:t>
                  </w:r>
                </w:p>
              </w:tc>
              <w:tc>
                <w:tcPr>
                  <w:tcW w:w="22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napToGrid w:val="0"/>
                      <w:color w:val="auto"/>
                      <w:kern w:val="0"/>
                      <w:sz w:val="21"/>
                      <w:szCs w:val="21"/>
                      <w:highlight w:val="none"/>
                      <w:lang w:val="en-US" w:eastAsia="zh-CN" w:bidi="zh-CN"/>
                    </w:rPr>
                  </w:pPr>
                  <w:r>
                    <w:rPr>
                      <w:rFonts w:hint="default" w:ascii="Times New Roman" w:hAnsi="Times New Roman" w:eastAsia="宋体" w:cs="Times New Roman"/>
                      <w:snapToGrid w:val="0"/>
                      <w:color w:val="auto"/>
                      <w:kern w:val="0"/>
                      <w:sz w:val="21"/>
                      <w:szCs w:val="21"/>
                      <w:highlight w:val="none"/>
                      <w:lang w:val="en-US" w:eastAsia="zh-CN" w:bidi="zh-CN"/>
                    </w:rPr>
                    <w:t>颗粒物</w:t>
                  </w:r>
                </w:p>
              </w:tc>
              <w:tc>
                <w:tcPr>
                  <w:tcW w:w="328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95" w:type="dxa"/>
                  <w:vMerge w:val="continue"/>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1134"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G1-4</w:t>
                  </w:r>
                </w:p>
              </w:tc>
              <w:tc>
                <w:tcPr>
                  <w:tcW w:w="1069"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输送带扬尘</w:t>
                  </w:r>
                </w:p>
              </w:tc>
              <w:tc>
                <w:tcPr>
                  <w:tcW w:w="22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napToGrid w:val="0"/>
                      <w:color w:val="auto"/>
                      <w:kern w:val="0"/>
                      <w:sz w:val="21"/>
                      <w:szCs w:val="21"/>
                      <w:highlight w:val="none"/>
                      <w:lang w:val="en-US" w:eastAsia="zh-CN" w:bidi="zh-CN"/>
                    </w:rPr>
                  </w:pPr>
                  <w:r>
                    <w:rPr>
                      <w:rFonts w:hint="eastAsia" w:ascii="Times New Roman" w:hAnsi="Times New Roman" w:eastAsia="宋体" w:cs="Times New Roman"/>
                      <w:snapToGrid w:val="0"/>
                      <w:color w:val="auto"/>
                      <w:kern w:val="0"/>
                      <w:sz w:val="21"/>
                      <w:szCs w:val="21"/>
                      <w:highlight w:val="none"/>
                      <w:lang w:val="en-US" w:eastAsia="zh-CN" w:bidi="zh-CN"/>
                    </w:rPr>
                    <w:t>颗粒物</w:t>
                  </w:r>
                </w:p>
              </w:tc>
              <w:tc>
                <w:tcPr>
                  <w:tcW w:w="32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r>
                    <w:rPr>
                      <w:rFonts w:hint="eastAsia"/>
                      <w:color w:val="auto"/>
                      <w:highlight w:val="none"/>
                      <w:lang w:val="en-US" w:eastAsia="zh-CN"/>
                    </w:rPr>
                    <w:t>输送带加盖密闭，落料点配备除尘设施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95" w:type="dxa"/>
                  <w:vMerge w:val="continue"/>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1134"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G1-5</w:t>
                  </w:r>
                </w:p>
              </w:tc>
              <w:tc>
                <w:tcPr>
                  <w:tcW w:w="1069"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spacing w:val="4"/>
                      <w:kern w:val="0"/>
                      <w:sz w:val="21"/>
                      <w:szCs w:val="21"/>
                      <w:highlight w:val="none"/>
                      <w:vertAlign w:val="baseline"/>
                      <w:lang w:val="en-US" w:eastAsia="zh-CN" w:bidi="ar-SA"/>
                    </w:rPr>
                  </w:pPr>
                  <w:r>
                    <w:rPr>
                      <w:rFonts w:hint="eastAsia" w:ascii="Times New Roman" w:hAnsi="Times New Roman" w:cs="Times New Roman"/>
                      <w:color w:val="auto"/>
                      <w:sz w:val="21"/>
                      <w:szCs w:val="21"/>
                      <w:highlight w:val="none"/>
                      <w:vertAlign w:val="baseline"/>
                      <w:lang w:val="en-US" w:eastAsia="zh-CN"/>
                    </w:rPr>
                    <w:t>运输装卸扬尘</w:t>
                  </w:r>
                </w:p>
              </w:tc>
              <w:tc>
                <w:tcPr>
                  <w:tcW w:w="2297" w:type="dxa"/>
                  <w:gridSpan w:val="2"/>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spacing w:val="4"/>
                      <w:kern w:val="0"/>
                      <w:sz w:val="21"/>
                      <w:szCs w:val="21"/>
                      <w:highlight w:val="no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颗粒物</w:t>
                  </w:r>
                </w:p>
              </w:tc>
              <w:tc>
                <w:tcPr>
                  <w:tcW w:w="3280"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spacing w:val="4"/>
                      <w:kern w:val="0"/>
                      <w:sz w:val="21"/>
                      <w:szCs w:val="21"/>
                      <w:highlight w:val="none"/>
                      <w:vertAlign w:val="baseline"/>
                      <w:lang w:val="en-US" w:eastAsia="zh-CN" w:bidi="ar-SA"/>
                    </w:rPr>
                  </w:pPr>
                  <w:r>
                    <w:rPr>
                      <w:rFonts w:hint="eastAsia" w:ascii="Times New Roman" w:hAnsi="Times New Roman" w:cs="Times New Roman"/>
                      <w:snapToGrid w:val="0"/>
                      <w:color w:val="auto"/>
                      <w:spacing w:val="4"/>
                      <w:kern w:val="0"/>
                      <w:sz w:val="21"/>
                      <w:szCs w:val="21"/>
                      <w:highlight w:val="none"/>
                      <w:vertAlign w:val="baseline"/>
                      <w:lang w:val="en-US" w:eastAsia="zh-CN" w:bidi="ar-SA"/>
                    </w:rPr>
                    <w:t>定期洒水降尘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95" w:type="dxa"/>
                  <w:vMerge w:val="continue"/>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1134"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G4</w:t>
                  </w:r>
                </w:p>
              </w:tc>
              <w:tc>
                <w:tcPr>
                  <w:tcW w:w="1069"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堆场粉尘</w:t>
                  </w:r>
                </w:p>
              </w:tc>
              <w:tc>
                <w:tcPr>
                  <w:tcW w:w="22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napToGrid w:val="0"/>
                      <w:color w:val="auto"/>
                      <w:kern w:val="0"/>
                      <w:sz w:val="21"/>
                      <w:szCs w:val="21"/>
                      <w:highlight w:val="none"/>
                      <w:lang w:val="en-US" w:eastAsia="zh-CN" w:bidi="zh-CN"/>
                    </w:rPr>
                  </w:pPr>
                  <w:r>
                    <w:rPr>
                      <w:rFonts w:hint="default" w:ascii="Times New Roman" w:hAnsi="Times New Roman" w:eastAsia="宋体" w:cs="Times New Roman"/>
                      <w:snapToGrid w:val="0"/>
                      <w:color w:val="auto"/>
                      <w:kern w:val="0"/>
                      <w:sz w:val="21"/>
                      <w:szCs w:val="21"/>
                      <w:highlight w:val="none"/>
                      <w:lang w:val="en-US" w:eastAsia="zh-CN" w:bidi="zh-CN"/>
                    </w:rPr>
                    <w:t>颗粒物</w:t>
                  </w:r>
                </w:p>
              </w:tc>
              <w:tc>
                <w:tcPr>
                  <w:tcW w:w="32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r>
                    <w:rPr>
                      <w:rFonts w:hint="eastAsia" w:ascii="Times New Roman" w:hAnsi="Times New Roman" w:eastAsia="宋体" w:cs="Times New Roman"/>
                      <w:b w:val="0"/>
                      <w:bCs/>
                      <w:color w:val="auto"/>
                      <w:kern w:val="2"/>
                      <w:sz w:val="21"/>
                      <w:szCs w:val="21"/>
                      <w:highlight w:val="none"/>
                      <w:lang w:val="en-US" w:eastAsia="zh-CN" w:bidi="zh-CN"/>
                    </w:rPr>
                    <w:t>堆场采用苫布覆盖</w:t>
                  </w:r>
                  <w:r>
                    <w:rPr>
                      <w:rFonts w:hint="eastAsia"/>
                      <w:b w:val="0"/>
                      <w:bCs/>
                      <w:color w:val="auto"/>
                      <w:szCs w:val="21"/>
                      <w:highlight w:val="none"/>
                      <w:lang w:val="en-US" w:eastAsia="zh-CN" w:bidi="zh-CN"/>
                    </w:rPr>
                    <w:t>，苫布裙角固定措施，实现有效覆盖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95" w:type="dxa"/>
                  <w:vMerge w:val="restart"/>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废水</w:t>
                  </w:r>
                </w:p>
              </w:tc>
              <w:tc>
                <w:tcPr>
                  <w:tcW w:w="11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r>
                    <w:rPr>
                      <w:rFonts w:hint="default" w:ascii="Times New Roman" w:hAnsi="Times New Roman" w:eastAsia="宋体" w:cs="Times New Roman"/>
                      <w:color w:val="auto"/>
                      <w:kern w:val="2"/>
                      <w:sz w:val="21"/>
                      <w:szCs w:val="21"/>
                      <w:highlight w:val="none"/>
                      <w:lang w:val="en-US" w:eastAsia="zh-CN" w:bidi="zh-CN"/>
                    </w:rPr>
                    <w:t>W1-1</w:t>
                  </w:r>
                </w:p>
              </w:tc>
              <w:tc>
                <w:tcPr>
                  <w:tcW w:w="10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洗砂废水</w:t>
                  </w:r>
                </w:p>
              </w:tc>
              <w:tc>
                <w:tcPr>
                  <w:tcW w:w="22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r>
                    <w:rPr>
                      <w:rFonts w:hint="default" w:ascii="Times New Roman" w:hAnsi="Times New Roman" w:eastAsia="宋体" w:cs="Times New Roman"/>
                      <w:color w:val="auto"/>
                      <w:kern w:val="2"/>
                      <w:sz w:val="21"/>
                      <w:szCs w:val="21"/>
                      <w:highlight w:val="none"/>
                      <w:lang w:val="zh-CN" w:eastAsia="zh-CN" w:bidi="zh-CN"/>
                    </w:rPr>
                    <w:t>pH、COD、</w:t>
                  </w:r>
                  <w:r>
                    <w:rPr>
                      <w:rFonts w:hint="default" w:ascii="Times New Roman" w:hAnsi="Times New Roman" w:eastAsia="宋体" w:cs="Times New Roman"/>
                      <w:color w:val="auto"/>
                      <w:kern w:val="2"/>
                      <w:sz w:val="21"/>
                      <w:szCs w:val="21"/>
                      <w:highlight w:val="none"/>
                      <w:lang w:val="en-US" w:eastAsia="zh-CN" w:bidi="zh-CN"/>
                    </w:rPr>
                    <w:t>SS</w:t>
                  </w:r>
                </w:p>
              </w:tc>
              <w:tc>
                <w:tcPr>
                  <w:tcW w:w="32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r>
                    <w:rPr>
                      <w:rFonts w:hint="eastAsia" w:ascii="Times New Roman" w:hAnsi="Times New Roman" w:eastAsia="宋体" w:cs="Times New Roman"/>
                      <w:color w:val="auto"/>
                      <w:kern w:val="2"/>
                      <w:sz w:val="21"/>
                      <w:szCs w:val="21"/>
                      <w:highlight w:val="none"/>
                      <w:lang w:val="en-US" w:eastAsia="zh-CN" w:bidi="zh-CN"/>
                    </w:rPr>
                    <w:t>沉淀</w:t>
                  </w:r>
                  <w:r>
                    <w:rPr>
                      <w:rFonts w:hint="default" w:ascii="Times New Roman" w:hAnsi="Times New Roman" w:eastAsia="宋体" w:cs="Times New Roman"/>
                      <w:color w:val="auto"/>
                      <w:kern w:val="2"/>
                      <w:sz w:val="21"/>
                      <w:szCs w:val="21"/>
                      <w:highlight w:val="none"/>
                      <w:lang w:val="en-US" w:eastAsia="zh-CN" w:bidi="zh-CN"/>
                    </w:rPr>
                    <w:t>后循环使用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95" w:type="dxa"/>
                  <w:vMerge w:val="continue"/>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11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r>
                    <w:rPr>
                      <w:rFonts w:hint="default" w:ascii="Times New Roman" w:hAnsi="Times New Roman" w:eastAsia="宋体" w:cs="Times New Roman"/>
                      <w:color w:val="auto"/>
                      <w:kern w:val="2"/>
                      <w:sz w:val="21"/>
                      <w:szCs w:val="21"/>
                      <w:highlight w:val="none"/>
                      <w:lang w:val="en-US" w:eastAsia="zh-CN" w:bidi="zh-CN"/>
                    </w:rPr>
                    <w:t>W1-</w:t>
                  </w:r>
                  <w:r>
                    <w:rPr>
                      <w:rFonts w:hint="eastAsia" w:ascii="Times New Roman" w:hAnsi="Times New Roman" w:eastAsia="宋体" w:cs="Times New Roman"/>
                      <w:color w:val="auto"/>
                      <w:kern w:val="2"/>
                      <w:sz w:val="21"/>
                      <w:szCs w:val="21"/>
                      <w:highlight w:val="none"/>
                      <w:lang w:val="en-US" w:eastAsia="zh-CN" w:bidi="zh-CN"/>
                    </w:rPr>
                    <w:t>2</w:t>
                  </w:r>
                </w:p>
              </w:tc>
              <w:tc>
                <w:tcPr>
                  <w:tcW w:w="10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olor w:val="auto"/>
                      <w:highlight w:val="none"/>
                      <w:lang w:val="en-US" w:eastAsia="zh-CN"/>
                    </w:rPr>
                    <w:t>初期雨水</w:t>
                  </w:r>
                </w:p>
              </w:tc>
              <w:tc>
                <w:tcPr>
                  <w:tcW w:w="22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zh-CN" w:eastAsia="zh-CN" w:bidi="zh-CN"/>
                    </w:rPr>
                  </w:pPr>
                  <w:r>
                    <w:rPr>
                      <w:rFonts w:hint="default" w:ascii="Times New Roman" w:hAnsi="Times New Roman" w:eastAsia="宋体" w:cs="Times New Roman"/>
                      <w:color w:val="auto"/>
                      <w:kern w:val="2"/>
                      <w:sz w:val="21"/>
                      <w:szCs w:val="21"/>
                      <w:highlight w:val="none"/>
                      <w:lang w:val="zh-CN" w:eastAsia="zh-CN" w:bidi="zh-CN"/>
                    </w:rPr>
                    <w:t>pH、COD、</w:t>
                  </w:r>
                  <w:r>
                    <w:rPr>
                      <w:rFonts w:hint="default" w:ascii="Times New Roman" w:hAnsi="Times New Roman" w:eastAsia="宋体" w:cs="Times New Roman"/>
                      <w:color w:val="auto"/>
                      <w:kern w:val="2"/>
                      <w:sz w:val="21"/>
                      <w:szCs w:val="21"/>
                      <w:highlight w:val="none"/>
                      <w:lang w:val="en-US" w:eastAsia="zh-CN" w:bidi="zh-CN"/>
                    </w:rPr>
                    <w:t>SS</w:t>
                  </w:r>
                </w:p>
              </w:tc>
              <w:tc>
                <w:tcPr>
                  <w:tcW w:w="32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r>
                    <w:rPr>
                      <w:rFonts w:hint="eastAsia" w:ascii="Times New Roman" w:hAnsi="Times New Roman" w:eastAsia="宋体" w:cs="Times New Roman"/>
                      <w:color w:val="auto"/>
                      <w:kern w:val="2"/>
                      <w:sz w:val="21"/>
                      <w:szCs w:val="21"/>
                      <w:highlight w:val="none"/>
                      <w:lang w:val="en-US" w:eastAsia="zh-CN" w:bidi="zh-CN"/>
                    </w:rPr>
                    <w:t>经过初期雨水池沉淀后，循环使用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95" w:type="dxa"/>
                  <w:vMerge w:val="continue"/>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11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r>
                    <w:rPr>
                      <w:rFonts w:hint="default" w:ascii="Times New Roman" w:hAnsi="Times New Roman" w:eastAsia="宋体" w:cs="Times New Roman"/>
                      <w:color w:val="auto"/>
                      <w:kern w:val="2"/>
                      <w:sz w:val="21"/>
                      <w:szCs w:val="21"/>
                      <w:highlight w:val="none"/>
                      <w:lang w:val="en-US" w:eastAsia="zh-CN" w:bidi="zh-CN"/>
                    </w:rPr>
                    <w:t>W1-</w:t>
                  </w:r>
                  <w:r>
                    <w:rPr>
                      <w:rFonts w:hint="eastAsia" w:ascii="Times New Roman" w:hAnsi="Times New Roman" w:eastAsia="宋体" w:cs="Times New Roman"/>
                      <w:color w:val="auto"/>
                      <w:kern w:val="2"/>
                      <w:sz w:val="21"/>
                      <w:szCs w:val="21"/>
                      <w:highlight w:val="none"/>
                      <w:lang w:val="en-US" w:eastAsia="zh-CN" w:bidi="zh-CN"/>
                    </w:rPr>
                    <w:t>3</w:t>
                  </w:r>
                </w:p>
              </w:tc>
              <w:tc>
                <w:tcPr>
                  <w:tcW w:w="10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olor w:val="auto"/>
                      <w:highlight w:val="none"/>
                      <w:lang w:val="en-US" w:eastAsia="zh-CN"/>
                    </w:rPr>
                    <w:t>洗车废水</w:t>
                  </w:r>
                </w:p>
              </w:tc>
              <w:tc>
                <w:tcPr>
                  <w:tcW w:w="229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zh-CN" w:eastAsia="zh-CN" w:bidi="zh-CN"/>
                    </w:rPr>
                  </w:pPr>
                  <w:r>
                    <w:rPr>
                      <w:rFonts w:hint="default" w:ascii="Times New Roman" w:hAnsi="Times New Roman" w:eastAsia="宋体" w:cs="Times New Roman"/>
                      <w:color w:val="auto"/>
                      <w:kern w:val="2"/>
                      <w:sz w:val="21"/>
                      <w:szCs w:val="21"/>
                      <w:highlight w:val="none"/>
                      <w:lang w:val="zh-CN" w:eastAsia="zh-CN" w:bidi="zh-CN"/>
                    </w:rPr>
                    <w:t>pH、COD、</w:t>
                  </w:r>
                  <w:r>
                    <w:rPr>
                      <w:rFonts w:hint="default" w:ascii="Times New Roman" w:hAnsi="Times New Roman" w:eastAsia="宋体" w:cs="Times New Roman"/>
                      <w:color w:val="auto"/>
                      <w:kern w:val="2"/>
                      <w:sz w:val="21"/>
                      <w:szCs w:val="21"/>
                      <w:highlight w:val="none"/>
                      <w:lang w:val="en-US" w:eastAsia="zh-CN" w:bidi="zh-CN"/>
                    </w:rPr>
                    <w:t>SS</w:t>
                  </w:r>
                </w:p>
              </w:tc>
              <w:tc>
                <w:tcPr>
                  <w:tcW w:w="32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zh-CN"/>
                    </w:rPr>
                  </w:pPr>
                  <w:r>
                    <w:rPr>
                      <w:rFonts w:hint="eastAsia" w:ascii="Times New Roman" w:hAnsi="Times New Roman" w:eastAsia="宋体" w:cs="Times New Roman"/>
                      <w:color w:val="auto"/>
                      <w:kern w:val="2"/>
                      <w:sz w:val="21"/>
                      <w:szCs w:val="21"/>
                      <w:highlight w:val="none"/>
                      <w:lang w:val="en-US" w:eastAsia="zh-CN" w:bidi="zh-CN"/>
                    </w:rPr>
                    <w:t>进出口设施车辆冲洗区，冲洗水经沉淀后循环使用，不外排。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95"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噪声</w:t>
                  </w:r>
                </w:p>
              </w:tc>
              <w:tc>
                <w:tcPr>
                  <w:tcW w:w="1134"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N</w:t>
                  </w:r>
                </w:p>
              </w:tc>
              <w:tc>
                <w:tcPr>
                  <w:tcW w:w="1069"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设备噪声</w:t>
                  </w:r>
                </w:p>
              </w:tc>
              <w:tc>
                <w:tcPr>
                  <w:tcW w:w="2297" w:type="dxa"/>
                  <w:gridSpan w:val="2"/>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L</w:t>
                  </w:r>
                  <w:r>
                    <w:rPr>
                      <w:rFonts w:hint="default" w:ascii="Times New Roman" w:hAnsi="Times New Roman" w:eastAsia="宋体" w:cs="Times New Roman"/>
                      <w:color w:val="auto"/>
                      <w:sz w:val="21"/>
                      <w:szCs w:val="21"/>
                      <w:highlight w:val="none"/>
                      <w:vertAlign w:val="subscript"/>
                      <w:lang w:val="en-US" w:eastAsia="zh-CN"/>
                    </w:rPr>
                    <w:t>Aeq</w:t>
                  </w:r>
                </w:p>
              </w:tc>
              <w:tc>
                <w:tcPr>
                  <w:tcW w:w="3280"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采用隔声、减震、消声等降噪措施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95" w:type="dxa"/>
                  <w:vMerge w:val="restart"/>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固体废物</w:t>
                  </w:r>
                </w:p>
              </w:tc>
              <w:tc>
                <w:tcPr>
                  <w:tcW w:w="1134" w:type="dxa"/>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S1-1</w:t>
                  </w:r>
                </w:p>
              </w:tc>
              <w:tc>
                <w:tcPr>
                  <w:tcW w:w="10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浓缩罐</w:t>
                  </w:r>
                  <w:r>
                    <w:rPr>
                      <w:rFonts w:hint="default" w:ascii="Times New Roman" w:hAnsi="Times New Roman" w:eastAsia="宋体" w:cs="Times New Roman"/>
                      <w:color w:val="auto"/>
                      <w:sz w:val="21"/>
                      <w:szCs w:val="21"/>
                      <w:highlight w:val="none"/>
                      <w:lang w:val="en-US" w:eastAsia="zh-CN"/>
                    </w:rPr>
                    <w:t>底泥</w:t>
                  </w:r>
                </w:p>
              </w:tc>
              <w:tc>
                <w:tcPr>
                  <w:tcW w:w="7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r>
                    <w:rPr>
                      <w:rFonts w:hint="default" w:ascii="Times New Roman" w:hAnsi="Times New Roman" w:eastAsia="宋体" w:cs="Times New Roman"/>
                      <w:color w:val="auto"/>
                      <w:kern w:val="2"/>
                      <w:sz w:val="21"/>
                      <w:szCs w:val="21"/>
                      <w:highlight w:val="none"/>
                      <w:lang w:val="en-US" w:eastAsia="zh-CN" w:bidi="zh-CN"/>
                    </w:rPr>
                    <w:t>洗砂</w:t>
                  </w:r>
                </w:p>
              </w:tc>
              <w:tc>
                <w:tcPr>
                  <w:tcW w:w="15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r>
                    <w:rPr>
                      <w:rFonts w:hint="eastAsia" w:ascii="宋体" w:hAnsi="宋体" w:eastAsia="宋体" w:cs="Times New Roman"/>
                      <w:color w:val="auto"/>
                      <w:kern w:val="2"/>
                      <w:sz w:val="21"/>
                      <w:szCs w:val="21"/>
                      <w:highlight w:val="none"/>
                      <w:lang w:val="en-US" w:eastAsia="zh-CN" w:bidi="zh-CN"/>
                    </w:rPr>
                    <w:t>浓缩罐</w:t>
                  </w:r>
                  <w:r>
                    <w:rPr>
                      <w:rFonts w:hint="default" w:ascii="Times New Roman" w:hAnsi="Times New Roman" w:eastAsia="宋体" w:cs="Times New Roman"/>
                      <w:color w:val="auto"/>
                      <w:kern w:val="2"/>
                      <w:sz w:val="21"/>
                      <w:szCs w:val="21"/>
                      <w:highlight w:val="none"/>
                      <w:lang w:val="en-US" w:eastAsia="zh-CN" w:bidi="zh-CN"/>
                    </w:rPr>
                    <w:t>底泥</w:t>
                  </w:r>
                </w:p>
              </w:tc>
              <w:tc>
                <w:tcPr>
                  <w:tcW w:w="32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highlight w:val="none"/>
                      <w:lang w:val="en-US" w:eastAsia="zh-CN" w:bidi="zh-CN"/>
                    </w:rPr>
                  </w:pPr>
                  <w:r>
                    <w:rPr>
                      <w:rFonts w:hint="eastAsia" w:ascii="宋体" w:hAnsi="宋体" w:eastAsia="宋体" w:cs="宋体"/>
                      <w:color w:val="auto"/>
                      <w:kern w:val="2"/>
                      <w:sz w:val="21"/>
                      <w:szCs w:val="21"/>
                      <w:highlight w:val="none"/>
                      <w:lang w:val="en-US" w:eastAsia="zh-CN" w:bidi="zh-CN"/>
                    </w:rPr>
                    <w:t>委托</w:t>
                  </w:r>
                  <w:r>
                    <w:rPr>
                      <w:rFonts w:hint="eastAsia" w:ascii="宋体" w:hAnsi="宋体" w:eastAsia="宋体" w:cs="宋体"/>
                      <w:color w:val="auto"/>
                      <w:kern w:val="2"/>
                      <w:sz w:val="21"/>
                      <w:szCs w:val="21"/>
                      <w:highlight w:val="none"/>
                      <w:lang w:val="zh-CN" w:eastAsia="zh-CN" w:bidi="zh-CN"/>
                    </w:rPr>
                    <w:t>福鼎市利民城市建筑垃圾处理有限公司</w:t>
                  </w:r>
                  <w:r>
                    <w:rPr>
                      <w:rFonts w:hint="eastAsia" w:ascii="宋体" w:hAnsi="宋体" w:eastAsia="宋体" w:cs="宋体"/>
                      <w:color w:val="auto"/>
                      <w:kern w:val="2"/>
                      <w:sz w:val="21"/>
                      <w:szCs w:val="21"/>
                      <w:highlight w:val="none"/>
                      <w:lang w:val="en-US" w:eastAsia="zh-CN" w:bidi="zh-CN"/>
                    </w:rPr>
                    <w:t>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95" w:type="dxa"/>
                  <w:vMerge w:val="continue"/>
                  <w:tcBorders>
                    <w:tl2br w:val="nil"/>
                    <w:tr2bl w:val="nil"/>
                  </w:tcBorders>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ascii="Times New Roman" w:hAnsi="Times New Roman" w:eastAsia="宋体" w:cs="Times New Roman"/>
                      <w:color w:val="auto"/>
                      <w:sz w:val="21"/>
                      <w:szCs w:val="21"/>
                      <w:highlight w:val="none"/>
                    </w:rPr>
                  </w:pPr>
                </w:p>
              </w:tc>
              <w:tc>
                <w:tcPr>
                  <w:tcW w:w="11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r>
                    <w:rPr>
                      <w:rFonts w:hint="default" w:ascii="Times New Roman" w:hAnsi="Times New Roman" w:eastAsia="宋体" w:cs="Times New Roman"/>
                      <w:color w:val="auto"/>
                      <w:kern w:val="2"/>
                      <w:sz w:val="21"/>
                      <w:szCs w:val="21"/>
                      <w:highlight w:val="none"/>
                      <w:lang w:val="en-US" w:eastAsia="zh-CN" w:bidi="zh-CN"/>
                    </w:rPr>
                    <w:t>S</w:t>
                  </w:r>
                  <w:r>
                    <w:rPr>
                      <w:rFonts w:hint="eastAsia" w:ascii="Times New Roman" w:hAnsi="Times New Roman" w:eastAsia="宋体" w:cs="Times New Roman"/>
                      <w:color w:val="auto"/>
                      <w:kern w:val="2"/>
                      <w:sz w:val="21"/>
                      <w:szCs w:val="21"/>
                      <w:highlight w:val="none"/>
                      <w:lang w:val="en-US" w:eastAsia="zh-CN" w:bidi="zh-CN"/>
                    </w:rPr>
                    <w:t>1-2</w:t>
                  </w:r>
                </w:p>
              </w:tc>
              <w:tc>
                <w:tcPr>
                  <w:tcW w:w="10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r>
                    <w:rPr>
                      <w:rFonts w:hint="default" w:ascii="Times New Roman" w:hAnsi="Times New Roman" w:eastAsia="宋体" w:cs="Times New Roman"/>
                      <w:color w:val="auto"/>
                      <w:kern w:val="2"/>
                      <w:sz w:val="21"/>
                      <w:szCs w:val="21"/>
                      <w:highlight w:val="none"/>
                      <w:lang w:val="en-US" w:eastAsia="zh-CN" w:bidi="zh-CN"/>
                    </w:rPr>
                    <w:t>生活垃圾</w:t>
                  </w:r>
                </w:p>
              </w:tc>
              <w:tc>
                <w:tcPr>
                  <w:tcW w:w="7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zh-CN" w:eastAsia="zh-CN" w:bidi="zh-CN"/>
                    </w:rPr>
                  </w:pPr>
                  <w:r>
                    <w:rPr>
                      <w:rFonts w:hint="default" w:ascii="Times New Roman" w:hAnsi="Times New Roman" w:eastAsia="宋体" w:cs="Times New Roman"/>
                      <w:color w:val="auto"/>
                      <w:kern w:val="2"/>
                      <w:sz w:val="21"/>
                      <w:szCs w:val="21"/>
                      <w:highlight w:val="none"/>
                      <w:lang w:val="en-US" w:eastAsia="zh-CN" w:bidi="zh-CN"/>
                    </w:rPr>
                    <w:t>生活</w:t>
                  </w:r>
                </w:p>
              </w:tc>
              <w:tc>
                <w:tcPr>
                  <w:tcW w:w="15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r>
                    <w:rPr>
                      <w:rFonts w:hint="default" w:ascii="Times New Roman" w:hAnsi="Times New Roman" w:eastAsia="宋体" w:cs="Times New Roman"/>
                      <w:color w:val="auto"/>
                      <w:kern w:val="2"/>
                      <w:sz w:val="21"/>
                      <w:szCs w:val="21"/>
                      <w:highlight w:val="none"/>
                      <w:lang w:val="en-US" w:eastAsia="zh-CN" w:bidi="zh-CN"/>
                    </w:rPr>
                    <w:t>生活垃圾</w:t>
                  </w:r>
                </w:p>
              </w:tc>
              <w:tc>
                <w:tcPr>
                  <w:tcW w:w="32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zh-CN" w:eastAsia="zh-CN" w:bidi="zh-CN"/>
                    </w:rPr>
                  </w:pPr>
                  <w:r>
                    <w:rPr>
                      <w:rFonts w:hint="default" w:ascii="Times New Roman" w:hAnsi="Times New Roman" w:eastAsia="宋体" w:cs="Times New Roman"/>
                      <w:color w:val="auto"/>
                      <w:kern w:val="2"/>
                      <w:sz w:val="21"/>
                      <w:szCs w:val="21"/>
                      <w:highlight w:val="none"/>
                      <w:lang w:val="zh-CN" w:eastAsia="zh-CN" w:bidi="zh-CN"/>
                    </w:rPr>
                    <w:t>收集后委托环卫部门外运处置</w:t>
                  </w:r>
                </w:p>
              </w:tc>
            </w:tr>
          </w:tbl>
          <w:p>
            <w:pPr>
              <w:pStyle w:val="98"/>
              <w:ind w:firstLine="480"/>
              <w:rPr>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93" w:type="dxa"/>
            <w:noWrap w:val="0"/>
            <w:vAlign w:val="center"/>
          </w:tcPr>
          <w:p>
            <w:pPr>
              <w:pStyle w:val="20"/>
              <w:adjustRightInd w:val="0"/>
              <w:snapToGrid w:val="0"/>
              <w:spacing w:before="0" w:beforeAutospacing="0" w:after="0" w:afterAutospacing="0"/>
              <w:jc w:val="center"/>
              <w:rPr>
                <w:rFonts w:ascii="Times New Roman" w:hAnsi="Times New Roman"/>
                <w:color w:val="auto"/>
                <w:sz w:val="21"/>
                <w:szCs w:val="21"/>
                <w:highlight w:val="none"/>
              </w:rPr>
            </w:pPr>
            <w:r>
              <w:rPr>
                <w:rFonts w:ascii="Times New Roman" w:hAnsi="Times New Roman"/>
                <w:bCs/>
                <w:color w:val="auto"/>
                <w:kern w:val="2"/>
                <w:szCs w:val="24"/>
                <w:highlight w:val="none"/>
              </w:rPr>
              <w:t>与项目有关的原有环境污染问题</w:t>
            </w:r>
          </w:p>
        </w:tc>
        <w:tc>
          <w:tcPr>
            <w:tcW w:w="8594" w:type="dxa"/>
            <w:noWrap w:val="0"/>
            <w:vAlign w:val="center"/>
          </w:tcPr>
          <w:p>
            <w:pPr>
              <w:adjustRightInd w:val="0"/>
              <w:snapToGrid w:val="0"/>
              <w:ind w:firstLine="480"/>
              <w:jc w:val="center"/>
              <w:rPr>
                <w:bCs/>
                <w:color w:val="auto"/>
                <w:szCs w:val="21"/>
                <w:highlight w:val="none"/>
              </w:rPr>
            </w:pPr>
            <w:r>
              <w:rPr>
                <w:bCs/>
                <w:color w:val="auto"/>
                <w:szCs w:val="21"/>
                <w:highlight w:val="none"/>
              </w:rPr>
              <w:t>无</w:t>
            </w:r>
          </w:p>
        </w:tc>
      </w:tr>
    </w:tbl>
    <w:p>
      <w:pPr>
        <w:pStyle w:val="20"/>
        <w:jc w:val="center"/>
        <w:outlineLvl w:val="0"/>
        <w:rPr>
          <w:rFonts w:ascii="Times New Roman" w:hAnsi="Times New Roman" w:eastAsia="黑体"/>
          <w:snapToGrid w:val="0"/>
          <w:color w:val="auto"/>
          <w:sz w:val="30"/>
          <w:szCs w:val="30"/>
          <w:highlight w:val="none"/>
        </w:rPr>
        <w:sectPr>
          <w:pgSz w:w="11907" w:h="16840"/>
          <w:pgMar w:top="1418" w:right="1418" w:bottom="1418" w:left="1418" w:header="851" w:footer="851" w:gutter="0"/>
          <w:pgBorders>
            <w:top w:val="none" w:sz="0" w:space="0"/>
            <w:left w:val="none" w:sz="0" w:space="0"/>
            <w:bottom w:val="none" w:sz="0" w:space="0"/>
            <w:right w:val="none" w:sz="0" w:space="0"/>
          </w:pgBorders>
          <w:cols w:space="720" w:num="1"/>
          <w:docGrid w:linePitch="312" w:charSpace="0"/>
        </w:sectPr>
      </w:pPr>
    </w:p>
    <w:p>
      <w:pPr>
        <w:pStyle w:val="20"/>
        <w:jc w:val="center"/>
        <w:outlineLvl w:val="0"/>
        <w:rPr>
          <w:rFonts w:ascii="Times New Roman" w:hAnsi="Times New Roman" w:eastAsia="黑体"/>
          <w:snapToGrid w:val="0"/>
          <w:color w:val="auto"/>
          <w:sz w:val="30"/>
          <w:szCs w:val="30"/>
          <w:highlight w:val="none"/>
        </w:rPr>
      </w:pPr>
      <w:r>
        <w:rPr>
          <w:rFonts w:ascii="Times New Roman" w:hAnsi="Times New Roman" w:eastAsia="黑体"/>
          <w:snapToGrid w:val="0"/>
          <w:color w:val="auto"/>
          <w:sz w:val="30"/>
          <w:szCs w:val="30"/>
          <w:highlight w:val="none"/>
        </w:rPr>
        <w:t>三、区域环境质量现状、环境保护目标及评价标准</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4"/>
        <w:gridCol w:w="8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6" w:hRule="atLeast"/>
          <w:jc w:val="center"/>
        </w:trPr>
        <w:tc>
          <w:tcPr>
            <w:tcW w:w="444" w:type="dxa"/>
            <w:noWrap w:val="0"/>
            <w:vAlign w:val="center"/>
          </w:tcPr>
          <w:p>
            <w:pPr>
              <w:adjustRightInd w:val="0"/>
              <w:snapToGrid w:val="0"/>
              <w:jc w:val="center"/>
              <w:rPr>
                <w:color w:val="auto"/>
                <w:kern w:val="0"/>
                <w:szCs w:val="21"/>
                <w:highlight w:val="none"/>
              </w:rPr>
            </w:pPr>
            <w:r>
              <w:rPr>
                <w:color w:val="auto"/>
                <w:kern w:val="0"/>
                <w:szCs w:val="21"/>
                <w:highlight w:val="none"/>
              </w:rPr>
              <w:t>区域</w:t>
            </w:r>
          </w:p>
          <w:p>
            <w:pPr>
              <w:adjustRightInd w:val="0"/>
              <w:snapToGrid w:val="0"/>
              <w:jc w:val="center"/>
              <w:rPr>
                <w:color w:val="auto"/>
                <w:kern w:val="0"/>
                <w:szCs w:val="21"/>
                <w:highlight w:val="none"/>
              </w:rPr>
            </w:pPr>
            <w:r>
              <w:rPr>
                <w:color w:val="auto"/>
                <w:kern w:val="0"/>
                <w:szCs w:val="21"/>
                <w:highlight w:val="none"/>
              </w:rPr>
              <w:t>环境</w:t>
            </w:r>
          </w:p>
          <w:p>
            <w:pPr>
              <w:adjustRightInd w:val="0"/>
              <w:snapToGrid w:val="0"/>
              <w:jc w:val="center"/>
              <w:rPr>
                <w:color w:val="auto"/>
                <w:kern w:val="0"/>
                <w:szCs w:val="21"/>
                <w:highlight w:val="none"/>
              </w:rPr>
            </w:pPr>
            <w:r>
              <w:rPr>
                <w:color w:val="auto"/>
                <w:kern w:val="0"/>
                <w:szCs w:val="21"/>
                <w:highlight w:val="none"/>
              </w:rPr>
              <w:t>质量</w:t>
            </w:r>
          </w:p>
          <w:p>
            <w:pPr>
              <w:adjustRightInd w:val="0"/>
              <w:snapToGrid w:val="0"/>
              <w:jc w:val="center"/>
              <w:rPr>
                <w:color w:val="auto"/>
                <w:kern w:val="0"/>
                <w:szCs w:val="21"/>
                <w:highlight w:val="none"/>
              </w:rPr>
            </w:pPr>
            <w:r>
              <w:rPr>
                <w:color w:val="auto"/>
                <w:kern w:val="0"/>
                <w:szCs w:val="21"/>
                <w:highlight w:val="none"/>
              </w:rPr>
              <w:t>现状</w:t>
            </w:r>
          </w:p>
        </w:tc>
        <w:tc>
          <w:tcPr>
            <w:tcW w:w="8843" w:type="dxa"/>
            <w:noWrap w:val="0"/>
            <w:vAlign w:val="center"/>
          </w:tcPr>
          <w:p>
            <w:pPr>
              <w:pStyle w:val="3"/>
              <w:numPr>
                <w:ilvl w:val="0"/>
                <w:numId w:val="2"/>
              </w:numPr>
              <w:rPr>
                <w:rFonts w:hint="eastAsia"/>
                <w:color w:val="auto"/>
                <w:highlight w:val="none"/>
              </w:rPr>
            </w:pPr>
            <w:r>
              <w:rPr>
                <w:rFonts w:hint="eastAsia"/>
                <w:color w:val="auto"/>
                <w:highlight w:val="none"/>
              </w:rPr>
              <w:t>环境功能区划及环境质量标准</w:t>
            </w:r>
          </w:p>
          <w:p>
            <w:pPr>
              <w:pStyle w:val="5"/>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color w:val="auto"/>
                <w:sz w:val="24"/>
                <w:szCs w:val="24"/>
                <w:highlight w:val="none"/>
              </w:rPr>
            </w:pPr>
            <w:r>
              <w:rPr>
                <w:rFonts w:hint="eastAsia"/>
                <w:color w:val="auto"/>
                <w:sz w:val="24"/>
                <w:szCs w:val="24"/>
                <w:highlight w:val="none"/>
                <w:lang w:val="en-US" w:eastAsia="zh-CN"/>
              </w:rPr>
              <w:t>1.1</w:t>
            </w:r>
            <w:r>
              <w:rPr>
                <w:rFonts w:hint="eastAsia"/>
                <w:color w:val="auto"/>
                <w:sz w:val="24"/>
                <w:szCs w:val="24"/>
                <w:highlight w:val="none"/>
              </w:rPr>
              <w:t>水环境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highlight w:val="none"/>
              </w:rPr>
            </w:pPr>
            <w:r>
              <w:rPr>
                <w:rFonts w:hint="eastAsia"/>
                <w:color w:val="auto"/>
                <w:sz w:val="24"/>
                <w:szCs w:val="32"/>
                <w:highlight w:val="none"/>
              </w:rPr>
              <w:t>根据《福建省近岸海域环境功能区划（修编）》（闽政〔2011〕45号），</w:t>
            </w:r>
            <w:r>
              <w:rPr>
                <w:rFonts w:hint="eastAsia"/>
                <w:color w:val="auto"/>
                <w:sz w:val="24"/>
                <w:szCs w:val="32"/>
                <w:highlight w:val="none"/>
                <w:lang w:val="en-US" w:eastAsia="zh-CN"/>
              </w:rPr>
              <w:t>项目所在地</w:t>
            </w:r>
            <w:r>
              <w:rPr>
                <w:rFonts w:hint="eastAsia"/>
                <w:color w:val="auto"/>
                <w:sz w:val="24"/>
                <w:szCs w:val="32"/>
                <w:highlight w:val="none"/>
              </w:rPr>
              <w:t>位于沙埕港北岸四类区（FJ00</w:t>
            </w:r>
            <w:r>
              <w:rPr>
                <w:rFonts w:hint="eastAsia"/>
                <w:color w:val="auto"/>
                <w:sz w:val="24"/>
                <w:szCs w:val="32"/>
                <w:highlight w:val="none"/>
                <w:lang w:val="en-US" w:eastAsia="zh-CN"/>
              </w:rPr>
              <w:t>1</w:t>
            </w:r>
            <w:r>
              <w:rPr>
                <w:rFonts w:hint="eastAsia"/>
                <w:color w:val="auto"/>
                <w:sz w:val="24"/>
                <w:szCs w:val="32"/>
                <w:highlight w:val="none"/>
              </w:rPr>
              <w:t>-</w:t>
            </w:r>
            <w:r>
              <w:rPr>
                <w:rFonts w:hint="eastAsia"/>
                <w:color w:val="auto"/>
                <w:sz w:val="24"/>
                <w:szCs w:val="32"/>
                <w:highlight w:val="none"/>
                <w:lang w:val="en-US" w:eastAsia="zh-CN"/>
              </w:rPr>
              <w:t>C</w:t>
            </w:r>
            <w:r>
              <w:rPr>
                <w:rFonts w:hint="eastAsia"/>
                <w:color w:val="auto"/>
                <w:sz w:val="24"/>
                <w:szCs w:val="32"/>
                <w:highlight w:val="none"/>
              </w:rPr>
              <w:t>-Ⅲ），主导功能港口、航运、一般工业用水，辅助功能纳污，水质保护目标为三类海水，水质执行GB3097-1997《海水水质标准》第三类标准。详见表</w:t>
            </w:r>
            <w:r>
              <w:rPr>
                <w:rFonts w:hint="eastAsia"/>
                <w:color w:val="auto"/>
                <w:sz w:val="24"/>
                <w:szCs w:val="32"/>
                <w:highlight w:val="none"/>
                <w:lang w:val="en-US" w:eastAsia="zh-CN"/>
              </w:rPr>
              <w:t>9</w:t>
            </w:r>
            <w:r>
              <w:rPr>
                <w:rFonts w:hint="eastAsia"/>
                <w:color w:val="auto"/>
                <w:sz w:val="24"/>
                <w:szCs w:val="32"/>
                <w:highlight w:val="none"/>
              </w:rPr>
              <w:t>。</w:t>
            </w:r>
          </w:p>
          <w:p>
            <w:pPr>
              <w:pStyle w:val="57"/>
              <w:rPr>
                <w:rFonts w:hint="eastAsia" w:ascii="Times New Roman" w:hAnsi="Times New Roman" w:eastAsia="宋体" w:cs="Times New Roman"/>
                <w:b/>
                <w:color w:val="auto"/>
                <w:highlight w:val="none"/>
              </w:rPr>
            </w:pPr>
            <w:r>
              <w:rPr>
                <w:rFonts w:hint="eastAsia" w:ascii="Times New Roman" w:hAnsi="Times New Roman" w:eastAsia="宋体" w:cs="Times New Roman"/>
                <w:b/>
                <w:color w:val="auto"/>
                <w:highlight w:val="none"/>
              </w:rPr>
              <w:t>海水水质标准       单位：mg/L</w:t>
            </w:r>
          </w:p>
          <w:tbl>
            <w:tblPr>
              <w:tblStyle w:val="25"/>
              <w:tblW w:w="0" w:type="auto"/>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506"/>
              <w:gridCol w:w="1669"/>
              <w:gridCol w:w="51"/>
              <w:gridCol w:w="1618"/>
              <w:gridCol w:w="1798"/>
              <w:gridCol w:w="1863"/>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506"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项目</w:t>
                  </w:r>
                </w:p>
              </w:tc>
              <w:tc>
                <w:tcPr>
                  <w:tcW w:w="1720" w:type="dxa"/>
                  <w:gridSpan w:val="2"/>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第一类</w:t>
                  </w:r>
                </w:p>
              </w:tc>
              <w:tc>
                <w:tcPr>
                  <w:tcW w:w="1618"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第二类</w:t>
                  </w:r>
                </w:p>
              </w:tc>
              <w:tc>
                <w:tcPr>
                  <w:tcW w:w="1798" w:type="dxa"/>
                  <w:tcBorders>
                    <w:tl2br w:val="nil"/>
                    <w:tr2bl w:val="nil"/>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第三类</w:t>
                  </w:r>
                </w:p>
              </w:tc>
              <w:tc>
                <w:tcPr>
                  <w:tcW w:w="1863"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第四类</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506"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水温</w:t>
                  </w:r>
                </w:p>
              </w:tc>
              <w:tc>
                <w:tcPr>
                  <w:tcW w:w="3338" w:type="dxa"/>
                  <w:gridSpan w:val="3"/>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人为造成海水升温夏季不超过当时当地1</w:t>
                  </w:r>
                  <w:r>
                    <w:rPr>
                      <w:rFonts w:hint="eastAsia"/>
                      <w:b w:val="0"/>
                      <w:bCs/>
                      <w:color w:val="auto"/>
                      <w:sz w:val="21"/>
                      <w:szCs w:val="21"/>
                      <w:highlight w:val="none"/>
                    </w:rPr>
                    <w:t>℃</w:t>
                  </w:r>
                  <w:r>
                    <w:rPr>
                      <w:b w:val="0"/>
                      <w:bCs/>
                      <w:color w:val="auto"/>
                      <w:sz w:val="21"/>
                      <w:szCs w:val="21"/>
                      <w:highlight w:val="none"/>
                    </w:rPr>
                    <w:t>，其它季节不超过2</w:t>
                  </w:r>
                  <w:r>
                    <w:rPr>
                      <w:rFonts w:hint="eastAsia"/>
                      <w:b w:val="0"/>
                      <w:bCs/>
                      <w:color w:val="auto"/>
                      <w:sz w:val="21"/>
                      <w:szCs w:val="21"/>
                      <w:highlight w:val="none"/>
                    </w:rPr>
                    <w:t>℃</w:t>
                  </w:r>
                </w:p>
              </w:tc>
              <w:tc>
                <w:tcPr>
                  <w:tcW w:w="3661" w:type="dxa"/>
                  <w:gridSpan w:val="2"/>
                  <w:tcBorders>
                    <w:tl2br w:val="nil"/>
                    <w:tr2bl w:val="nil"/>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人为造成海水升温不超1</w:t>
                  </w:r>
                  <w:r>
                    <w:rPr>
                      <w:rFonts w:hint="eastAsia"/>
                      <w:b w:val="0"/>
                      <w:bCs/>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506"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pH</w:t>
                  </w:r>
                </w:p>
              </w:tc>
              <w:tc>
                <w:tcPr>
                  <w:tcW w:w="3338" w:type="dxa"/>
                  <w:gridSpan w:val="3"/>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7.8-8.5</w:t>
                  </w:r>
                </w:p>
              </w:tc>
              <w:tc>
                <w:tcPr>
                  <w:tcW w:w="3661" w:type="dxa"/>
                  <w:gridSpan w:val="2"/>
                  <w:tcBorders>
                    <w:tl2br w:val="nil"/>
                    <w:tr2bl w:val="nil"/>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6.8-8.8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trHeight w:val="340" w:hRule="atLeast"/>
                <w:jc w:val="center"/>
              </w:trPr>
              <w:tc>
                <w:tcPr>
                  <w:tcW w:w="1506"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溶解氧≥</w:t>
                  </w:r>
                </w:p>
              </w:tc>
              <w:tc>
                <w:tcPr>
                  <w:tcW w:w="1720" w:type="dxa"/>
                  <w:gridSpan w:val="2"/>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6</w:t>
                  </w:r>
                </w:p>
              </w:tc>
              <w:tc>
                <w:tcPr>
                  <w:tcW w:w="1618"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5</w:t>
                  </w:r>
                </w:p>
              </w:tc>
              <w:tc>
                <w:tcPr>
                  <w:tcW w:w="1798" w:type="dxa"/>
                  <w:tcBorders>
                    <w:tl2br w:val="nil"/>
                    <w:tr2bl w:val="nil"/>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4</w:t>
                  </w:r>
                </w:p>
              </w:tc>
              <w:tc>
                <w:tcPr>
                  <w:tcW w:w="1863"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3</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trHeight w:val="340" w:hRule="atLeast"/>
                <w:jc w:val="center"/>
              </w:trPr>
              <w:tc>
                <w:tcPr>
                  <w:tcW w:w="1506"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COD</w:t>
                  </w:r>
                </w:p>
              </w:tc>
              <w:tc>
                <w:tcPr>
                  <w:tcW w:w="1720" w:type="dxa"/>
                  <w:gridSpan w:val="2"/>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2</w:t>
                  </w:r>
                </w:p>
              </w:tc>
              <w:tc>
                <w:tcPr>
                  <w:tcW w:w="1618"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3</w:t>
                  </w:r>
                </w:p>
              </w:tc>
              <w:tc>
                <w:tcPr>
                  <w:tcW w:w="1798" w:type="dxa"/>
                  <w:tcBorders>
                    <w:tl2br w:val="nil"/>
                    <w:tr2bl w:val="nil"/>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4</w:t>
                  </w:r>
                </w:p>
              </w:tc>
              <w:tc>
                <w:tcPr>
                  <w:tcW w:w="1863"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trHeight w:val="340" w:hRule="atLeast"/>
                <w:jc w:val="center"/>
              </w:trPr>
              <w:tc>
                <w:tcPr>
                  <w:tcW w:w="1506"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SS</w:t>
                  </w:r>
                </w:p>
              </w:tc>
              <w:tc>
                <w:tcPr>
                  <w:tcW w:w="3338" w:type="dxa"/>
                  <w:gridSpan w:val="3"/>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人为增加的量≤10</w:t>
                  </w:r>
                </w:p>
              </w:tc>
              <w:tc>
                <w:tcPr>
                  <w:tcW w:w="1798" w:type="dxa"/>
                  <w:tcBorders>
                    <w:tl2br w:val="nil"/>
                    <w:tr2bl w:val="nil"/>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人为增加的量≤100</w:t>
                  </w:r>
                </w:p>
              </w:tc>
              <w:tc>
                <w:tcPr>
                  <w:tcW w:w="1863"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人为增加的量≤150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trHeight w:val="340" w:hRule="atLeast"/>
                <w:jc w:val="center"/>
              </w:trPr>
              <w:tc>
                <w:tcPr>
                  <w:tcW w:w="1506"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无机氮</w:t>
                  </w:r>
                </w:p>
              </w:tc>
              <w:tc>
                <w:tcPr>
                  <w:tcW w:w="1720" w:type="dxa"/>
                  <w:gridSpan w:val="2"/>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0.20</w:t>
                  </w:r>
                </w:p>
              </w:tc>
              <w:tc>
                <w:tcPr>
                  <w:tcW w:w="1618"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0.30</w:t>
                  </w:r>
                </w:p>
              </w:tc>
              <w:tc>
                <w:tcPr>
                  <w:tcW w:w="1798" w:type="dxa"/>
                  <w:tcBorders>
                    <w:tl2br w:val="nil"/>
                    <w:tr2bl w:val="nil"/>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0.40</w:t>
                  </w:r>
                </w:p>
              </w:tc>
              <w:tc>
                <w:tcPr>
                  <w:tcW w:w="1863"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0.50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trHeight w:val="340" w:hRule="atLeast"/>
                <w:jc w:val="center"/>
              </w:trPr>
              <w:tc>
                <w:tcPr>
                  <w:tcW w:w="1506"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活性磷酸盐</w:t>
                  </w:r>
                </w:p>
              </w:tc>
              <w:tc>
                <w:tcPr>
                  <w:tcW w:w="1720" w:type="dxa"/>
                  <w:gridSpan w:val="2"/>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0.015</w:t>
                  </w:r>
                </w:p>
              </w:tc>
              <w:tc>
                <w:tcPr>
                  <w:tcW w:w="1618"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0.030</w:t>
                  </w:r>
                </w:p>
              </w:tc>
              <w:tc>
                <w:tcPr>
                  <w:tcW w:w="1798" w:type="dxa"/>
                  <w:tcBorders>
                    <w:tl2br w:val="nil"/>
                    <w:tr2bl w:val="nil"/>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0.030</w:t>
                  </w:r>
                </w:p>
              </w:tc>
              <w:tc>
                <w:tcPr>
                  <w:tcW w:w="1863"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0.045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506"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铅</w:t>
                  </w:r>
                </w:p>
              </w:tc>
              <w:tc>
                <w:tcPr>
                  <w:tcW w:w="1720" w:type="dxa"/>
                  <w:gridSpan w:val="2"/>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0.001</w:t>
                  </w:r>
                </w:p>
              </w:tc>
              <w:tc>
                <w:tcPr>
                  <w:tcW w:w="1618"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0.005</w:t>
                  </w:r>
                </w:p>
              </w:tc>
              <w:tc>
                <w:tcPr>
                  <w:tcW w:w="1798" w:type="dxa"/>
                  <w:tcBorders>
                    <w:tl2br w:val="nil"/>
                    <w:tr2bl w:val="nil"/>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0.010</w:t>
                  </w:r>
                </w:p>
              </w:tc>
              <w:tc>
                <w:tcPr>
                  <w:tcW w:w="1863"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0.050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506"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镉</w:t>
                  </w:r>
                </w:p>
              </w:tc>
              <w:tc>
                <w:tcPr>
                  <w:tcW w:w="1720" w:type="dxa"/>
                  <w:gridSpan w:val="2"/>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0.001</w:t>
                  </w:r>
                </w:p>
              </w:tc>
              <w:tc>
                <w:tcPr>
                  <w:tcW w:w="1618"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0.005</w:t>
                  </w:r>
                </w:p>
              </w:tc>
              <w:tc>
                <w:tcPr>
                  <w:tcW w:w="1798" w:type="dxa"/>
                  <w:tcBorders>
                    <w:tl2br w:val="nil"/>
                    <w:tr2bl w:val="nil"/>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0.010</w:t>
                  </w:r>
                </w:p>
              </w:tc>
              <w:tc>
                <w:tcPr>
                  <w:tcW w:w="1863"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0.050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506"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六价铬</w:t>
                  </w:r>
                </w:p>
              </w:tc>
              <w:tc>
                <w:tcPr>
                  <w:tcW w:w="1720" w:type="dxa"/>
                  <w:gridSpan w:val="2"/>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0.005</w:t>
                  </w:r>
                </w:p>
              </w:tc>
              <w:tc>
                <w:tcPr>
                  <w:tcW w:w="1618"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0.010</w:t>
                  </w:r>
                </w:p>
              </w:tc>
              <w:tc>
                <w:tcPr>
                  <w:tcW w:w="1798" w:type="dxa"/>
                  <w:tcBorders>
                    <w:tl2br w:val="nil"/>
                    <w:tr2bl w:val="nil"/>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0.020</w:t>
                  </w:r>
                </w:p>
              </w:tc>
              <w:tc>
                <w:tcPr>
                  <w:tcW w:w="1863"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0.050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506"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石油类</w:t>
                  </w:r>
                </w:p>
              </w:tc>
              <w:tc>
                <w:tcPr>
                  <w:tcW w:w="3338" w:type="dxa"/>
                  <w:gridSpan w:val="3"/>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0.05</w:t>
                  </w:r>
                </w:p>
              </w:tc>
              <w:tc>
                <w:tcPr>
                  <w:tcW w:w="1798" w:type="dxa"/>
                  <w:tcBorders>
                    <w:tl2br w:val="nil"/>
                    <w:tr2bl w:val="nil"/>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0.30</w:t>
                  </w:r>
                </w:p>
              </w:tc>
              <w:tc>
                <w:tcPr>
                  <w:tcW w:w="1863"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0.50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trHeight w:val="340" w:hRule="atLeast"/>
                <w:jc w:val="center"/>
              </w:trPr>
              <w:tc>
                <w:tcPr>
                  <w:tcW w:w="1506"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铜</w:t>
                  </w:r>
                </w:p>
              </w:tc>
              <w:tc>
                <w:tcPr>
                  <w:tcW w:w="1669"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0.005</w:t>
                  </w:r>
                </w:p>
              </w:tc>
              <w:tc>
                <w:tcPr>
                  <w:tcW w:w="1669" w:type="dxa"/>
                  <w:gridSpan w:val="2"/>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0.010</w:t>
                  </w:r>
                </w:p>
              </w:tc>
              <w:tc>
                <w:tcPr>
                  <w:tcW w:w="3661" w:type="dxa"/>
                  <w:gridSpan w:val="2"/>
                  <w:tcBorders>
                    <w:tl2br w:val="nil"/>
                    <w:tr2bl w:val="nil"/>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0.050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506"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锌</w:t>
                  </w:r>
                </w:p>
              </w:tc>
              <w:tc>
                <w:tcPr>
                  <w:tcW w:w="1669"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0.020</w:t>
                  </w:r>
                </w:p>
              </w:tc>
              <w:tc>
                <w:tcPr>
                  <w:tcW w:w="1669" w:type="dxa"/>
                  <w:gridSpan w:val="2"/>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0.050</w:t>
                  </w:r>
                </w:p>
              </w:tc>
              <w:tc>
                <w:tcPr>
                  <w:tcW w:w="1798" w:type="dxa"/>
                  <w:tcBorders>
                    <w:tl2br w:val="nil"/>
                    <w:tr2bl w:val="nil"/>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0.10</w:t>
                  </w:r>
                </w:p>
              </w:tc>
              <w:tc>
                <w:tcPr>
                  <w:tcW w:w="1863"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0.50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506"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汞</w:t>
                  </w:r>
                </w:p>
              </w:tc>
              <w:tc>
                <w:tcPr>
                  <w:tcW w:w="1669"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0.00005</w:t>
                  </w:r>
                </w:p>
              </w:tc>
              <w:tc>
                <w:tcPr>
                  <w:tcW w:w="3467" w:type="dxa"/>
                  <w:gridSpan w:val="3"/>
                  <w:tcBorders>
                    <w:tl2br w:val="nil"/>
                    <w:tr2bl w:val="nil"/>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0.0002</w:t>
                  </w:r>
                </w:p>
              </w:tc>
              <w:tc>
                <w:tcPr>
                  <w:tcW w:w="1863"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0.0005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506"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镍</w:t>
                  </w:r>
                </w:p>
              </w:tc>
              <w:tc>
                <w:tcPr>
                  <w:tcW w:w="1669" w:type="dxa"/>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0.005</w:t>
                  </w:r>
                </w:p>
              </w:tc>
              <w:tc>
                <w:tcPr>
                  <w:tcW w:w="1669" w:type="dxa"/>
                  <w:gridSpan w:val="2"/>
                  <w:tcBorders>
                    <w:tl2br w:val="nil"/>
                    <w:tr2bl w:val="nil"/>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0.010</w:t>
                  </w:r>
                </w:p>
              </w:tc>
              <w:tc>
                <w:tcPr>
                  <w:tcW w:w="1798" w:type="dxa"/>
                  <w:tcBorders>
                    <w:tl2br w:val="nil"/>
                    <w:tr2bl w:val="nil"/>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0.020</w:t>
                  </w:r>
                </w:p>
              </w:tc>
              <w:tc>
                <w:tcPr>
                  <w:tcW w:w="1863"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0.050</w:t>
                  </w:r>
                </w:p>
              </w:tc>
            </w:tr>
          </w:tbl>
          <w:p>
            <w:pPr>
              <w:pStyle w:val="5"/>
              <w:keepNext/>
              <w:keepLines/>
              <w:pageBreakBefore w:val="0"/>
              <w:widowControl w:val="0"/>
              <w:kinsoku/>
              <w:wordWrap/>
              <w:overflowPunct/>
              <w:topLinePunct w:val="0"/>
              <w:autoSpaceDE/>
              <w:autoSpaceDN/>
              <w:bidi w:val="0"/>
              <w:adjustRightInd/>
              <w:snapToGrid/>
              <w:spacing w:before="251" w:beforeLines="80" w:after="0" w:line="360" w:lineRule="auto"/>
              <w:textAlignment w:val="auto"/>
              <w:rPr>
                <w:rFonts w:hint="eastAsia"/>
                <w:color w:val="auto"/>
                <w:sz w:val="24"/>
                <w:szCs w:val="24"/>
                <w:highlight w:val="none"/>
              </w:rPr>
            </w:pPr>
            <w:r>
              <w:rPr>
                <w:rFonts w:hint="eastAsia"/>
                <w:color w:val="auto"/>
                <w:sz w:val="24"/>
                <w:szCs w:val="24"/>
                <w:highlight w:val="none"/>
                <w:lang w:val="en-US" w:eastAsia="zh-CN"/>
              </w:rPr>
              <w:t>1.2大气</w:t>
            </w:r>
            <w:r>
              <w:rPr>
                <w:rFonts w:hint="eastAsia"/>
                <w:color w:val="auto"/>
                <w:sz w:val="24"/>
                <w:szCs w:val="24"/>
                <w:highlight w:val="none"/>
              </w:rPr>
              <w:t>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32"/>
                <w:highlight w:val="none"/>
              </w:rPr>
            </w:pPr>
            <w:r>
              <w:rPr>
                <w:rFonts w:hint="eastAsia"/>
                <w:color w:val="auto"/>
                <w:sz w:val="24"/>
                <w:szCs w:val="32"/>
                <w:highlight w:val="none"/>
              </w:rPr>
              <w:t>项目所在区域大气环境功能区为二类区，环境空气执行《环境空气质量标准》（GB3095-2012）及其修改单中的二级浓度限值，具体限值见表</w:t>
            </w:r>
            <w:r>
              <w:rPr>
                <w:rFonts w:hint="eastAsia"/>
                <w:color w:val="auto"/>
                <w:sz w:val="24"/>
                <w:szCs w:val="32"/>
                <w:highlight w:val="none"/>
                <w:lang w:val="en-US" w:eastAsia="zh-CN"/>
              </w:rPr>
              <w:t>10</w:t>
            </w:r>
            <w:r>
              <w:rPr>
                <w:rFonts w:hint="eastAsia"/>
                <w:color w:val="auto"/>
                <w:sz w:val="24"/>
                <w:szCs w:val="32"/>
                <w:highlight w:val="none"/>
              </w:rPr>
              <w:t>。</w:t>
            </w:r>
          </w:p>
          <w:p>
            <w:pPr>
              <w:pStyle w:val="57"/>
              <w:keepNext w:val="0"/>
              <w:keepLines w:val="0"/>
              <w:pageBreakBefore w:val="0"/>
              <w:widowControl w:val="0"/>
              <w:kinsoku/>
              <w:wordWrap/>
              <w:overflowPunct/>
              <w:topLinePunct w:val="0"/>
              <w:autoSpaceDE/>
              <w:autoSpaceDN/>
              <w:bidi w:val="0"/>
              <w:adjustRightInd/>
              <w:snapToGrid/>
              <w:spacing w:before="251" w:beforeLines="80"/>
              <w:textAlignment w:val="auto"/>
              <w:rPr>
                <w:rFonts w:hint="eastAsia" w:ascii="Times New Roman" w:hAnsi="Times New Roman" w:eastAsia="宋体" w:cs="Times New Roman"/>
                <w:b/>
                <w:color w:val="auto"/>
                <w:highlight w:val="none"/>
              </w:rPr>
            </w:pPr>
            <w:r>
              <w:rPr>
                <w:rFonts w:hint="eastAsia" w:ascii="Times New Roman" w:hAnsi="Times New Roman" w:eastAsia="宋体" w:cs="Times New Roman"/>
                <w:b/>
                <w:color w:val="auto"/>
                <w:highlight w:val="none"/>
              </w:rPr>
              <w:t>环境空气质量标准</w:t>
            </w:r>
          </w:p>
          <w:tbl>
            <w:tblPr>
              <w:tblStyle w:val="25"/>
              <w:tblW w:w="0" w:type="auto"/>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478"/>
              <w:gridCol w:w="1478"/>
              <w:gridCol w:w="1479"/>
              <w:gridCol w:w="1479"/>
              <w:gridCol w:w="2591"/>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tblHeader/>
                <w:jc w:val="center"/>
              </w:trPr>
              <w:tc>
                <w:tcPr>
                  <w:tcW w:w="1478"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污染物名称</w:t>
                  </w:r>
                </w:p>
              </w:tc>
              <w:tc>
                <w:tcPr>
                  <w:tcW w:w="1478"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取值时间</w:t>
                  </w:r>
                </w:p>
              </w:tc>
              <w:tc>
                <w:tcPr>
                  <w:tcW w:w="1479" w:type="dxa"/>
                  <w:tcBorders>
                    <w:tl2br w:val="nil"/>
                    <w:tr2bl w:val="nil"/>
                  </w:tcBorders>
                  <w:noWrap w:val="0"/>
                  <w:vAlign w:val="center"/>
                </w:tcPr>
                <w:p>
                  <w:pPr>
                    <w:pStyle w:val="52"/>
                    <w:spacing w:line="240" w:lineRule="auto"/>
                    <w:rPr>
                      <w:rFonts w:hint="eastAsia"/>
                      <w:b w:val="0"/>
                      <w:bCs/>
                      <w:color w:val="auto"/>
                      <w:sz w:val="21"/>
                      <w:szCs w:val="21"/>
                      <w:highlight w:val="none"/>
                    </w:rPr>
                  </w:pPr>
                  <w:r>
                    <w:rPr>
                      <w:rFonts w:hint="eastAsia"/>
                      <w:b w:val="0"/>
                      <w:bCs/>
                      <w:color w:val="auto"/>
                      <w:sz w:val="21"/>
                      <w:szCs w:val="21"/>
                      <w:highlight w:val="none"/>
                    </w:rPr>
                    <w:t>单位</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浓度限值</w:t>
                  </w:r>
                </w:p>
              </w:tc>
              <w:tc>
                <w:tcPr>
                  <w:tcW w:w="2591"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标准来源</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78" w:type="dxa"/>
                  <w:vMerge w:val="restart"/>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PM</w:t>
                  </w:r>
                  <w:r>
                    <w:rPr>
                      <w:b w:val="0"/>
                      <w:bCs/>
                      <w:color w:val="auto"/>
                      <w:sz w:val="21"/>
                      <w:szCs w:val="21"/>
                      <w:highlight w:val="none"/>
                      <w:vertAlign w:val="subscript"/>
                    </w:rPr>
                    <w:t>10</w:t>
                  </w:r>
                </w:p>
              </w:tc>
              <w:tc>
                <w:tcPr>
                  <w:tcW w:w="1478"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年平均</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μg/m</w:t>
                  </w:r>
                  <w:r>
                    <w:rPr>
                      <w:b w:val="0"/>
                      <w:bCs/>
                      <w:color w:val="auto"/>
                      <w:sz w:val="21"/>
                      <w:szCs w:val="21"/>
                      <w:highlight w:val="none"/>
                      <w:vertAlign w:val="superscript"/>
                    </w:rPr>
                    <w:t>3</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70</w:t>
                  </w:r>
                </w:p>
              </w:tc>
              <w:tc>
                <w:tcPr>
                  <w:tcW w:w="2591" w:type="dxa"/>
                  <w:vMerge w:val="restart"/>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《环境空气质量标准》</w:t>
                  </w:r>
                  <w:r>
                    <w:rPr>
                      <w:rFonts w:hint="eastAsia"/>
                      <w:b w:val="0"/>
                      <w:bCs/>
                      <w:color w:val="auto"/>
                      <w:sz w:val="21"/>
                      <w:szCs w:val="21"/>
                      <w:highlight w:val="none"/>
                    </w:rPr>
                    <w:t>（</w:t>
                  </w:r>
                  <w:r>
                    <w:rPr>
                      <w:b w:val="0"/>
                      <w:bCs/>
                      <w:color w:val="auto"/>
                      <w:sz w:val="21"/>
                      <w:szCs w:val="21"/>
                      <w:highlight w:val="none"/>
                    </w:rPr>
                    <w:t>GB3095-2012</w:t>
                  </w:r>
                  <w:r>
                    <w:rPr>
                      <w:rFonts w:hint="eastAsia"/>
                      <w:b w:val="0"/>
                      <w:bCs/>
                      <w:color w:val="auto"/>
                      <w:sz w:val="21"/>
                      <w:szCs w:val="21"/>
                      <w:highlight w:val="none"/>
                    </w:rPr>
                    <w:t>）</w:t>
                  </w:r>
                  <w:r>
                    <w:rPr>
                      <w:b w:val="0"/>
                      <w:bCs/>
                      <w:color w:val="auto"/>
                      <w:sz w:val="21"/>
                      <w:szCs w:val="21"/>
                      <w:highlight w:val="none"/>
                    </w:rPr>
                    <w:t>及其修改单中的</w:t>
                  </w:r>
                  <w:r>
                    <w:rPr>
                      <w:rFonts w:hint="eastAsia"/>
                      <w:b w:val="0"/>
                      <w:bCs/>
                      <w:color w:val="auto"/>
                      <w:sz w:val="21"/>
                      <w:szCs w:val="21"/>
                      <w:highlight w:val="none"/>
                    </w:rPr>
                    <w:t>二级浓度限值</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78" w:type="dxa"/>
                  <w:vMerge w:val="continue"/>
                  <w:tcBorders>
                    <w:tl2br w:val="nil"/>
                    <w:tr2bl w:val="nil"/>
                  </w:tcBorders>
                  <w:noWrap w:val="0"/>
                  <w:vAlign w:val="center"/>
                </w:tcPr>
                <w:p>
                  <w:pPr>
                    <w:pStyle w:val="52"/>
                    <w:spacing w:line="240" w:lineRule="auto"/>
                    <w:rPr>
                      <w:b w:val="0"/>
                      <w:bCs/>
                      <w:color w:val="auto"/>
                      <w:sz w:val="21"/>
                      <w:szCs w:val="21"/>
                      <w:highlight w:val="none"/>
                    </w:rPr>
                  </w:pPr>
                </w:p>
              </w:tc>
              <w:tc>
                <w:tcPr>
                  <w:tcW w:w="1478"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24小时平均</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μg/m</w:t>
                  </w:r>
                  <w:r>
                    <w:rPr>
                      <w:b w:val="0"/>
                      <w:bCs/>
                      <w:color w:val="auto"/>
                      <w:sz w:val="21"/>
                      <w:szCs w:val="21"/>
                      <w:highlight w:val="none"/>
                      <w:vertAlign w:val="superscript"/>
                    </w:rPr>
                    <w:t>3</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150</w:t>
                  </w:r>
                </w:p>
              </w:tc>
              <w:tc>
                <w:tcPr>
                  <w:tcW w:w="2591" w:type="dxa"/>
                  <w:vMerge w:val="continue"/>
                  <w:tcBorders>
                    <w:tl2br w:val="nil"/>
                    <w:tr2bl w:val="nil"/>
                  </w:tcBorders>
                  <w:noWrap w:val="0"/>
                  <w:vAlign w:val="center"/>
                </w:tcPr>
                <w:p>
                  <w:pPr>
                    <w:pStyle w:val="52"/>
                    <w:spacing w:line="240" w:lineRule="auto"/>
                    <w:rPr>
                      <w:b w:val="0"/>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78" w:type="dxa"/>
                  <w:vMerge w:val="restart"/>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PM</w:t>
                  </w:r>
                  <w:r>
                    <w:rPr>
                      <w:b w:val="0"/>
                      <w:bCs/>
                      <w:color w:val="auto"/>
                      <w:sz w:val="21"/>
                      <w:szCs w:val="21"/>
                      <w:highlight w:val="none"/>
                      <w:vertAlign w:val="subscript"/>
                    </w:rPr>
                    <w:t>2.5</w:t>
                  </w:r>
                </w:p>
              </w:tc>
              <w:tc>
                <w:tcPr>
                  <w:tcW w:w="1478"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年平均</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μg/m</w:t>
                  </w:r>
                  <w:r>
                    <w:rPr>
                      <w:b w:val="0"/>
                      <w:bCs/>
                      <w:color w:val="auto"/>
                      <w:sz w:val="21"/>
                      <w:szCs w:val="21"/>
                      <w:highlight w:val="none"/>
                      <w:vertAlign w:val="superscript"/>
                    </w:rPr>
                    <w:t>3</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35</w:t>
                  </w:r>
                </w:p>
              </w:tc>
              <w:tc>
                <w:tcPr>
                  <w:tcW w:w="2591" w:type="dxa"/>
                  <w:vMerge w:val="continue"/>
                  <w:tcBorders>
                    <w:tl2br w:val="nil"/>
                    <w:tr2bl w:val="nil"/>
                  </w:tcBorders>
                  <w:noWrap w:val="0"/>
                  <w:vAlign w:val="center"/>
                </w:tcPr>
                <w:p>
                  <w:pPr>
                    <w:pStyle w:val="52"/>
                    <w:spacing w:line="240" w:lineRule="auto"/>
                    <w:rPr>
                      <w:b w:val="0"/>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78" w:type="dxa"/>
                  <w:vMerge w:val="continue"/>
                  <w:tcBorders>
                    <w:tl2br w:val="nil"/>
                    <w:tr2bl w:val="nil"/>
                  </w:tcBorders>
                  <w:noWrap w:val="0"/>
                  <w:vAlign w:val="center"/>
                </w:tcPr>
                <w:p>
                  <w:pPr>
                    <w:pStyle w:val="52"/>
                    <w:spacing w:line="240" w:lineRule="auto"/>
                    <w:rPr>
                      <w:b w:val="0"/>
                      <w:bCs/>
                      <w:color w:val="auto"/>
                      <w:sz w:val="21"/>
                      <w:szCs w:val="21"/>
                      <w:highlight w:val="none"/>
                    </w:rPr>
                  </w:pPr>
                </w:p>
              </w:tc>
              <w:tc>
                <w:tcPr>
                  <w:tcW w:w="1478"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24小时平均</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μg/m</w:t>
                  </w:r>
                  <w:r>
                    <w:rPr>
                      <w:b w:val="0"/>
                      <w:bCs/>
                      <w:color w:val="auto"/>
                      <w:sz w:val="21"/>
                      <w:szCs w:val="21"/>
                      <w:highlight w:val="none"/>
                      <w:vertAlign w:val="superscript"/>
                    </w:rPr>
                    <w:t>3</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75</w:t>
                  </w:r>
                </w:p>
              </w:tc>
              <w:tc>
                <w:tcPr>
                  <w:tcW w:w="2591" w:type="dxa"/>
                  <w:vMerge w:val="continue"/>
                  <w:tcBorders>
                    <w:tl2br w:val="nil"/>
                    <w:tr2bl w:val="nil"/>
                  </w:tcBorders>
                  <w:noWrap w:val="0"/>
                  <w:vAlign w:val="center"/>
                </w:tcPr>
                <w:p>
                  <w:pPr>
                    <w:pStyle w:val="52"/>
                    <w:spacing w:line="240" w:lineRule="auto"/>
                    <w:rPr>
                      <w:b w:val="0"/>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78" w:type="dxa"/>
                  <w:vMerge w:val="restart"/>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SO</w:t>
                  </w:r>
                  <w:r>
                    <w:rPr>
                      <w:b w:val="0"/>
                      <w:bCs/>
                      <w:color w:val="auto"/>
                      <w:sz w:val="21"/>
                      <w:szCs w:val="21"/>
                      <w:highlight w:val="none"/>
                      <w:vertAlign w:val="subscript"/>
                    </w:rPr>
                    <w:t>2</w:t>
                  </w:r>
                </w:p>
              </w:tc>
              <w:tc>
                <w:tcPr>
                  <w:tcW w:w="1478"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年平均</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μg/m</w:t>
                  </w:r>
                  <w:r>
                    <w:rPr>
                      <w:b w:val="0"/>
                      <w:bCs/>
                      <w:color w:val="auto"/>
                      <w:sz w:val="21"/>
                      <w:szCs w:val="21"/>
                      <w:highlight w:val="none"/>
                      <w:vertAlign w:val="superscript"/>
                    </w:rPr>
                    <w:t>3</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60</w:t>
                  </w:r>
                </w:p>
              </w:tc>
              <w:tc>
                <w:tcPr>
                  <w:tcW w:w="2591" w:type="dxa"/>
                  <w:vMerge w:val="continue"/>
                  <w:tcBorders>
                    <w:tl2br w:val="nil"/>
                    <w:tr2bl w:val="nil"/>
                  </w:tcBorders>
                  <w:noWrap w:val="0"/>
                  <w:vAlign w:val="center"/>
                </w:tcPr>
                <w:p>
                  <w:pPr>
                    <w:pStyle w:val="52"/>
                    <w:spacing w:line="240" w:lineRule="auto"/>
                    <w:rPr>
                      <w:b w:val="0"/>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78" w:type="dxa"/>
                  <w:vMerge w:val="continue"/>
                  <w:tcBorders>
                    <w:tl2br w:val="nil"/>
                    <w:tr2bl w:val="nil"/>
                  </w:tcBorders>
                  <w:noWrap w:val="0"/>
                  <w:vAlign w:val="center"/>
                </w:tcPr>
                <w:p>
                  <w:pPr>
                    <w:pStyle w:val="52"/>
                    <w:spacing w:line="240" w:lineRule="auto"/>
                    <w:rPr>
                      <w:b w:val="0"/>
                      <w:bCs/>
                      <w:color w:val="auto"/>
                      <w:sz w:val="21"/>
                      <w:szCs w:val="21"/>
                      <w:highlight w:val="none"/>
                    </w:rPr>
                  </w:pPr>
                </w:p>
              </w:tc>
              <w:tc>
                <w:tcPr>
                  <w:tcW w:w="1478"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24小时平均</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μg/m</w:t>
                  </w:r>
                  <w:r>
                    <w:rPr>
                      <w:b w:val="0"/>
                      <w:bCs/>
                      <w:color w:val="auto"/>
                      <w:sz w:val="21"/>
                      <w:szCs w:val="21"/>
                      <w:highlight w:val="none"/>
                      <w:vertAlign w:val="superscript"/>
                    </w:rPr>
                    <w:t>3</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150</w:t>
                  </w:r>
                </w:p>
              </w:tc>
              <w:tc>
                <w:tcPr>
                  <w:tcW w:w="2591" w:type="dxa"/>
                  <w:vMerge w:val="continue"/>
                  <w:tcBorders>
                    <w:tl2br w:val="nil"/>
                    <w:tr2bl w:val="nil"/>
                  </w:tcBorders>
                  <w:noWrap w:val="0"/>
                  <w:vAlign w:val="center"/>
                </w:tcPr>
                <w:p>
                  <w:pPr>
                    <w:pStyle w:val="52"/>
                    <w:spacing w:line="240" w:lineRule="auto"/>
                    <w:rPr>
                      <w:b w:val="0"/>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478" w:type="dxa"/>
                  <w:vMerge w:val="continue"/>
                  <w:tcBorders>
                    <w:tl2br w:val="nil"/>
                    <w:tr2bl w:val="nil"/>
                  </w:tcBorders>
                  <w:noWrap w:val="0"/>
                  <w:vAlign w:val="center"/>
                </w:tcPr>
                <w:p>
                  <w:pPr>
                    <w:pStyle w:val="52"/>
                    <w:spacing w:line="240" w:lineRule="auto"/>
                    <w:rPr>
                      <w:b w:val="0"/>
                      <w:bCs/>
                      <w:color w:val="auto"/>
                      <w:sz w:val="21"/>
                      <w:szCs w:val="21"/>
                      <w:highlight w:val="none"/>
                    </w:rPr>
                  </w:pPr>
                </w:p>
              </w:tc>
              <w:tc>
                <w:tcPr>
                  <w:tcW w:w="1478"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1小时平均</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μg/m</w:t>
                  </w:r>
                  <w:r>
                    <w:rPr>
                      <w:b w:val="0"/>
                      <w:bCs/>
                      <w:color w:val="auto"/>
                      <w:sz w:val="21"/>
                      <w:szCs w:val="21"/>
                      <w:highlight w:val="none"/>
                      <w:vertAlign w:val="superscript"/>
                    </w:rPr>
                    <w:t>3</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500</w:t>
                  </w:r>
                </w:p>
              </w:tc>
              <w:tc>
                <w:tcPr>
                  <w:tcW w:w="2591" w:type="dxa"/>
                  <w:vMerge w:val="continue"/>
                  <w:tcBorders>
                    <w:tl2br w:val="nil"/>
                    <w:tr2bl w:val="nil"/>
                  </w:tcBorders>
                  <w:noWrap w:val="0"/>
                  <w:vAlign w:val="center"/>
                </w:tcPr>
                <w:p>
                  <w:pPr>
                    <w:pStyle w:val="52"/>
                    <w:spacing w:line="240" w:lineRule="auto"/>
                    <w:rPr>
                      <w:b w:val="0"/>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78" w:type="dxa"/>
                  <w:vMerge w:val="restart"/>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NO</w:t>
                  </w:r>
                  <w:r>
                    <w:rPr>
                      <w:b w:val="0"/>
                      <w:bCs/>
                      <w:color w:val="auto"/>
                      <w:sz w:val="21"/>
                      <w:szCs w:val="21"/>
                      <w:highlight w:val="none"/>
                      <w:vertAlign w:val="subscript"/>
                    </w:rPr>
                    <w:t>2</w:t>
                  </w:r>
                </w:p>
              </w:tc>
              <w:tc>
                <w:tcPr>
                  <w:tcW w:w="1478"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年平均</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μg/m</w:t>
                  </w:r>
                  <w:r>
                    <w:rPr>
                      <w:b w:val="0"/>
                      <w:bCs/>
                      <w:color w:val="auto"/>
                      <w:sz w:val="21"/>
                      <w:szCs w:val="21"/>
                      <w:highlight w:val="none"/>
                      <w:vertAlign w:val="superscript"/>
                    </w:rPr>
                    <w:t>3</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40</w:t>
                  </w:r>
                </w:p>
              </w:tc>
              <w:tc>
                <w:tcPr>
                  <w:tcW w:w="2591" w:type="dxa"/>
                  <w:vMerge w:val="continue"/>
                  <w:tcBorders>
                    <w:tl2br w:val="nil"/>
                    <w:tr2bl w:val="nil"/>
                  </w:tcBorders>
                  <w:noWrap w:val="0"/>
                  <w:vAlign w:val="center"/>
                </w:tcPr>
                <w:p>
                  <w:pPr>
                    <w:pStyle w:val="52"/>
                    <w:spacing w:line="240" w:lineRule="auto"/>
                    <w:rPr>
                      <w:b w:val="0"/>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78" w:type="dxa"/>
                  <w:vMerge w:val="continue"/>
                  <w:tcBorders>
                    <w:tl2br w:val="nil"/>
                    <w:tr2bl w:val="nil"/>
                  </w:tcBorders>
                  <w:noWrap w:val="0"/>
                  <w:vAlign w:val="center"/>
                </w:tcPr>
                <w:p>
                  <w:pPr>
                    <w:pStyle w:val="52"/>
                    <w:spacing w:line="240" w:lineRule="auto"/>
                    <w:rPr>
                      <w:b w:val="0"/>
                      <w:bCs/>
                      <w:color w:val="auto"/>
                      <w:sz w:val="21"/>
                      <w:szCs w:val="21"/>
                      <w:highlight w:val="none"/>
                    </w:rPr>
                  </w:pPr>
                </w:p>
              </w:tc>
              <w:tc>
                <w:tcPr>
                  <w:tcW w:w="1478"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24小时平均</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μg/m</w:t>
                  </w:r>
                  <w:r>
                    <w:rPr>
                      <w:b w:val="0"/>
                      <w:bCs/>
                      <w:color w:val="auto"/>
                      <w:sz w:val="21"/>
                      <w:szCs w:val="21"/>
                      <w:highlight w:val="none"/>
                      <w:vertAlign w:val="superscript"/>
                    </w:rPr>
                    <w:t>3</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80</w:t>
                  </w:r>
                </w:p>
              </w:tc>
              <w:tc>
                <w:tcPr>
                  <w:tcW w:w="2591" w:type="dxa"/>
                  <w:vMerge w:val="continue"/>
                  <w:tcBorders>
                    <w:tl2br w:val="nil"/>
                    <w:tr2bl w:val="nil"/>
                  </w:tcBorders>
                  <w:noWrap w:val="0"/>
                  <w:vAlign w:val="center"/>
                </w:tcPr>
                <w:p>
                  <w:pPr>
                    <w:pStyle w:val="52"/>
                    <w:spacing w:line="240" w:lineRule="auto"/>
                    <w:rPr>
                      <w:b w:val="0"/>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78" w:type="dxa"/>
                  <w:vMerge w:val="continue"/>
                  <w:tcBorders>
                    <w:tl2br w:val="nil"/>
                    <w:tr2bl w:val="nil"/>
                  </w:tcBorders>
                  <w:noWrap w:val="0"/>
                  <w:vAlign w:val="center"/>
                </w:tcPr>
                <w:p>
                  <w:pPr>
                    <w:pStyle w:val="52"/>
                    <w:spacing w:line="240" w:lineRule="auto"/>
                    <w:rPr>
                      <w:b w:val="0"/>
                      <w:bCs/>
                      <w:color w:val="auto"/>
                      <w:sz w:val="21"/>
                      <w:szCs w:val="21"/>
                      <w:highlight w:val="none"/>
                    </w:rPr>
                  </w:pPr>
                </w:p>
              </w:tc>
              <w:tc>
                <w:tcPr>
                  <w:tcW w:w="1478"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1小时平均</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μg/m</w:t>
                  </w:r>
                  <w:r>
                    <w:rPr>
                      <w:b w:val="0"/>
                      <w:bCs/>
                      <w:color w:val="auto"/>
                      <w:sz w:val="21"/>
                      <w:szCs w:val="21"/>
                      <w:highlight w:val="none"/>
                      <w:vertAlign w:val="superscript"/>
                    </w:rPr>
                    <w:t>3</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200</w:t>
                  </w:r>
                </w:p>
              </w:tc>
              <w:tc>
                <w:tcPr>
                  <w:tcW w:w="2591" w:type="dxa"/>
                  <w:vMerge w:val="continue"/>
                  <w:tcBorders>
                    <w:tl2br w:val="nil"/>
                    <w:tr2bl w:val="nil"/>
                  </w:tcBorders>
                  <w:noWrap w:val="0"/>
                  <w:vAlign w:val="center"/>
                </w:tcPr>
                <w:p>
                  <w:pPr>
                    <w:pStyle w:val="52"/>
                    <w:spacing w:line="240" w:lineRule="auto"/>
                    <w:rPr>
                      <w:b w:val="0"/>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78" w:type="dxa"/>
                  <w:vMerge w:val="restart"/>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lang w:bidi="ar"/>
                    </w:rPr>
                    <w:t>CO</w:t>
                  </w:r>
                </w:p>
              </w:tc>
              <w:tc>
                <w:tcPr>
                  <w:tcW w:w="1478"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24小时平均</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rFonts w:hint="eastAsia"/>
                      <w:b w:val="0"/>
                      <w:bCs/>
                      <w:color w:val="auto"/>
                      <w:sz w:val="21"/>
                      <w:szCs w:val="21"/>
                      <w:highlight w:val="none"/>
                    </w:rPr>
                    <w:t>m</w:t>
                  </w:r>
                  <w:r>
                    <w:rPr>
                      <w:b w:val="0"/>
                      <w:bCs/>
                      <w:color w:val="auto"/>
                      <w:sz w:val="21"/>
                      <w:szCs w:val="21"/>
                      <w:highlight w:val="none"/>
                    </w:rPr>
                    <w:t>g/m</w:t>
                  </w:r>
                  <w:r>
                    <w:rPr>
                      <w:b w:val="0"/>
                      <w:bCs/>
                      <w:color w:val="auto"/>
                      <w:sz w:val="21"/>
                      <w:szCs w:val="21"/>
                      <w:highlight w:val="none"/>
                      <w:vertAlign w:val="superscript"/>
                    </w:rPr>
                    <w:t>3</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lang w:bidi="ar"/>
                    </w:rPr>
                    <w:t>4</w:t>
                  </w:r>
                </w:p>
              </w:tc>
              <w:tc>
                <w:tcPr>
                  <w:tcW w:w="2591" w:type="dxa"/>
                  <w:vMerge w:val="continue"/>
                  <w:tcBorders>
                    <w:tl2br w:val="nil"/>
                    <w:tr2bl w:val="nil"/>
                  </w:tcBorders>
                  <w:noWrap w:val="0"/>
                  <w:vAlign w:val="center"/>
                </w:tcPr>
                <w:p>
                  <w:pPr>
                    <w:pStyle w:val="52"/>
                    <w:spacing w:line="240" w:lineRule="auto"/>
                    <w:rPr>
                      <w:b w:val="0"/>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78" w:type="dxa"/>
                  <w:vMerge w:val="continue"/>
                  <w:tcBorders>
                    <w:tl2br w:val="nil"/>
                    <w:tr2bl w:val="nil"/>
                  </w:tcBorders>
                  <w:noWrap w:val="0"/>
                  <w:vAlign w:val="center"/>
                </w:tcPr>
                <w:p>
                  <w:pPr>
                    <w:pStyle w:val="52"/>
                    <w:spacing w:line="240" w:lineRule="auto"/>
                    <w:rPr>
                      <w:b w:val="0"/>
                      <w:bCs/>
                      <w:color w:val="auto"/>
                      <w:sz w:val="21"/>
                      <w:szCs w:val="21"/>
                      <w:highlight w:val="none"/>
                    </w:rPr>
                  </w:pPr>
                </w:p>
              </w:tc>
              <w:tc>
                <w:tcPr>
                  <w:tcW w:w="1478"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lang w:bidi="ar"/>
                    </w:rPr>
                    <w:t>1小时平均</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rFonts w:hint="eastAsia"/>
                      <w:b w:val="0"/>
                      <w:bCs/>
                      <w:color w:val="auto"/>
                      <w:sz w:val="21"/>
                      <w:szCs w:val="21"/>
                      <w:highlight w:val="none"/>
                    </w:rPr>
                    <w:t>m</w:t>
                  </w:r>
                  <w:r>
                    <w:rPr>
                      <w:b w:val="0"/>
                      <w:bCs/>
                      <w:color w:val="auto"/>
                      <w:sz w:val="21"/>
                      <w:szCs w:val="21"/>
                      <w:highlight w:val="none"/>
                    </w:rPr>
                    <w:t>g/m</w:t>
                  </w:r>
                  <w:r>
                    <w:rPr>
                      <w:b w:val="0"/>
                      <w:bCs/>
                      <w:color w:val="auto"/>
                      <w:sz w:val="21"/>
                      <w:szCs w:val="21"/>
                      <w:highlight w:val="none"/>
                      <w:vertAlign w:val="superscript"/>
                    </w:rPr>
                    <w:t>3</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lang w:bidi="ar"/>
                    </w:rPr>
                    <w:t>10</w:t>
                  </w:r>
                </w:p>
              </w:tc>
              <w:tc>
                <w:tcPr>
                  <w:tcW w:w="2591" w:type="dxa"/>
                  <w:vMerge w:val="continue"/>
                  <w:tcBorders>
                    <w:tl2br w:val="nil"/>
                    <w:tr2bl w:val="nil"/>
                  </w:tcBorders>
                  <w:noWrap w:val="0"/>
                  <w:vAlign w:val="center"/>
                </w:tcPr>
                <w:p>
                  <w:pPr>
                    <w:pStyle w:val="52"/>
                    <w:spacing w:line="240" w:lineRule="auto"/>
                    <w:rPr>
                      <w:b w:val="0"/>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78" w:type="dxa"/>
                  <w:vMerge w:val="restart"/>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lang w:bidi="ar"/>
                    </w:rPr>
                    <w:t>O</w:t>
                  </w:r>
                  <w:r>
                    <w:rPr>
                      <w:b w:val="0"/>
                      <w:bCs/>
                      <w:color w:val="auto"/>
                      <w:sz w:val="21"/>
                      <w:szCs w:val="21"/>
                      <w:highlight w:val="none"/>
                      <w:vertAlign w:val="subscript"/>
                    </w:rPr>
                    <w:t>3</w:t>
                  </w:r>
                </w:p>
              </w:tc>
              <w:tc>
                <w:tcPr>
                  <w:tcW w:w="1478"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lang w:bidi="ar"/>
                    </w:rPr>
                    <w:t>8小时平均</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μg/m</w:t>
                  </w:r>
                  <w:r>
                    <w:rPr>
                      <w:b w:val="0"/>
                      <w:bCs/>
                      <w:color w:val="auto"/>
                      <w:sz w:val="21"/>
                      <w:szCs w:val="21"/>
                      <w:highlight w:val="none"/>
                      <w:vertAlign w:val="superscript"/>
                    </w:rPr>
                    <w:t>3</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lang w:bidi="ar"/>
                    </w:rPr>
                    <w:t>160</w:t>
                  </w:r>
                </w:p>
              </w:tc>
              <w:tc>
                <w:tcPr>
                  <w:tcW w:w="2591" w:type="dxa"/>
                  <w:vMerge w:val="continue"/>
                  <w:tcBorders>
                    <w:tl2br w:val="nil"/>
                    <w:tr2bl w:val="nil"/>
                  </w:tcBorders>
                  <w:noWrap w:val="0"/>
                  <w:vAlign w:val="center"/>
                </w:tcPr>
                <w:p>
                  <w:pPr>
                    <w:pStyle w:val="52"/>
                    <w:spacing w:line="240" w:lineRule="auto"/>
                    <w:rPr>
                      <w:b w:val="0"/>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78" w:type="dxa"/>
                  <w:vMerge w:val="continue"/>
                  <w:tcBorders>
                    <w:tl2br w:val="nil"/>
                    <w:tr2bl w:val="nil"/>
                  </w:tcBorders>
                  <w:noWrap w:val="0"/>
                  <w:vAlign w:val="center"/>
                </w:tcPr>
                <w:p>
                  <w:pPr>
                    <w:pStyle w:val="52"/>
                    <w:spacing w:line="240" w:lineRule="auto"/>
                    <w:rPr>
                      <w:b w:val="0"/>
                      <w:bCs/>
                      <w:color w:val="auto"/>
                      <w:sz w:val="21"/>
                      <w:szCs w:val="21"/>
                      <w:highlight w:val="none"/>
                    </w:rPr>
                  </w:pPr>
                </w:p>
              </w:tc>
              <w:tc>
                <w:tcPr>
                  <w:tcW w:w="1478"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lang w:bidi="ar"/>
                    </w:rPr>
                    <w:t>1小时平均</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μg/m</w:t>
                  </w:r>
                  <w:r>
                    <w:rPr>
                      <w:b w:val="0"/>
                      <w:bCs/>
                      <w:color w:val="auto"/>
                      <w:sz w:val="21"/>
                      <w:szCs w:val="21"/>
                      <w:highlight w:val="none"/>
                      <w:vertAlign w:val="superscript"/>
                    </w:rPr>
                    <w:t>3</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lang w:bidi="ar"/>
                    </w:rPr>
                    <w:t>200</w:t>
                  </w:r>
                </w:p>
              </w:tc>
              <w:tc>
                <w:tcPr>
                  <w:tcW w:w="2591" w:type="dxa"/>
                  <w:vMerge w:val="continue"/>
                  <w:tcBorders>
                    <w:tl2br w:val="nil"/>
                    <w:tr2bl w:val="nil"/>
                  </w:tcBorders>
                  <w:noWrap w:val="0"/>
                  <w:vAlign w:val="center"/>
                </w:tcPr>
                <w:p>
                  <w:pPr>
                    <w:pStyle w:val="52"/>
                    <w:spacing w:line="240" w:lineRule="auto"/>
                    <w:rPr>
                      <w:b w:val="0"/>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78" w:type="dxa"/>
                  <w:vMerge w:val="restart"/>
                  <w:tcBorders>
                    <w:tl2br w:val="nil"/>
                    <w:tr2bl w:val="nil"/>
                  </w:tcBorders>
                  <w:noWrap w:val="0"/>
                  <w:vAlign w:val="center"/>
                </w:tcPr>
                <w:p>
                  <w:pPr>
                    <w:pStyle w:val="52"/>
                    <w:spacing w:line="240" w:lineRule="auto"/>
                    <w:rPr>
                      <w:b w:val="0"/>
                      <w:bCs/>
                      <w:color w:val="auto"/>
                      <w:sz w:val="21"/>
                      <w:szCs w:val="21"/>
                      <w:highlight w:val="none"/>
                    </w:rPr>
                  </w:pPr>
                  <w:r>
                    <w:rPr>
                      <w:rFonts w:hint="eastAsia"/>
                      <w:b w:val="0"/>
                      <w:bCs/>
                      <w:color w:val="auto"/>
                      <w:sz w:val="21"/>
                      <w:szCs w:val="21"/>
                      <w:highlight w:val="none"/>
                    </w:rPr>
                    <w:t>TSP</w:t>
                  </w:r>
                </w:p>
              </w:tc>
              <w:tc>
                <w:tcPr>
                  <w:tcW w:w="1478" w:type="dxa"/>
                  <w:tcBorders>
                    <w:tl2br w:val="nil"/>
                    <w:tr2bl w:val="nil"/>
                  </w:tcBorders>
                  <w:noWrap w:val="0"/>
                  <w:vAlign w:val="center"/>
                </w:tcPr>
                <w:p>
                  <w:pPr>
                    <w:pStyle w:val="52"/>
                    <w:spacing w:line="240" w:lineRule="auto"/>
                    <w:rPr>
                      <w:b w:val="0"/>
                      <w:bCs/>
                      <w:color w:val="auto"/>
                      <w:sz w:val="21"/>
                      <w:szCs w:val="21"/>
                      <w:highlight w:val="none"/>
                      <w:lang w:bidi="ar"/>
                    </w:rPr>
                  </w:pPr>
                  <w:r>
                    <w:rPr>
                      <w:b w:val="0"/>
                      <w:bCs/>
                      <w:color w:val="auto"/>
                      <w:sz w:val="21"/>
                      <w:szCs w:val="21"/>
                      <w:highlight w:val="none"/>
                    </w:rPr>
                    <w:t>年平均</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μg/m</w:t>
                  </w:r>
                  <w:r>
                    <w:rPr>
                      <w:b w:val="0"/>
                      <w:bCs/>
                      <w:color w:val="auto"/>
                      <w:sz w:val="21"/>
                      <w:szCs w:val="21"/>
                      <w:highlight w:val="none"/>
                      <w:vertAlign w:val="superscript"/>
                    </w:rPr>
                    <w:t>3</w:t>
                  </w:r>
                </w:p>
              </w:tc>
              <w:tc>
                <w:tcPr>
                  <w:tcW w:w="1479" w:type="dxa"/>
                  <w:tcBorders>
                    <w:tl2br w:val="nil"/>
                    <w:tr2bl w:val="nil"/>
                  </w:tcBorders>
                  <w:noWrap w:val="0"/>
                  <w:vAlign w:val="center"/>
                </w:tcPr>
                <w:p>
                  <w:pPr>
                    <w:pStyle w:val="52"/>
                    <w:spacing w:line="240" w:lineRule="auto"/>
                    <w:rPr>
                      <w:b w:val="0"/>
                      <w:bCs/>
                      <w:color w:val="auto"/>
                      <w:sz w:val="21"/>
                      <w:szCs w:val="21"/>
                      <w:highlight w:val="none"/>
                      <w:lang w:bidi="ar"/>
                    </w:rPr>
                  </w:pPr>
                  <w:r>
                    <w:rPr>
                      <w:rFonts w:hint="eastAsia"/>
                      <w:b w:val="0"/>
                      <w:bCs/>
                      <w:color w:val="auto"/>
                      <w:sz w:val="21"/>
                      <w:szCs w:val="21"/>
                      <w:highlight w:val="none"/>
                      <w:lang w:bidi="ar"/>
                    </w:rPr>
                    <w:t>200</w:t>
                  </w:r>
                </w:p>
              </w:tc>
              <w:tc>
                <w:tcPr>
                  <w:tcW w:w="2591" w:type="dxa"/>
                  <w:vMerge w:val="continue"/>
                  <w:tcBorders>
                    <w:tl2br w:val="nil"/>
                    <w:tr2bl w:val="nil"/>
                  </w:tcBorders>
                  <w:noWrap w:val="0"/>
                  <w:vAlign w:val="center"/>
                </w:tcPr>
                <w:p>
                  <w:pPr>
                    <w:pStyle w:val="52"/>
                    <w:spacing w:line="240" w:lineRule="auto"/>
                    <w:rPr>
                      <w:b w:val="0"/>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478" w:type="dxa"/>
                  <w:vMerge w:val="continue"/>
                  <w:tcBorders>
                    <w:tl2br w:val="nil"/>
                    <w:tr2bl w:val="nil"/>
                  </w:tcBorders>
                  <w:noWrap w:val="0"/>
                  <w:vAlign w:val="center"/>
                </w:tcPr>
                <w:p>
                  <w:pPr>
                    <w:pStyle w:val="52"/>
                    <w:spacing w:line="240" w:lineRule="auto"/>
                    <w:rPr>
                      <w:b w:val="0"/>
                      <w:bCs/>
                      <w:color w:val="auto"/>
                      <w:sz w:val="21"/>
                      <w:szCs w:val="21"/>
                      <w:highlight w:val="none"/>
                    </w:rPr>
                  </w:pPr>
                </w:p>
              </w:tc>
              <w:tc>
                <w:tcPr>
                  <w:tcW w:w="1478" w:type="dxa"/>
                  <w:tcBorders>
                    <w:tl2br w:val="nil"/>
                    <w:tr2bl w:val="nil"/>
                  </w:tcBorders>
                  <w:noWrap w:val="0"/>
                  <w:vAlign w:val="center"/>
                </w:tcPr>
                <w:p>
                  <w:pPr>
                    <w:pStyle w:val="52"/>
                    <w:spacing w:line="240" w:lineRule="auto"/>
                    <w:rPr>
                      <w:b w:val="0"/>
                      <w:bCs/>
                      <w:color w:val="auto"/>
                      <w:sz w:val="21"/>
                      <w:szCs w:val="21"/>
                      <w:highlight w:val="none"/>
                      <w:lang w:bidi="ar"/>
                    </w:rPr>
                  </w:pPr>
                  <w:r>
                    <w:rPr>
                      <w:b w:val="0"/>
                      <w:bCs/>
                      <w:color w:val="auto"/>
                      <w:sz w:val="21"/>
                      <w:szCs w:val="21"/>
                      <w:highlight w:val="none"/>
                    </w:rPr>
                    <w:t>24小时平均</w:t>
                  </w:r>
                </w:p>
              </w:tc>
              <w:tc>
                <w:tcPr>
                  <w:tcW w:w="1479" w:type="dxa"/>
                  <w:tcBorders>
                    <w:tl2br w:val="nil"/>
                    <w:tr2bl w:val="nil"/>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μg/m</w:t>
                  </w:r>
                  <w:r>
                    <w:rPr>
                      <w:b w:val="0"/>
                      <w:bCs/>
                      <w:color w:val="auto"/>
                      <w:sz w:val="21"/>
                      <w:szCs w:val="21"/>
                      <w:highlight w:val="none"/>
                      <w:vertAlign w:val="superscript"/>
                    </w:rPr>
                    <w:t>3</w:t>
                  </w:r>
                </w:p>
              </w:tc>
              <w:tc>
                <w:tcPr>
                  <w:tcW w:w="1479" w:type="dxa"/>
                  <w:tcBorders>
                    <w:tl2br w:val="nil"/>
                    <w:tr2bl w:val="nil"/>
                  </w:tcBorders>
                  <w:noWrap w:val="0"/>
                  <w:vAlign w:val="center"/>
                </w:tcPr>
                <w:p>
                  <w:pPr>
                    <w:pStyle w:val="52"/>
                    <w:spacing w:line="240" w:lineRule="auto"/>
                    <w:rPr>
                      <w:b w:val="0"/>
                      <w:bCs/>
                      <w:color w:val="auto"/>
                      <w:sz w:val="21"/>
                      <w:szCs w:val="21"/>
                      <w:highlight w:val="none"/>
                      <w:lang w:bidi="ar"/>
                    </w:rPr>
                  </w:pPr>
                  <w:r>
                    <w:rPr>
                      <w:rFonts w:hint="eastAsia"/>
                      <w:b w:val="0"/>
                      <w:bCs/>
                      <w:color w:val="auto"/>
                      <w:sz w:val="21"/>
                      <w:szCs w:val="21"/>
                      <w:highlight w:val="none"/>
                      <w:lang w:bidi="ar"/>
                    </w:rPr>
                    <w:t>300</w:t>
                  </w:r>
                </w:p>
              </w:tc>
              <w:tc>
                <w:tcPr>
                  <w:tcW w:w="2591" w:type="dxa"/>
                  <w:vMerge w:val="continue"/>
                  <w:tcBorders>
                    <w:tl2br w:val="nil"/>
                    <w:tr2bl w:val="nil"/>
                  </w:tcBorders>
                  <w:noWrap w:val="0"/>
                  <w:vAlign w:val="center"/>
                </w:tcPr>
                <w:p>
                  <w:pPr>
                    <w:pStyle w:val="52"/>
                    <w:spacing w:line="240" w:lineRule="auto"/>
                    <w:rPr>
                      <w:b w:val="0"/>
                      <w:bCs/>
                      <w:color w:val="auto"/>
                      <w:sz w:val="21"/>
                      <w:szCs w:val="21"/>
                      <w:highlight w:val="none"/>
                    </w:rPr>
                  </w:pPr>
                </w:p>
              </w:tc>
            </w:tr>
          </w:tbl>
          <w:p>
            <w:pPr>
              <w:pStyle w:val="5"/>
              <w:keepNext/>
              <w:keepLines/>
              <w:pageBreakBefore w:val="0"/>
              <w:widowControl w:val="0"/>
              <w:kinsoku/>
              <w:wordWrap/>
              <w:overflowPunct/>
              <w:topLinePunct w:val="0"/>
              <w:autoSpaceDE/>
              <w:autoSpaceDN/>
              <w:bidi w:val="0"/>
              <w:adjustRightInd/>
              <w:snapToGrid/>
              <w:spacing w:before="251" w:beforeLines="80" w:after="0" w:line="360" w:lineRule="auto"/>
              <w:textAlignment w:val="auto"/>
              <w:rPr>
                <w:rFonts w:hint="eastAsia" w:ascii="Times New Roman" w:hAnsi="Times New Roman" w:eastAsia="宋体" w:cs="Times New Roman"/>
                <w:b/>
                <w:bCs/>
                <w:color w:val="auto"/>
                <w:sz w:val="24"/>
                <w:szCs w:val="24"/>
                <w:highlight w:val="none"/>
                <w:lang w:val="en-US" w:eastAsia="zh-CN"/>
              </w:rPr>
            </w:pPr>
            <w:r>
              <w:rPr>
                <w:rFonts w:hint="eastAsia" w:ascii="Times New Roman" w:hAnsi="Times New Roman" w:eastAsia="宋体" w:cs="Times New Roman"/>
                <w:b/>
                <w:bCs/>
                <w:color w:val="auto"/>
                <w:sz w:val="24"/>
                <w:szCs w:val="24"/>
                <w:highlight w:val="none"/>
                <w:lang w:val="en-US" w:eastAsia="zh-CN"/>
              </w:rPr>
              <w:t>1.3声环境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本项目位于</w:t>
            </w:r>
            <w:r>
              <w:rPr>
                <w:rFonts w:hint="eastAsia" w:ascii="Times New Roman" w:hAnsi="Times New Roman" w:eastAsia="宋体" w:cs="Times New Roman"/>
                <w:color w:val="auto"/>
                <w:sz w:val="24"/>
                <w:szCs w:val="32"/>
                <w:highlight w:val="none"/>
                <w:lang w:val="en-US" w:eastAsia="zh-CN"/>
              </w:rPr>
              <w:t>山前街道百胜鸡母岩</w:t>
            </w:r>
            <w:r>
              <w:rPr>
                <w:rFonts w:hint="eastAsia" w:ascii="Times New Roman" w:hAnsi="Times New Roman" w:eastAsia="宋体" w:cs="Times New Roman"/>
                <w:color w:val="auto"/>
                <w:sz w:val="24"/>
                <w:szCs w:val="32"/>
                <w:highlight w:val="none"/>
              </w:rPr>
              <w:t>，</w:t>
            </w:r>
            <w:r>
              <w:rPr>
                <w:rFonts w:hint="eastAsia" w:ascii="Times New Roman" w:hAnsi="Times New Roman" w:eastAsia="宋体" w:cs="Times New Roman"/>
                <w:color w:val="auto"/>
                <w:sz w:val="24"/>
                <w:szCs w:val="32"/>
                <w:highlight w:val="none"/>
                <w:lang w:val="en-US" w:eastAsia="zh-CN"/>
              </w:rPr>
              <w:t>北面毗邻南江滨大道</w:t>
            </w:r>
            <w:r>
              <w:rPr>
                <w:rFonts w:hint="eastAsia" w:ascii="Times New Roman" w:hAnsi="Times New Roman" w:eastAsia="宋体" w:cs="Times New Roman"/>
                <w:color w:val="auto"/>
                <w:sz w:val="24"/>
                <w:szCs w:val="32"/>
                <w:highlight w:val="none"/>
              </w:rPr>
              <w:t>，</w:t>
            </w:r>
            <w:r>
              <w:rPr>
                <w:rFonts w:hint="eastAsia" w:ascii="Times New Roman" w:hAnsi="Times New Roman" w:eastAsia="宋体" w:cs="Times New Roman"/>
                <w:color w:val="auto"/>
                <w:sz w:val="24"/>
                <w:szCs w:val="32"/>
                <w:highlight w:val="none"/>
                <w:lang w:val="en-US" w:eastAsia="zh-CN"/>
              </w:rPr>
              <w:t>根据福鼎市声环境功能区划，北侧厂界执行</w:t>
            </w:r>
            <w:r>
              <w:rPr>
                <w:rFonts w:hint="eastAsia" w:ascii="Times New Roman" w:hAnsi="Times New Roman" w:eastAsia="宋体" w:cs="Times New Roman"/>
                <w:color w:val="auto"/>
                <w:sz w:val="24"/>
                <w:szCs w:val="32"/>
                <w:highlight w:val="none"/>
              </w:rPr>
              <w:t>声环境质量执行《声环境质量标准》（GB3096-2008）中的</w:t>
            </w:r>
            <w:r>
              <w:rPr>
                <w:rFonts w:hint="eastAsia" w:ascii="Times New Roman" w:hAnsi="Times New Roman" w:eastAsia="宋体" w:cs="Times New Roman"/>
                <w:color w:val="auto"/>
                <w:sz w:val="24"/>
                <w:szCs w:val="32"/>
                <w:highlight w:val="none"/>
                <w:lang w:val="en-US" w:eastAsia="zh-CN"/>
              </w:rPr>
              <w:t>4a类标准</w:t>
            </w:r>
            <w:r>
              <w:rPr>
                <w:rFonts w:hint="eastAsia" w:ascii="Times New Roman" w:hAnsi="Times New Roman" w:eastAsia="宋体" w:cs="Times New Roman"/>
                <w:color w:val="auto"/>
                <w:sz w:val="24"/>
                <w:szCs w:val="32"/>
                <w:highlight w:val="none"/>
                <w:lang w:eastAsia="zh-CN"/>
              </w:rPr>
              <w:t>，</w:t>
            </w:r>
            <w:r>
              <w:rPr>
                <w:rFonts w:hint="eastAsia" w:ascii="Times New Roman" w:hAnsi="Times New Roman" w:eastAsia="宋体" w:cs="Times New Roman"/>
                <w:color w:val="auto"/>
                <w:sz w:val="24"/>
                <w:szCs w:val="32"/>
                <w:highlight w:val="none"/>
                <w:lang w:val="en-US" w:eastAsia="zh-CN"/>
              </w:rPr>
              <w:t>其他厂界执行2</w:t>
            </w:r>
            <w:r>
              <w:rPr>
                <w:rFonts w:hint="eastAsia" w:ascii="Times New Roman" w:hAnsi="Times New Roman" w:eastAsia="宋体" w:cs="Times New Roman"/>
                <w:color w:val="auto"/>
                <w:sz w:val="24"/>
                <w:szCs w:val="32"/>
                <w:highlight w:val="none"/>
              </w:rPr>
              <w:t>类标准</w:t>
            </w:r>
            <w:r>
              <w:rPr>
                <w:rFonts w:hint="eastAsia" w:ascii="Times New Roman" w:hAnsi="Times New Roman" w:eastAsia="宋体" w:cs="Times New Roman"/>
                <w:color w:val="auto"/>
                <w:sz w:val="24"/>
                <w:szCs w:val="32"/>
                <w:highlight w:val="none"/>
                <w:lang w:eastAsia="zh-CN"/>
              </w:rPr>
              <w:t>，</w:t>
            </w:r>
            <w:r>
              <w:rPr>
                <w:rFonts w:hint="eastAsia" w:ascii="Times New Roman" w:hAnsi="Times New Roman" w:eastAsia="宋体" w:cs="Times New Roman"/>
                <w:color w:val="auto"/>
                <w:sz w:val="24"/>
                <w:szCs w:val="32"/>
                <w:highlight w:val="none"/>
              </w:rPr>
              <w:t>具体见表</w:t>
            </w:r>
            <w:r>
              <w:rPr>
                <w:rFonts w:hint="eastAsia" w:ascii="Times New Roman" w:hAnsi="Times New Roman" w:eastAsia="宋体" w:cs="Times New Roman"/>
                <w:color w:val="auto"/>
                <w:sz w:val="24"/>
                <w:szCs w:val="32"/>
                <w:highlight w:val="none"/>
                <w:lang w:val="en-US" w:eastAsia="zh-CN"/>
              </w:rPr>
              <w:t>11</w:t>
            </w:r>
            <w:r>
              <w:rPr>
                <w:rFonts w:hint="eastAsia" w:ascii="Times New Roman" w:hAnsi="Times New Roman" w:eastAsia="宋体" w:cs="Times New Roman"/>
                <w:color w:val="auto"/>
                <w:sz w:val="24"/>
                <w:szCs w:val="32"/>
                <w:highlight w:val="none"/>
              </w:rPr>
              <w:t>。</w:t>
            </w:r>
          </w:p>
          <w:p>
            <w:pPr>
              <w:pStyle w:val="57"/>
              <w:rPr>
                <w:rFonts w:hint="eastAsia" w:ascii="Times New Roman" w:hAnsi="Times New Roman" w:eastAsia="宋体" w:cs="Times New Roman"/>
                <w:b/>
                <w:color w:val="auto"/>
                <w:highlight w:val="none"/>
              </w:rPr>
            </w:pPr>
            <w:r>
              <w:rPr>
                <w:rFonts w:ascii="Times New Roman" w:hAnsi="Times New Roman" w:eastAsia="宋体" w:cs="Times New Roman"/>
                <w:b/>
                <w:color w:val="auto"/>
                <w:highlight w:val="none"/>
              </w:rPr>
              <w:t xml:space="preserve">声环境质量标准 </w:t>
            </w:r>
            <w:r>
              <w:rPr>
                <w:rFonts w:hint="eastAsia" w:ascii="Times New Roman" w:hAnsi="Times New Roman" w:eastAsia="宋体" w:cs="Times New Roman"/>
                <w:b/>
                <w:color w:val="auto"/>
                <w:highlight w:val="none"/>
              </w:rPr>
              <w:t xml:space="preserve">     </w:t>
            </w:r>
            <w:r>
              <w:rPr>
                <w:rFonts w:ascii="Times New Roman" w:hAnsi="Times New Roman" w:eastAsia="宋体" w:cs="Times New Roman"/>
                <w:b/>
                <w:color w:val="auto"/>
                <w:highlight w:val="none"/>
              </w:rPr>
              <w:t>单位：dB(A)</w:t>
            </w:r>
          </w:p>
          <w:tbl>
            <w:tblPr>
              <w:tblStyle w:val="2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071"/>
              <w:gridCol w:w="1777"/>
              <w:gridCol w:w="17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71" w:type="dxa"/>
                  <w:vMerge w:val="restart"/>
                  <w:tcBorders>
                    <w:tl2br w:val="nil"/>
                    <w:tr2bl w:val="nil"/>
                  </w:tcBorders>
                  <w:noWrap w:val="0"/>
                  <w:vAlign w:val="center"/>
                </w:tcPr>
                <w:p>
                  <w:pPr>
                    <w:pStyle w:val="52"/>
                    <w:spacing w:line="240" w:lineRule="auto"/>
                    <w:rPr>
                      <w:b w:val="0"/>
                      <w:bCs/>
                      <w:color w:val="auto"/>
                      <w:sz w:val="21"/>
                      <w:szCs w:val="21"/>
                      <w:highlight w:val="none"/>
                    </w:rPr>
                  </w:pPr>
                  <w:r>
                    <w:rPr>
                      <w:rFonts w:hint="eastAsia"/>
                      <w:b w:val="0"/>
                      <w:bCs/>
                      <w:color w:val="auto"/>
                      <w:sz w:val="21"/>
                      <w:szCs w:val="21"/>
                      <w:highlight w:val="none"/>
                    </w:rPr>
                    <w:t>声环境功能类别</w:t>
                  </w:r>
                </w:p>
              </w:tc>
              <w:tc>
                <w:tcPr>
                  <w:tcW w:w="3554" w:type="dxa"/>
                  <w:gridSpan w:val="2"/>
                  <w:tcBorders>
                    <w:tl2br w:val="nil"/>
                    <w:tr2bl w:val="nil"/>
                  </w:tcBorders>
                  <w:noWrap w:val="0"/>
                  <w:vAlign w:val="center"/>
                </w:tcPr>
                <w:p>
                  <w:pPr>
                    <w:pStyle w:val="52"/>
                    <w:spacing w:line="240" w:lineRule="auto"/>
                    <w:rPr>
                      <w:b w:val="0"/>
                      <w:bCs/>
                      <w:color w:val="auto"/>
                      <w:sz w:val="21"/>
                      <w:szCs w:val="21"/>
                      <w:highlight w:val="none"/>
                    </w:rPr>
                  </w:pPr>
                  <w:r>
                    <w:rPr>
                      <w:rFonts w:hint="eastAsia"/>
                      <w:b w:val="0"/>
                      <w:bCs/>
                      <w:color w:val="auto"/>
                      <w:sz w:val="21"/>
                      <w:szCs w:val="21"/>
                      <w:highlight w:val="none"/>
                    </w:rPr>
                    <w:t>环境噪声限值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71" w:type="dxa"/>
                  <w:vMerge w:val="continue"/>
                  <w:tcBorders>
                    <w:tl2br w:val="nil"/>
                    <w:tr2bl w:val="nil"/>
                  </w:tcBorders>
                  <w:noWrap w:val="0"/>
                  <w:vAlign w:val="center"/>
                </w:tcPr>
                <w:p>
                  <w:pPr>
                    <w:pStyle w:val="52"/>
                    <w:spacing w:line="240" w:lineRule="auto"/>
                    <w:rPr>
                      <w:b w:val="0"/>
                      <w:bCs/>
                      <w:color w:val="auto"/>
                      <w:sz w:val="21"/>
                      <w:szCs w:val="21"/>
                      <w:highlight w:val="none"/>
                    </w:rPr>
                  </w:pPr>
                </w:p>
              </w:tc>
              <w:tc>
                <w:tcPr>
                  <w:tcW w:w="1777" w:type="dxa"/>
                  <w:tcBorders>
                    <w:tl2br w:val="nil"/>
                    <w:tr2bl w:val="nil"/>
                  </w:tcBorders>
                  <w:noWrap w:val="0"/>
                  <w:vAlign w:val="center"/>
                </w:tcPr>
                <w:p>
                  <w:pPr>
                    <w:pStyle w:val="52"/>
                    <w:spacing w:line="240" w:lineRule="auto"/>
                    <w:rPr>
                      <w:b w:val="0"/>
                      <w:bCs/>
                      <w:color w:val="auto"/>
                      <w:sz w:val="21"/>
                      <w:szCs w:val="21"/>
                      <w:highlight w:val="none"/>
                    </w:rPr>
                  </w:pPr>
                  <w:r>
                    <w:rPr>
                      <w:rFonts w:hint="eastAsia"/>
                      <w:b w:val="0"/>
                      <w:bCs/>
                      <w:color w:val="auto"/>
                      <w:sz w:val="21"/>
                      <w:szCs w:val="21"/>
                      <w:highlight w:val="none"/>
                    </w:rPr>
                    <w:t>昼间</w:t>
                  </w:r>
                </w:p>
              </w:tc>
              <w:tc>
                <w:tcPr>
                  <w:tcW w:w="1777" w:type="dxa"/>
                  <w:tcBorders>
                    <w:tl2br w:val="nil"/>
                    <w:tr2bl w:val="nil"/>
                  </w:tcBorders>
                  <w:noWrap w:val="0"/>
                  <w:vAlign w:val="center"/>
                </w:tcPr>
                <w:p>
                  <w:pPr>
                    <w:pStyle w:val="52"/>
                    <w:spacing w:line="240" w:lineRule="auto"/>
                    <w:rPr>
                      <w:b w:val="0"/>
                      <w:bCs/>
                      <w:color w:val="auto"/>
                      <w:sz w:val="21"/>
                      <w:szCs w:val="21"/>
                      <w:highlight w:val="none"/>
                    </w:rPr>
                  </w:pPr>
                  <w:r>
                    <w:rPr>
                      <w:rFonts w:hint="eastAsia"/>
                      <w:b w:val="0"/>
                      <w:bCs/>
                      <w:color w:val="auto"/>
                      <w:sz w:val="21"/>
                      <w:szCs w:val="21"/>
                      <w:highlight w:val="none"/>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5071" w:type="dxa"/>
                  <w:tcBorders>
                    <w:tl2br w:val="nil"/>
                    <w:tr2bl w:val="nil"/>
                  </w:tcBorders>
                  <w:noWrap w:val="0"/>
                  <w:vAlign w:val="center"/>
                </w:tcPr>
                <w:p>
                  <w:pPr>
                    <w:pStyle w:val="52"/>
                    <w:spacing w:line="240" w:lineRule="auto"/>
                    <w:rPr>
                      <w:b w:val="0"/>
                      <w:bCs/>
                      <w:color w:val="auto"/>
                      <w:sz w:val="21"/>
                      <w:szCs w:val="21"/>
                      <w:highlight w:val="none"/>
                    </w:rPr>
                  </w:pPr>
                  <w:r>
                    <w:rPr>
                      <w:rFonts w:hint="eastAsia"/>
                      <w:b w:val="0"/>
                      <w:bCs/>
                      <w:color w:val="auto"/>
                      <w:sz w:val="21"/>
                      <w:szCs w:val="21"/>
                      <w:highlight w:val="none"/>
                      <w:lang w:val="en-US" w:eastAsia="zh-CN"/>
                    </w:rPr>
                    <w:t>2</w:t>
                  </w:r>
                  <w:r>
                    <w:rPr>
                      <w:rFonts w:hint="eastAsia"/>
                      <w:b w:val="0"/>
                      <w:bCs/>
                      <w:color w:val="auto"/>
                      <w:sz w:val="21"/>
                      <w:szCs w:val="21"/>
                      <w:highlight w:val="none"/>
                    </w:rPr>
                    <w:t>类</w:t>
                  </w:r>
                </w:p>
              </w:tc>
              <w:tc>
                <w:tcPr>
                  <w:tcW w:w="1777" w:type="dxa"/>
                  <w:tcBorders>
                    <w:tl2br w:val="nil"/>
                    <w:tr2bl w:val="nil"/>
                  </w:tcBorders>
                  <w:noWrap w:val="0"/>
                  <w:vAlign w:val="center"/>
                </w:tcPr>
                <w:p>
                  <w:pPr>
                    <w:pStyle w:val="52"/>
                    <w:spacing w:line="240" w:lineRule="auto"/>
                    <w:rPr>
                      <w:rFonts w:hint="eastAsia" w:eastAsia="宋体"/>
                      <w:b w:val="0"/>
                      <w:bCs/>
                      <w:color w:val="auto"/>
                      <w:sz w:val="21"/>
                      <w:szCs w:val="21"/>
                      <w:highlight w:val="none"/>
                      <w:lang w:val="en-US" w:eastAsia="zh-CN"/>
                    </w:rPr>
                  </w:pPr>
                  <w:r>
                    <w:rPr>
                      <w:rFonts w:hint="eastAsia"/>
                      <w:b w:val="0"/>
                      <w:bCs/>
                      <w:color w:val="auto"/>
                      <w:sz w:val="21"/>
                      <w:szCs w:val="21"/>
                      <w:highlight w:val="none"/>
                    </w:rPr>
                    <w:t>6</w:t>
                  </w:r>
                  <w:r>
                    <w:rPr>
                      <w:rFonts w:hint="eastAsia"/>
                      <w:b w:val="0"/>
                      <w:bCs/>
                      <w:color w:val="auto"/>
                      <w:sz w:val="21"/>
                      <w:szCs w:val="21"/>
                      <w:highlight w:val="none"/>
                      <w:lang w:val="en-US" w:eastAsia="zh-CN"/>
                    </w:rPr>
                    <w:t>0</w:t>
                  </w:r>
                </w:p>
              </w:tc>
              <w:tc>
                <w:tcPr>
                  <w:tcW w:w="1777" w:type="dxa"/>
                  <w:tcBorders>
                    <w:tl2br w:val="nil"/>
                    <w:tr2bl w:val="nil"/>
                  </w:tcBorders>
                  <w:noWrap w:val="0"/>
                  <w:vAlign w:val="center"/>
                </w:tcPr>
                <w:p>
                  <w:pPr>
                    <w:pStyle w:val="52"/>
                    <w:spacing w:line="240" w:lineRule="auto"/>
                    <w:rPr>
                      <w:rFonts w:hint="eastAsia" w:eastAsia="宋体"/>
                      <w:b w:val="0"/>
                      <w:bCs/>
                      <w:color w:val="auto"/>
                      <w:sz w:val="21"/>
                      <w:szCs w:val="21"/>
                      <w:highlight w:val="none"/>
                      <w:lang w:val="en-US" w:eastAsia="zh-CN"/>
                    </w:rPr>
                  </w:pPr>
                  <w:r>
                    <w:rPr>
                      <w:rFonts w:hint="eastAsia"/>
                      <w:b w:val="0"/>
                      <w:bCs/>
                      <w:color w:val="auto"/>
                      <w:sz w:val="21"/>
                      <w:szCs w:val="21"/>
                      <w:highlight w:val="none"/>
                    </w:rPr>
                    <w:t>5</w:t>
                  </w:r>
                  <w:r>
                    <w:rPr>
                      <w:rFonts w:hint="eastAsia"/>
                      <w:b w:val="0"/>
                      <w:bCs/>
                      <w:color w:val="auto"/>
                      <w:sz w:val="21"/>
                      <w:szCs w:val="21"/>
                      <w:highlight w:val="none"/>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5071" w:type="dxa"/>
                  <w:tcBorders>
                    <w:tl2br w:val="nil"/>
                    <w:tr2bl w:val="nil"/>
                  </w:tcBorders>
                  <w:noWrap w:val="0"/>
                  <w:vAlign w:val="center"/>
                </w:tcPr>
                <w:p>
                  <w:pPr>
                    <w:pStyle w:val="52"/>
                    <w:spacing w:line="240" w:lineRule="auto"/>
                    <w:rPr>
                      <w:rFonts w:hint="default"/>
                      <w:b w:val="0"/>
                      <w:bCs/>
                      <w:color w:val="auto"/>
                      <w:sz w:val="21"/>
                      <w:szCs w:val="21"/>
                      <w:highlight w:val="none"/>
                      <w:lang w:val="en-US" w:eastAsia="zh-CN"/>
                    </w:rPr>
                  </w:pPr>
                  <w:r>
                    <w:rPr>
                      <w:rFonts w:hint="eastAsia"/>
                      <w:b w:val="0"/>
                      <w:bCs/>
                      <w:color w:val="auto"/>
                      <w:sz w:val="21"/>
                      <w:szCs w:val="21"/>
                      <w:highlight w:val="none"/>
                      <w:lang w:val="en-US" w:eastAsia="zh-CN"/>
                    </w:rPr>
                    <w:t>4a类</w:t>
                  </w:r>
                </w:p>
              </w:tc>
              <w:tc>
                <w:tcPr>
                  <w:tcW w:w="1777" w:type="dxa"/>
                  <w:tcBorders>
                    <w:tl2br w:val="nil"/>
                    <w:tr2bl w:val="nil"/>
                  </w:tcBorders>
                  <w:noWrap w:val="0"/>
                  <w:vAlign w:val="center"/>
                </w:tcPr>
                <w:p>
                  <w:pPr>
                    <w:pStyle w:val="52"/>
                    <w:spacing w:line="240" w:lineRule="auto"/>
                    <w:rPr>
                      <w:rFonts w:hint="default" w:eastAsia="宋体"/>
                      <w:b w:val="0"/>
                      <w:bCs/>
                      <w:color w:val="auto"/>
                      <w:sz w:val="21"/>
                      <w:szCs w:val="21"/>
                      <w:highlight w:val="none"/>
                      <w:lang w:val="en-US" w:eastAsia="zh-CN"/>
                    </w:rPr>
                  </w:pPr>
                  <w:r>
                    <w:rPr>
                      <w:rFonts w:hint="eastAsia"/>
                      <w:b w:val="0"/>
                      <w:bCs/>
                      <w:color w:val="auto"/>
                      <w:sz w:val="21"/>
                      <w:szCs w:val="21"/>
                      <w:highlight w:val="none"/>
                      <w:lang w:val="en-US" w:eastAsia="zh-CN"/>
                    </w:rPr>
                    <w:t>70</w:t>
                  </w:r>
                </w:p>
              </w:tc>
              <w:tc>
                <w:tcPr>
                  <w:tcW w:w="1777" w:type="dxa"/>
                  <w:tcBorders>
                    <w:tl2br w:val="nil"/>
                    <w:tr2bl w:val="nil"/>
                  </w:tcBorders>
                  <w:noWrap w:val="0"/>
                  <w:vAlign w:val="center"/>
                </w:tcPr>
                <w:p>
                  <w:pPr>
                    <w:pStyle w:val="52"/>
                    <w:spacing w:line="240" w:lineRule="auto"/>
                    <w:rPr>
                      <w:rFonts w:hint="default" w:eastAsia="宋体"/>
                      <w:b w:val="0"/>
                      <w:bCs/>
                      <w:color w:val="auto"/>
                      <w:sz w:val="21"/>
                      <w:szCs w:val="21"/>
                      <w:highlight w:val="none"/>
                      <w:lang w:val="en-US" w:eastAsia="zh-CN"/>
                    </w:rPr>
                  </w:pPr>
                  <w:r>
                    <w:rPr>
                      <w:rFonts w:hint="eastAsia"/>
                      <w:b w:val="0"/>
                      <w:bCs/>
                      <w:color w:val="auto"/>
                      <w:sz w:val="21"/>
                      <w:szCs w:val="21"/>
                      <w:highlight w:val="none"/>
                      <w:lang w:val="en-US" w:eastAsia="zh-CN"/>
                    </w:rPr>
                    <w:t>55</w:t>
                  </w:r>
                </w:p>
              </w:tc>
            </w:tr>
          </w:tbl>
          <w:p>
            <w:pPr>
              <w:pStyle w:val="3"/>
              <w:keepNext/>
              <w:keepLines w:val="0"/>
              <w:pageBreakBefore w:val="0"/>
              <w:widowControl w:val="0"/>
              <w:kinsoku/>
              <w:wordWrap/>
              <w:overflowPunct w:val="0"/>
              <w:topLinePunct w:val="0"/>
              <w:autoSpaceDE/>
              <w:autoSpaceDN/>
              <w:bidi w:val="0"/>
              <w:adjustRightInd/>
              <w:snapToGrid w:val="0"/>
              <w:spacing w:before="251" w:beforeLines="80"/>
              <w:textAlignment w:val="auto"/>
              <w:rPr>
                <w:color w:val="auto"/>
                <w:highlight w:val="none"/>
              </w:rPr>
            </w:pPr>
            <w:r>
              <w:rPr>
                <w:rFonts w:hint="eastAsia"/>
                <w:color w:val="auto"/>
                <w:highlight w:val="none"/>
                <w:lang w:val="en-US" w:eastAsia="zh-CN"/>
              </w:rPr>
              <w:t>2</w:t>
            </w:r>
            <w:r>
              <w:rPr>
                <w:color w:val="auto"/>
                <w:highlight w:val="none"/>
              </w:rPr>
              <w:t>、大气环境质量现状</w:t>
            </w:r>
          </w:p>
          <w:p>
            <w:pPr>
              <w:pStyle w:val="57"/>
              <w:tabs>
                <w:tab w:val="left" w:pos="648"/>
              </w:tabs>
              <w:rPr>
                <w:color w:val="auto"/>
                <w:highlight w:val="none"/>
              </w:rPr>
            </w:pPr>
            <w:bookmarkStart w:id="5" w:name="_Ref10203"/>
            <w:r>
              <w:rPr>
                <w:rFonts w:hint="eastAsia"/>
                <w:color w:val="auto"/>
                <w:highlight w:val="none"/>
                <w:lang w:val="en-US" w:eastAsia="zh-CN"/>
              </w:rPr>
              <w:t>TSP</w:t>
            </w:r>
            <w:r>
              <w:rPr>
                <w:color w:val="auto"/>
                <w:highlight w:val="none"/>
              </w:rPr>
              <w:t>现状监测结果一览表</w:t>
            </w:r>
            <w:bookmarkEnd w:id="5"/>
          </w:p>
          <w:tbl>
            <w:tblPr>
              <w:tblStyle w:val="26"/>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3597"/>
              <w:gridCol w:w="31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08"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color w:val="auto"/>
                      <w:highlight w:val="none"/>
                    </w:rPr>
                  </w:pPr>
                </w:p>
              </w:tc>
              <w:tc>
                <w:tcPr>
                  <w:tcW w:w="3597"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color w:val="auto"/>
                      <w:highlight w:val="none"/>
                    </w:rPr>
                  </w:pPr>
                </w:p>
              </w:tc>
              <w:tc>
                <w:tcPr>
                  <w:tcW w:w="312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908"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Cs w:val="21"/>
                      <w:highlight w:val="none"/>
                      <w:lang w:val="en-US" w:eastAsia="zh-CN"/>
                    </w:rPr>
                  </w:pPr>
                </w:p>
              </w:tc>
              <w:tc>
                <w:tcPr>
                  <w:tcW w:w="3597"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Cs w:val="21"/>
                      <w:highlight w:val="none"/>
                      <w:lang w:val="en-US" w:eastAsia="zh-CN"/>
                    </w:rPr>
                  </w:pPr>
                </w:p>
              </w:tc>
              <w:tc>
                <w:tcPr>
                  <w:tcW w:w="312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Cs w:val="21"/>
                      <w:highlight w:val="none"/>
                      <w:lang w:val="en-US" w:eastAsia="zh-CN"/>
                    </w:rPr>
                  </w:pPr>
                </w:p>
              </w:tc>
            </w:tr>
          </w:tbl>
          <w:p>
            <w:pPr>
              <w:pStyle w:val="89"/>
              <w:keepNext w:val="0"/>
              <w:keepLines w:val="0"/>
              <w:pageBreakBefore w:val="0"/>
              <w:widowControl w:val="0"/>
              <w:kinsoku/>
              <w:wordWrap/>
              <w:overflowPunct/>
              <w:topLinePunct w:val="0"/>
              <w:autoSpaceDE/>
              <w:autoSpaceDN/>
              <w:bidi w:val="0"/>
              <w:adjustRightInd w:val="0"/>
              <w:snapToGrid w:val="0"/>
              <w:ind w:firstLine="0" w:firstLineChars="0"/>
              <w:textAlignment w:val="auto"/>
              <w:rPr>
                <w:color w:val="auto"/>
                <w:highlight w:val="none"/>
              </w:rPr>
            </w:pPr>
          </w:p>
          <w:p>
            <w:pPr>
              <w:pStyle w:val="89"/>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bCs/>
                <w:color w:val="auto"/>
                <w:highlight w:val="none"/>
                <w:lang w:val="en-US" w:eastAsia="zh-CN"/>
              </w:rPr>
            </w:pPr>
            <w:r>
              <w:rPr>
                <w:rFonts w:hint="default" w:ascii="Times New Roman" w:hAnsi="Times New Roman" w:cs="Times New Roman"/>
                <w:b/>
                <w:bCs/>
                <w:color w:val="auto"/>
                <w:highlight w:val="none"/>
                <w:lang w:val="en-US" w:eastAsia="zh-CN"/>
              </w:rPr>
              <w:t>图</w:t>
            </w:r>
            <w:r>
              <w:rPr>
                <w:rFonts w:hint="eastAsia" w:ascii="Times New Roman" w:hAnsi="Times New Roman" w:cs="Times New Roman"/>
                <w:b/>
                <w:bCs/>
                <w:color w:val="auto"/>
                <w:highlight w:val="none"/>
                <w:lang w:val="en-US" w:eastAsia="zh-CN"/>
              </w:rPr>
              <w:t>3</w:t>
            </w:r>
            <w:r>
              <w:rPr>
                <w:rFonts w:hint="default" w:ascii="Times New Roman" w:hAnsi="Times New Roman" w:cs="Times New Roman"/>
                <w:b/>
                <w:bCs/>
                <w:color w:val="auto"/>
                <w:highlight w:val="none"/>
                <w:lang w:val="en-US" w:eastAsia="zh-CN"/>
              </w:rPr>
              <w:t xml:space="preserve"> 引用监测点位图</w:t>
            </w:r>
          </w:p>
          <w:p>
            <w:pPr>
              <w:pStyle w:val="3"/>
              <w:rPr>
                <w:color w:val="auto"/>
                <w:highlight w:val="none"/>
              </w:rPr>
            </w:pPr>
            <w:r>
              <w:rPr>
                <w:rFonts w:hint="eastAsia"/>
                <w:color w:val="auto"/>
                <w:highlight w:val="none"/>
                <w:lang w:val="en-US" w:eastAsia="zh-CN"/>
              </w:rPr>
              <w:t>3</w:t>
            </w:r>
            <w:r>
              <w:rPr>
                <w:color w:val="auto"/>
                <w:highlight w:val="none"/>
              </w:rPr>
              <w:t>、水环境质量现状</w:t>
            </w:r>
          </w:p>
          <w:p>
            <w:pPr>
              <w:pStyle w:val="98"/>
              <w:ind w:firstLine="480"/>
              <w:rPr>
                <w:color w:val="auto"/>
                <w:highlight w:val="none"/>
              </w:rPr>
            </w:pPr>
            <w:r>
              <w:rPr>
                <w:color w:val="auto"/>
                <w:highlight w:val="none"/>
              </w:rPr>
              <w:t>(1)监测站位及监测因子</w:t>
            </w:r>
          </w:p>
          <w:p>
            <w:pPr>
              <w:pStyle w:val="98"/>
              <w:ind w:firstLine="480"/>
              <w:rPr>
                <w:color w:val="auto"/>
                <w:highlight w:val="none"/>
              </w:rPr>
            </w:pPr>
            <w:r>
              <w:rPr>
                <w:color w:val="auto"/>
                <w:highlight w:val="none"/>
              </w:rPr>
              <w:t>站位具体信息见表</w:t>
            </w:r>
            <w:r>
              <w:rPr>
                <w:rFonts w:hint="eastAsia"/>
                <w:color w:val="auto"/>
                <w:highlight w:val="none"/>
                <w:lang w:val="en-US" w:eastAsia="zh-CN"/>
              </w:rPr>
              <w:t>14</w:t>
            </w:r>
            <w:r>
              <w:rPr>
                <w:color w:val="auto"/>
                <w:highlight w:val="none"/>
              </w:rPr>
              <w:t>，监测点位图见图</w:t>
            </w:r>
            <w:r>
              <w:rPr>
                <w:rFonts w:hint="eastAsia"/>
                <w:color w:val="auto"/>
                <w:highlight w:val="none"/>
                <w:lang w:val="en-US" w:eastAsia="zh-CN"/>
              </w:rPr>
              <w:t>4</w:t>
            </w:r>
            <w:r>
              <w:rPr>
                <w:color w:val="auto"/>
                <w:highlight w:val="none"/>
              </w:rPr>
              <w:t>。</w:t>
            </w:r>
          </w:p>
          <w:p>
            <w:pPr>
              <w:pStyle w:val="98"/>
              <w:ind w:firstLine="480"/>
              <w:rPr>
                <w:color w:val="auto"/>
                <w:highlight w:val="none"/>
              </w:rPr>
            </w:pPr>
            <w:bookmarkStart w:id="10" w:name="_GoBack"/>
            <w:bookmarkEnd w:id="10"/>
          </w:p>
          <w:p>
            <w:pPr>
              <w:pStyle w:val="57"/>
              <w:rPr>
                <w:color w:val="auto"/>
                <w:highlight w:val="none"/>
              </w:rPr>
            </w:pPr>
            <w:r>
              <w:rPr>
                <w:color w:val="auto"/>
                <w:highlight w:val="none"/>
              </w:rPr>
              <w:t xml:space="preserve"> 调查站位和监测因子</w:t>
            </w:r>
          </w:p>
          <w:tbl>
            <w:tblPr>
              <w:tblStyle w:val="2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
            <w:tblGrid>
              <w:gridCol w:w="751"/>
              <w:gridCol w:w="1217"/>
              <w:gridCol w:w="1216"/>
              <w:gridCol w:w="1442"/>
              <w:gridCol w:w="1999"/>
              <w:gridCol w:w="19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751" w:type="dxa"/>
                  <w:noWrap w:val="0"/>
                  <w:vAlign w:val="center"/>
                </w:tcPr>
                <w:p>
                  <w:pPr>
                    <w:pStyle w:val="63"/>
                    <w:keepNext w:val="0"/>
                    <w:keepLines w:val="0"/>
                    <w:pageBreakBefore w:val="0"/>
                    <w:kinsoku/>
                    <w:wordWrap/>
                    <w:overflowPunct/>
                    <w:topLinePunct w:val="0"/>
                    <w:autoSpaceDE/>
                    <w:autoSpaceDN/>
                    <w:bidi w:val="0"/>
                    <w:adjustRightInd/>
                    <w:snapToGrid/>
                    <w:ind w:left="0" w:firstLine="0" w:firstLineChars="0"/>
                    <w:jc w:val="center"/>
                    <w:rPr>
                      <w:color w:val="auto"/>
                      <w:highlight w:val="none"/>
                    </w:rPr>
                  </w:pPr>
                </w:p>
              </w:tc>
              <w:tc>
                <w:tcPr>
                  <w:tcW w:w="1217" w:type="dxa"/>
                  <w:noWrap w:val="0"/>
                  <w:vAlign w:val="center"/>
                </w:tcPr>
                <w:p>
                  <w:pPr>
                    <w:pStyle w:val="63"/>
                    <w:keepNext w:val="0"/>
                    <w:keepLines w:val="0"/>
                    <w:pageBreakBefore w:val="0"/>
                    <w:kinsoku/>
                    <w:wordWrap/>
                    <w:overflowPunct/>
                    <w:topLinePunct w:val="0"/>
                    <w:autoSpaceDE/>
                    <w:autoSpaceDN/>
                    <w:bidi w:val="0"/>
                    <w:adjustRightInd/>
                    <w:snapToGrid/>
                    <w:ind w:left="0" w:firstLine="0" w:firstLineChars="0"/>
                    <w:jc w:val="center"/>
                    <w:rPr>
                      <w:color w:val="auto"/>
                      <w:highlight w:val="none"/>
                    </w:rPr>
                  </w:pPr>
                </w:p>
              </w:tc>
              <w:tc>
                <w:tcPr>
                  <w:tcW w:w="1216" w:type="dxa"/>
                  <w:noWrap w:val="0"/>
                  <w:vAlign w:val="center"/>
                </w:tcPr>
                <w:p>
                  <w:pPr>
                    <w:pStyle w:val="63"/>
                    <w:keepNext w:val="0"/>
                    <w:keepLines w:val="0"/>
                    <w:pageBreakBefore w:val="0"/>
                    <w:kinsoku/>
                    <w:wordWrap/>
                    <w:overflowPunct/>
                    <w:topLinePunct w:val="0"/>
                    <w:autoSpaceDE/>
                    <w:autoSpaceDN/>
                    <w:bidi w:val="0"/>
                    <w:adjustRightInd/>
                    <w:snapToGrid/>
                    <w:ind w:left="0" w:firstLine="0" w:firstLineChars="0"/>
                    <w:jc w:val="center"/>
                    <w:rPr>
                      <w:color w:val="auto"/>
                      <w:highlight w:val="none"/>
                    </w:rPr>
                  </w:pPr>
                </w:p>
              </w:tc>
              <w:tc>
                <w:tcPr>
                  <w:tcW w:w="1442" w:type="dxa"/>
                  <w:noWrap w:val="0"/>
                  <w:vAlign w:val="center"/>
                </w:tcPr>
                <w:p>
                  <w:pPr>
                    <w:pStyle w:val="63"/>
                    <w:keepNext w:val="0"/>
                    <w:keepLines w:val="0"/>
                    <w:pageBreakBefore w:val="0"/>
                    <w:kinsoku/>
                    <w:wordWrap/>
                    <w:overflowPunct/>
                    <w:topLinePunct w:val="0"/>
                    <w:autoSpaceDE/>
                    <w:autoSpaceDN/>
                    <w:bidi w:val="0"/>
                    <w:adjustRightInd/>
                    <w:snapToGrid/>
                    <w:ind w:left="0" w:firstLine="0" w:firstLineChars="0"/>
                    <w:jc w:val="center"/>
                    <w:rPr>
                      <w:color w:val="auto"/>
                      <w:highlight w:val="none"/>
                    </w:rPr>
                  </w:pPr>
                </w:p>
              </w:tc>
              <w:tc>
                <w:tcPr>
                  <w:tcW w:w="1999" w:type="dxa"/>
                  <w:noWrap w:val="0"/>
                  <w:vAlign w:val="center"/>
                </w:tcPr>
                <w:p>
                  <w:pPr>
                    <w:pStyle w:val="63"/>
                    <w:keepNext w:val="0"/>
                    <w:keepLines w:val="0"/>
                    <w:pageBreakBefore w:val="0"/>
                    <w:kinsoku/>
                    <w:wordWrap/>
                    <w:overflowPunct/>
                    <w:topLinePunct w:val="0"/>
                    <w:autoSpaceDE/>
                    <w:autoSpaceDN/>
                    <w:bidi w:val="0"/>
                    <w:adjustRightInd/>
                    <w:snapToGrid/>
                    <w:ind w:left="0" w:firstLine="0" w:firstLineChars="0"/>
                    <w:jc w:val="center"/>
                    <w:rPr>
                      <w:rFonts w:hint="eastAsia" w:eastAsia="宋体"/>
                      <w:color w:val="auto"/>
                      <w:highlight w:val="none"/>
                      <w:lang w:val="en-US" w:eastAsia="zh-CN"/>
                    </w:rPr>
                  </w:pPr>
                </w:p>
              </w:tc>
              <w:tc>
                <w:tcPr>
                  <w:tcW w:w="1999" w:type="dxa"/>
                  <w:noWrap w:val="0"/>
                  <w:vAlign w:val="center"/>
                </w:tcPr>
                <w:p>
                  <w:pPr>
                    <w:pStyle w:val="63"/>
                    <w:keepNext w:val="0"/>
                    <w:keepLines w:val="0"/>
                    <w:pageBreakBefore w:val="0"/>
                    <w:kinsoku/>
                    <w:wordWrap/>
                    <w:overflowPunct/>
                    <w:topLinePunct w:val="0"/>
                    <w:autoSpaceDE/>
                    <w:autoSpaceDN/>
                    <w:bidi w:val="0"/>
                    <w:adjustRightInd/>
                    <w:snapToGrid/>
                    <w:ind w:left="0" w:firstLine="0" w:firstLineChars="0"/>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751" w:type="dxa"/>
                  <w:noWrap w:val="0"/>
                  <w:vAlign w:val="center"/>
                </w:tcPr>
                <w:p>
                  <w:pPr>
                    <w:pStyle w:val="63"/>
                    <w:keepNext w:val="0"/>
                    <w:keepLines w:val="0"/>
                    <w:pageBreakBefore w:val="0"/>
                    <w:kinsoku/>
                    <w:wordWrap/>
                    <w:overflowPunct/>
                    <w:topLinePunct w:val="0"/>
                    <w:autoSpaceDE/>
                    <w:autoSpaceDN/>
                    <w:bidi w:val="0"/>
                    <w:adjustRightInd/>
                    <w:snapToGrid/>
                    <w:ind w:left="0" w:firstLine="0" w:firstLineChars="0"/>
                    <w:jc w:val="center"/>
                    <w:rPr>
                      <w:color w:val="auto"/>
                      <w:highlight w:val="none"/>
                    </w:rPr>
                  </w:pPr>
                </w:p>
              </w:tc>
              <w:tc>
                <w:tcPr>
                  <w:tcW w:w="1217" w:type="dxa"/>
                  <w:noWrap w:val="0"/>
                  <w:vAlign w:val="center"/>
                </w:tcPr>
                <w:p>
                  <w:pPr>
                    <w:pStyle w:val="2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rPr>
                      <w:rFonts w:hint="eastAsia" w:ascii="宋体" w:hAnsi="宋体" w:eastAsia="宋体" w:cs="宋体"/>
                      <w:i w:val="0"/>
                      <w:iCs w:val="0"/>
                      <w:color w:val="auto"/>
                      <w:kern w:val="2"/>
                      <w:sz w:val="20"/>
                      <w:szCs w:val="20"/>
                      <w:highlight w:val="none"/>
                      <w:u w:val="none"/>
                      <w:lang w:val="en-US" w:eastAsia="zh-CN" w:bidi="ar-SA"/>
                    </w:rPr>
                  </w:pPr>
                </w:p>
              </w:tc>
              <w:tc>
                <w:tcPr>
                  <w:tcW w:w="1216"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firstLine="0" w:firstLineChars="0"/>
                    <w:jc w:val="center"/>
                    <w:textAlignment w:val="bottom"/>
                    <w:rPr>
                      <w:rFonts w:hint="eastAsia" w:ascii="宋体" w:hAnsi="宋体" w:eastAsia="宋体" w:cs="宋体"/>
                      <w:i w:val="0"/>
                      <w:iCs w:val="0"/>
                      <w:color w:val="auto"/>
                      <w:kern w:val="2"/>
                      <w:sz w:val="20"/>
                      <w:szCs w:val="20"/>
                      <w:highlight w:val="none"/>
                      <w:u w:val="none"/>
                      <w:lang w:val="en-US" w:eastAsia="zh-CN" w:bidi="ar-SA"/>
                    </w:rPr>
                  </w:pPr>
                </w:p>
              </w:tc>
              <w:tc>
                <w:tcPr>
                  <w:tcW w:w="1442" w:type="dxa"/>
                  <w:noWrap w:val="0"/>
                  <w:vAlign w:val="center"/>
                </w:tcPr>
                <w:p>
                  <w:pPr>
                    <w:pStyle w:val="63"/>
                    <w:keepNext w:val="0"/>
                    <w:keepLines w:val="0"/>
                    <w:pageBreakBefore w:val="0"/>
                    <w:kinsoku/>
                    <w:wordWrap/>
                    <w:overflowPunct/>
                    <w:topLinePunct w:val="0"/>
                    <w:autoSpaceDE/>
                    <w:autoSpaceDN/>
                    <w:bidi w:val="0"/>
                    <w:adjustRightInd/>
                    <w:snapToGrid/>
                    <w:ind w:left="0" w:firstLine="0" w:firstLineChars="0"/>
                    <w:jc w:val="center"/>
                    <w:rPr>
                      <w:color w:val="auto"/>
                      <w:highlight w:val="none"/>
                    </w:rPr>
                  </w:pPr>
                </w:p>
              </w:tc>
              <w:tc>
                <w:tcPr>
                  <w:tcW w:w="1999" w:type="dxa"/>
                  <w:noWrap w:val="0"/>
                  <w:vAlign w:val="center"/>
                </w:tcPr>
                <w:p>
                  <w:pPr>
                    <w:pStyle w:val="63"/>
                    <w:keepNext w:val="0"/>
                    <w:keepLines w:val="0"/>
                    <w:pageBreakBefore w:val="0"/>
                    <w:kinsoku/>
                    <w:wordWrap/>
                    <w:overflowPunct/>
                    <w:topLinePunct w:val="0"/>
                    <w:autoSpaceDE/>
                    <w:autoSpaceDN/>
                    <w:bidi w:val="0"/>
                    <w:adjustRightInd/>
                    <w:snapToGrid/>
                    <w:ind w:left="0" w:firstLine="0" w:firstLineChars="0"/>
                    <w:jc w:val="center"/>
                    <w:rPr>
                      <w:color w:val="auto"/>
                      <w:highlight w:val="none"/>
                    </w:rPr>
                  </w:pPr>
                </w:p>
              </w:tc>
              <w:tc>
                <w:tcPr>
                  <w:tcW w:w="1999" w:type="dxa"/>
                  <w:vMerge w:val="restart"/>
                  <w:noWrap w:val="0"/>
                  <w:vAlign w:val="center"/>
                </w:tcPr>
                <w:p>
                  <w:pPr>
                    <w:pStyle w:val="63"/>
                    <w:keepNext w:val="0"/>
                    <w:keepLines w:val="0"/>
                    <w:pageBreakBefore w:val="0"/>
                    <w:kinsoku/>
                    <w:wordWrap/>
                    <w:overflowPunct/>
                    <w:topLinePunct w:val="0"/>
                    <w:autoSpaceDE/>
                    <w:autoSpaceDN/>
                    <w:bidi w:val="0"/>
                    <w:adjustRightInd/>
                    <w:snapToGrid/>
                    <w:ind w:left="0" w:firstLine="0" w:firstLineChars="0"/>
                    <w:jc w:val="center"/>
                    <w:rPr>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751" w:type="dxa"/>
                  <w:noWrap w:val="0"/>
                  <w:vAlign w:val="center"/>
                </w:tcPr>
                <w:p>
                  <w:pPr>
                    <w:pStyle w:val="63"/>
                    <w:keepNext w:val="0"/>
                    <w:keepLines w:val="0"/>
                    <w:pageBreakBefore w:val="0"/>
                    <w:kinsoku/>
                    <w:wordWrap/>
                    <w:overflowPunct/>
                    <w:topLinePunct w:val="0"/>
                    <w:autoSpaceDE/>
                    <w:autoSpaceDN/>
                    <w:bidi w:val="0"/>
                    <w:adjustRightInd/>
                    <w:snapToGrid/>
                    <w:ind w:left="0" w:firstLine="0" w:firstLineChars="0"/>
                    <w:jc w:val="center"/>
                    <w:rPr>
                      <w:color w:val="auto"/>
                      <w:highlight w:val="none"/>
                    </w:rPr>
                  </w:pPr>
                </w:p>
              </w:tc>
              <w:tc>
                <w:tcPr>
                  <w:tcW w:w="1217" w:type="dxa"/>
                  <w:noWrap w:val="0"/>
                  <w:vAlign w:val="center"/>
                </w:tcPr>
                <w:p>
                  <w:pPr>
                    <w:pStyle w:val="63"/>
                    <w:keepNext w:val="0"/>
                    <w:keepLines w:val="0"/>
                    <w:pageBreakBefore w:val="0"/>
                    <w:kinsoku/>
                    <w:wordWrap/>
                    <w:overflowPunct/>
                    <w:topLinePunct w:val="0"/>
                    <w:autoSpaceDE/>
                    <w:autoSpaceDN/>
                    <w:bidi w:val="0"/>
                    <w:adjustRightInd/>
                    <w:snapToGrid/>
                    <w:ind w:left="0" w:firstLine="0" w:firstLineChars="0"/>
                    <w:jc w:val="center"/>
                    <w:rPr>
                      <w:color w:val="auto"/>
                      <w:highlight w:val="none"/>
                    </w:rPr>
                  </w:pPr>
                </w:p>
              </w:tc>
              <w:tc>
                <w:tcPr>
                  <w:tcW w:w="1216" w:type="dxa"/>
                  <w:noWrap w:val="0"/>
                  <w:vAlign w:val="center"/>
                </w:tcPr>
                <w:p>
                  <w:pPr>
                    <w:pStyle w:val="63"/>
                    <w:keepNext w:val="0"/>
                    <w:keepLines w:val="0"/>
                    <w:pageBreakBefore w:val="0"/>
                    <w:kinsoku/>
                    <w:wordWrap/>
                    <w:overflowPunct/>
                    <w:topLinePunct w:val="0"/>
                    <w:autoSpaceDE/>
                    <w:autoSpaceDN/>
                    <w:bidi w:val="0"/>
                    <w:adjustRightInd/>
                    <w:snapToGrid/>
                    <w:ind w:left="0" w:firstLine="0" w:firstLineChars="0"/>
                    <w:jc w:val="center"/>
                    <w:rPr>
                      <w:color w:val="auto"/>
                      <w:highlight w:val="none"/>
                    </w:rPr>
                  </w:pPr>
                </w:p>
              </w:tc>
              <w:tc>
                <w:tcPr>
                  <w:tcW w:w="1442" w:type="dxa"/>
                  <w:noWrap w:val="0"/>
                  <w:vAlign w:val="center"/>
                </w:tcPr>
                <w:p>
                  <w:pPr>
                    <w:pStyle w:val="63"/>
                    <w:keepNext w:val="0"/>
                    <w:keepLines w:val="0"/>
                    <w:pageBreakBefore w:val="0"/>
                    <w:kinsoku/>
                    <w:wordWrap/>
                    <w:overflowPunct/>
                    <w:topLinePunct w:val="0"/>
                    <w:autoSpaceDE/>
                    <w:autoSpaceDN/>
                    <w:bidi w:val="0"/>
                    <w:adjustRightInd/>
                    <w:snapToGrid/>
                    <w:ind w:left="0" w:firstLine="0" w:firstLineChars="0"/>
                    <w:jc w:val="center"/>
                    <w:rPr>
                      <w:color w:val="auto"/>
                      <w:highlight w:val="none"/>
                    </w:rPr>
                  </w:pPr>
                </w:p>
              </w:tc>
              <w:tc>
                <w:tcPr>
                  <w:tcW w:w="1999" w:type="dxa"/>
                  <w:noWrap w:val="0"/>
                  <w:vAlign w:val="center"/>
                </w:tcPr>
                <w:p>
                  <w:pPr>
                    <w:pStyle w:val="63"/>
                    <w:keepNext w:val="0"/>
                    <w:keepLines w:val="0"/>
                    <w:pageBreakBefore w:val="0"/>
                    <w:kinsoku/>
                    <w:wordWrap/>
                    <w:overflowPunct/>
                    <w:topLinePunct w:val="0"/>
                    <w:autoSpaceDE/>
                    <w:autoSpaceDN/>
                    <w:bidi w:val="0"/>
                    <w:adjustRightInd/>
                    <w:snapToGrid/>
                    <w:ind w:left="0" w:firstLine="0" w:firstLineChars="0"/>
                    <w:jc w:val="center"/>
                    <w:rPr>
                      <w:rFonts w:hint="eastAsia"/>
                      <w:color w:val="auto"/>
                      <w:highlight w:val="none"/>
                      <w:lang w:val="en-US" w:eastAsia="zh-CN"/>
                    </w:rPr>
                  </w:pPr>
                </w:p>
              </w:tc>
              <w:tc>
                <w:tcPr>
                  <w:tcW w:w="1999" w:type="dxa"/>
                  <w:vMerge w:val="continue"/>
                  <w:noWrap w:val="0"/>
                  <w:vAlign w:val="center"/>
                </w:tcPr>
                <w:p>
                  <w:pPr>
                    <w:pStyle w:val="63"/>
                    <w:keepNext w:val="0"/>
                    <w:keepLines w:val="0"/>
                    <w:pageBreakBefore w:val="0"/>
                    <w:kinsoku/>
                    <w:wordWrap/>
                    <w:overflowPunct/>
                    <w:topLinePunct w:val="0"/>
                    <w:autoSpaceDE/>
                    <w:autoSpaceDN/>
                    <w:bidi w:val="0"/>
                    <w:adjustRightInd/>
                    <w:snapToGrid/>
                    <w:ind w:left="0" w:firstLine="0" w:firstLineChars="0"/>
                    <w:jc w:val="center"/>
                    <w:rPr>
                      <w:color w:val="auto"/>
                      <w:highlight w:val="none"/>
                    </w:rPr>
                  </w:pPr>
                </w:p>
              </w:tc>
            </w:tr>
          </w:tbl>
          <w:p>
            <w:pPr>
              <w:pStyle w:val="63"/>
              <w:rPr>
                <w:color w:val="auto"/>
                <w:highlight w:val="none"/>
              </w:rPr>
            </w:pPr>
          </w:p>
          <w:p>
            <w:pPr>
              <w:pStyle w:val="76"/>
              <w:rPr>
                <w:rFonts w:ascii="Times New Roman" w:hAnsi="Times New Roman"/>
                <w:color w:val="auto"/>
                <w:highlight w:val="none"/>
              </w:rPr>
            </w:pPr>
            <w:r>
              <w:rPr>
                <w:rFonts w:ascii="Times New Roman" w:hAnsi="Times New Roman"/>
                <w:color w:val="auto"/>
                <w:highlight w:val="none"/>
              </w:rPr>
              <w:t>图</w:t>
            </w:r>
            <w:r>
              <w:rPr>
                <w:rFonts w:hint="eastAsia" w:ascii="Times New Roman" w:hAnsi="Times New Roman"/>
                <w:color w:val="auto"/>
                <w:highlight w:val="none"/>
                <w:lang w:val="en-US" w:eastAsia="zh-CN"/>
              </w:rPr>
              <w:t>4</w:t>
            </w:r>
            <w:r>
              <w:rPr>
                <w:rFonts w:ascii="Times New Roman" w:hAnsi="Times New Roman"/>
                <w:color w:val="auto"/>
                <w:highlight w:val="none"/>
              </w:rPr>
              <w:t xml:space="preserve"> 海域水质监测点位</w:t>
            </w:r>
          </w:p>
          <w:p>
            <w:pPr>
              <w:pStyle w:val="98"/>
              <w:ind w:firstLine="480"/>
              <w:rPr>
                <w:color w:val="auto"/>
                <w:highlight w:val="none"/>
              </w:rPr>
            </w:pPr>
            <w:r>
              <w:rPr>
                <w:color w:val="auto"/>
                <w:highlight w:val="none"/>
              </w:rPr>
              <w:t>(2)监测结果</w:t>
            </w:r>
          </w:p>
          <w:p>
            <w:pPr>
              <w:pStyle w:val="98"/>
              <w:ind w:firstLine="480"/>
              <w:rPr>
                <w:color w:val="auto"/>
                <w:highlight w:val="none"/>
              </w:rPr>
            </w:pPr>
            <w:r>
              <w:rPr>
                <w:color w:val="auto"/>
                <w:highlight w:val="none"/>
              </w:rPr>
              <w:t>引用海域水质调查结果详见表</w:t>
            </w:r>
            <w:r>
              <w:rPr>
                <w:rFonts w:hint="eastAsia"/>
                <w:color w:val="auto"/>
                <w:highlight w:val="none"/>
                <w:lang w:val="en-US" w:eastAsia="zh-CN"/>
              </w:rPr>
              <w:t>15</w:t>
            </w:r>
            <w:r>
              <w:rPr>
                <w:color w:val="auto"/>
                <w:highlight w:val="none"/>
              </w:rPr>
              <w:t>。</w:t>
            </w:r>
          </w:p>
          <w:p>
            <w:pPr>
              <w:pStyle w:val="57"/>
              <w:rPr>
                <w:color w:val="auto"/>
                <w:highlight w:val="none"/>
              </w:rPr>
            </w:pPr>
            <w:r>
              <w:rPr>
                <w:color w:val="auto"/>
                <w:highlight w:val="none"/>
              </w:rPr>
              <w:t xml:space="preserve"> 引用监测结果一览表</w:t>
            </w:r>
          </w:p>
          <w:tbl>
            <w:tblPr>
              <w:tblStyle w:val="25"/>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1143"/>
              <w:gridCol w:w="2132"/>
              <w:gridCol w:w="1176"/>
              <w:gridCol w:w="30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116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采样日期</w:t>
                  </w:r>
                </w:p>
              </w:tc>
              <w:tc>
                <w:tcPr>
                  <w:tcW w:w="114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点位名称</w:t>
                  </w:r>
                </w:p>
              </w:tc>
              <w:tc>
                <w:tcPr>
                  <w:tcW w:w="21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监测因子</w:t>
                  </w:r>
                </w:p>
              </w:tc>
              <w:tc>
                <w:tcPr>
                  <w:tcW w:w="117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监测结果</w:t>
                  </w:r>
                </w:p>
              </w:tc>
              <w:tc>
                <w:tcPr>
                  <w:tcW w:w="30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eastAsia="宋体"/>
                      <w:color w:val="auto"/>
                      <w:highlight w:val="none"/>
                      <w:lang w:val="en-US" w:eastAsia="zh-CN"/>
                    </w:rPr>
                  </w:pPr>
                  <w:r>
                    <w:rPr>
                      <w:rFonts w:hint="eastAsia"/>
                      <w:color w:val="auto"/>
                      <w:highlight w:val="none"/>
                      <w:lang w:val="en-US" w:eastAsia="zh-CN"/>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1166"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43"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21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7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p>
              </w:tc>
              <w:tc>
                <w:tcPr>
                  <w:tcW w:w="30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1166"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43"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21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7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p>
              </w:tc>
              <w:tc>
                <w:tcPr>
                  <w:tcW w:w="30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1166"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43"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21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7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p>
              </w:tc>
              <w:tc>
                <w:tcPr>
                  <w:tcW w:w="30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1166"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43"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21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7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p>
              </w:tc>
              <w:tc>
                <w:tcPr>
                  <w:tcW w:w="30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1166"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43"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21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7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p>
              </w:tc>
              <w:tc>
                <w:tcPr>
                  <w:tcW w:w="30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1166"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43"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21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7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p>
              </w:tc>
              <w:tc>
                <w:tcPr>
                  <w:tcW w:w="30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6"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43"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21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7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30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1166"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p>
              </w:tc>
              <w:tc>
                <w:tcPr>
                  <w:tcW w:w="1143"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21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7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p>
              </w:tc>
              <w:tc>
                <w:tcPr>
                  <w:tcW w:w="30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color w:val="auto"/>
                      <w:kern w:val="2"/>
                      <w:sz w:val="21"/>
                      <w:szCs w:val="22"/>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1166"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43"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21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7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p>
              </w:tc>
              <w:tc>
                <w:tcPr>
                  <w:tcW w:w="30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color w:val="auto"/>
                      <w:kern w:val="2"/>
                      <w:sz w:val="21"/>
                      <w:szCs w:val="22"/>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6"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43"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21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7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p>
              </w:tc>
              <w:tc>
                <w:tcPr>
                  <w:tcW w:w="30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color w:val="auto"/>
                      <w:kern w:val="2"/>
                      <w:sz w:val="21"/>
                      <w:szCs w:val="22"/>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6"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43"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21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7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p>
              </w:tc>
              <w:tc>
                <w:tcPr>
                  <w:tcW w:w="30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color w:val="auto"/>
                      <w:kern w:val="2"/>
                      <w:sz w:val="21"/>
                      <w:szCs w:val="22"/>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1166"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43"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21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7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p>
              </w:tc>
              <w:tc>
                <w:tcPr>
                  <w:tcW w:w="30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color w:val="auto"/>
                      <w:kern w:val="2"/>
                      <w:sz w:val="21"/>
                      <w:szCs w:val="22"/>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6"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43"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21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7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p>
              </w:tc>
              <w:tc>
                <w:tcPr>
                  <w:tcW w:w="30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auto"/>
                      <w:kern w:val="2"/>
                      <w:sz w:val="21"/>
                      <w:szCs w:val="22"/>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1166"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43"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21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17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p>
              </w:tc>
              <w:tc>
                <w:tcPr>
                  <w:tcW w:w="30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color w:val="auto"/>
                      <w:kern w:val="2"/>
                      <w:sz w:val="21"/>
                      <w:szCs w:val="22"/>
                      <w:highlight w:val="none"/>
                      <w:lang w:val="en-US" w:eastAsia="zh-CN" w:bidi="ar-SA"/>
                    </w:rPr>
                  </w:pPr>
                </w:p>
              </w:tc>
            </w:tr>
          </w:tbl>
          <w:p>
            <w:pPr>
              <w:pStyle w:val="98"/>
              <w:ind w:firstLine="480"/>
              <w:rPr>
                <w:color w:val="auto"/>
                <w:highlight w:val="none"/>
              </w:rPr>
            </w:pPr>
            <w:r>
              <w:rPr>
                <w:color w:val="auto"/>
                <w:highlight w:val="none"/>
              </w:rPr>
              <w:t>从上表的监测结果可知，在监测期间，相关海域海水中的DO、SS、</w:t>
            </w:r>
            <w:r>
              <w:rPr>
                <w:rFonts w:hint="eastAsia"/>
                <w:color w:val="auto"/>
                <w:highlight w:val="none"/>
                <w:lang w:val="en-US" w:eastAsia="zh-CN"/>
              </w:rPr>
              <w:t>p</w:t>
            </w:r>
            <w:r>
              <w:rPr>
                <w:color w:val="auto"/>
                <w:highlight w:val="none"/>
              </w:rPr>
              <w:t>H、COD、盐度、水温、石油类等各项指标均满足</w:t>
            </w:r>
            <w:r>
              <w:rPr>
                <w:color w:val="auto"/>
                <w:kern w:val="0"/>
                <w:highlight w:val="none"/>
              </w:rPr>
              <w:t>GB3097-1997《海水水质标准》中的第三类水质标准限值要求。</w:t>
            </w:r>
          </w:p>
          <w:p>
            <w:pPr>
              <w:pStyle w:val="3"/>
              <w:rPr>
                <w:color w:val="auto"/>
                <w:highlight w:val="none"/>
              </w:rPr>
            </w:pPr>
            <w:r>
              <w:rPr>
                <w:rFonts w:hint="eastAsia"/>
                <w:color w:val="auto"/>
                <w:highlight w:val="none"/>
                <w:lang w:val="en-US" w:eastAsia="zh-CN"/>
              </w:rPr>
              <w:t>4</w:t>
            </w:r>
            <w:r>
              <w:rPr>
                <w:color w:val="auto"/>
                <w:highlight w:val="none"/>
              </w:rPr>
              <w:t>、声环境质量现状</w:t>
            </w:r>
          </w:p>
          <w:p>
            <w:pPr>
              <w:adjustRightInd w:val="0"/>
              <w:snapToGrid w:val="0"/>
              <w:spacing w:line="360" w:lineRule="auto"/>
              <w:ind w:firstLine="480"/>
              <w:jc w:val="left"/>
              <w:rPr>
                <w:color w:val="auto"/>
                <w:sz w:val="24"/>
                <w:szCs w:val="32"/>
                <w:highlight w:val="none"/>
              </w:rPr>
            </w:pPr>
            <w:r>
              <w:rPr>
                <w:color w:val="auto"/>
                <w:sz w:val="24"/>
                <w:szCs w:val="32"/>
                <w:highlight w:val="none"/>
              </w:rPr>
              <w:t>本项目50m范围内无声环境保护目标，因此本项目不评价声环境质量。</w:t>
            </w:r>
          </w:p>
          <w:p>
            <w:pPr>
              <w:pStyle w:val="3"/>
              <w:rPr>
                <w:color w:val="auto"/>
                <w:highlight w:val="none"/>
              </w:rPr>
            </w:pPr>
            <w:r>
              <w:rPr>
                <w:rFonts w:hint="eastAsia"/>
                <w:color w:val="auto"/>
                <w:highlight w:val="none"/>
                <w:lang w:val="en-US" w:eastAsia="zh-CN"/>
              </w:rPr>
              <w:t>5</w:t>
            </w:r>
            <w:r>
              <w:rPr>
                <w:color w:val="auto"/>
                <w:highlight w:val="none"/>
              </w:rPr>
              <w:t>、生态环境</w:t>
            </w:r>
          </w:p>
          <w:p>
            <w:pPr>
              <w:pStyle w:val="98"/>
              <w:ind w:firstLine="480"/>
              <w:rPr>
                <w:color w:val="auto"/>
                <w:highlight w:val="none"/>
              </w:rPr>
            </w:pPr>
            <w:r>
              <w:rPr>
                <w:color w:val="auto"/>
                <w:kern w:val="0"/>
                <w:szCs w:val="21"/>
                <w:highlight w:val="none"/>
              </w:rPr>
              <w:t>本项目位于</w:t>
            </w:r>
            <w:r>
              <w:rPr>
                <w:color w:val="auto"/>
                <w:highlight w:val="none"/>
              </w:rPr>
              <w:t>福鼎市</w:t>
            </w:r>
            <w:r>
              <w:rPr>
                <w:rFonts w:hint="eastAsia"/>
                <w:color w:val="auto"/>
                <w:highlight w:val="none"/>
                <w:lang w:val="en-US" w:eastAsia="zh-CN"/>
              </w:rPr>
              <w:t>山前街道百胜鸡母岩</w:t>
            </w:r>
            <w:r>
              <w:rPr>
                <w:color w:val="auto"/>
                <w:highlight w:val="none"/>
              </w:rPr>
              <w:t>，不属于新增用地，且用地范围内无生态环境保护目标，因此，本项目不进行生态现状调查。</w:t>
            </w:r>
          </w:p>
          <w:p>
            <w:pPr>
              <w:pStyle w:val="3"/>
              <w:rPr>
                <w:color w:val="auto"/>
                <w:highlight w:val="none"/>
              </w:rPr>
            </w:pPr>
            <w:r>
              <w:rPr>
                <w:rFonts w:hint="eastAsia"/>
                <w:color w:val="auto"/>
                <w:highlight w:val="none"/>
                <w:lang w:val="en-US" w:eastAsia="zh-CN"/>
              </w:rPr>
              <w:t>6</w:t>
            </w:r>
            <w:r>
              <w:rPr>
                <w:color w:val="auto"/>
                <w:highlight w:val="none"/>
              </w:rPr>
              <w:t>、地下水、土壤环境</w:t>
            </w:r>
          </w:p>
          <w:p>
            <w:pPr>
              <w:pStyle w:val="98"/>
              <w:ind w:firstLine="480"/>
              <w:rPr>
                <w:color w:val="auto"/>
                <w:highlight w:val="none"/>
              </w:rPr>
            </w:pPr>
            <w:r>
              <w:rPr>
                <w:rFonts w:hint="eastAsia" w:ascii="Times New Roman" w:hAnsi="Times New Roman" w:eastAsia="宋体" w:cs="Times New Roman"/>
                <w:b w:val="0"/>
                <w:color w:val="auto"/>
                <w:kern w:val="2"/>
                <w:sz w:val="24"/>
                <w:szCs w:val="24"/>
                <w:highlight w:val="none"/>
                <w:lang w:val="en-US" w:eastAsia="zh-CN" w:bidi="ar-SA"/>
              </w:rPr>
              <w:t>本项目</w:t>
            </w:r>
            <w:r>
              <w:rPr>
                <w:rFonts w:hint="eastAsia" w:cs="Times New Roman"/>
                <w:b w:val="0"/>
                <w:color w:val="auto"/>
                <w:kern w:val="2"/>
                <w:sz w:val="24"/>
                <w:szCs w:val="24"/>
                <w:highlight w:val="none"/>
                <w:lang w:val="en-US" w:eastAsia="zh-CN" w:bidi="ar-SA"/>
              </w:rPr>
              <w:t>建成</w:t>
            </w:r>
            <w:r>
              <w:rPr>
                <w:rFonts w:hint="eastAsia" w:ascii="Times New Roman" w:hAnsi="Times New Roman" w:cs="Times New Roman"/>
                <w:b w:val="0"/>
                <w:color w:val="auto"/>
                <w:kern w:val="2"/>
                <w:sz w:val="24"/>
                <w:szCs w:val="24"/>
                <w:highlight w:val="none"/>
                <w:lang w:val="en-US" w:eastAsia="zh-CN" w:bidi="ar-SA"/>
              </w:rPr>
              <w:t>后，</w:t>
            </w:r>
            <w:r>
              <w:rPr>
                <w:rFonts w:hint="eastAsia" w:cs="Times New Roman"/>
                <w:b w:val="0"/>
                <w:color w:val="auto"/>
                <w:kern w:val="2"/>
                <w:sz w:val="24"/>
                <w:szCs w:val="24"/>
                <w:highlight w:val="none"/>
                <w:lang w:val="en-US" w:eastAsia="zh-CN" w:bidi="ar-SA"/>
              </w:rPr>
              <w:t>生产</w:t>
            </w:r>
            <w:r>
              <w:rPr>
                <w:rFonts w:hint="eastAsia" w:ascii="Times New Roman" w:hAnsi="Times New Roman" w:cs="Times New Roman"/>
                <w:b w:val="0"/>
                <w:color w:val="auto"/>
                <w:kern w:val="2"/>
                <w:sz w:val="24"/>
                <w:szCs w:val="24"/>
                <w:highlight w:val="none"/>
                <w:lang w:val="en-US" w:eastAsia="zh-CN" w:bidi="ar-SA"/>
              </w:rPr>
              <w:t>区域地面水泥硬化，污水处理设施采取防渗措施，不存在地下水、土壤污染途径，</w:t>
            </w:r>
            <w:r>
              <w:rPr>
                <w:color w:val="auto"/>
                <w:highlight w:val="none"/>
              </w:rPr>
              <w:t>根据《建设项目环境影响报告表编制技术指南(污染影响类)(试行)》原则上不开展地下水、土壤环境质量现状调查，因此，本项目不评价地下水、土壤环境质量现状。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35" w:hRule="atLeast"/>
          <w:jc w:val="center"/>
        </w:trPr>
        <w:tc>
          <w:tcPr>
            <w:tcW w:w="444" w:type="dxa"/>
            <w:noWrap w:val="0"/>
            <w:vAlign w:val="center"/>
          </w:tcPr>
          <w:p>
            <w:pPr>
              <w:adjustRightInd w:val="0"/>
              <w:snapToGrid w:val="0"/>
              <w:jc w:val="center"/>
              <w:rPr>
                <w:color w:val="auto"/>
                <w:kern w:val="0"/>
                <w:szCs w:val="21"/>
                <w:highlight w:val="none"/>
              </w:rPr>
            </w:pPr>
            <w:r>
              <w:rPr>
                <w:color w:val="auto"/>
                <w:kern w:val="0"/>
                <w:szCs w:val="21"/>
                <w:highlight w:val="none"/>
              </w:rPr>
              <w:t>环境</w:t>
            </w:r>
          </w:p>
          <w:p>
            <w:pPr>
              <w:adjustRightInd w:val="0"/>
              <w:snapToGrid w:val="0"/>
              <w:jc w:val="center"/>
              <w:rPr>
                <w:color w:val="auto"/>
                <w:kern w:val="0"/>
                <w:szCs w:val="21"/>
                <w:highlight w:val="none"/>
              </w:rPr>
            </w:pPr>
            <w:r>
              <w:rPr>
                <w:color w:val="auto"/>
                <w:kern w:val="0"/>
                <w:szCs w:val="21"/>
                <w:highlight w:val="none"/>
              </w:rPr>
              <w:t>保护</w:t>
            </w:r>
          </w:p>
          <w:p>
            <w:pPr>
              <w:adjustRightInd w:val="0"/>
              <w:snapToGrid w:val="0"/>
              <w:jc w:val="center"/>
              <w:rPr>
                <w:color w:val="auto"/>
                <w:kern w:val="0"/>
                <w:szCs w:val="21"/>
                <w:highlight w:val="none"/>
              </w:rPr>
            </w:pPr>
            <w:r>
              <w:rPr>
                <w:color w:val="auto"/>
                <w:kern w:val="0"/>
                <w:szCs w:val="21"/>
                <w:highlight w:val="none"/>
              </w:rPr>
              <w:t>目标</w:t>
            </w:r>
          </w:p>
        </w:tc>
        <w:tc>
          <w:tcPr>
            <w:tcW w:w="8843" w:type="dxa"/>
            <w:noWrap w:val="0"/>
            <w:vAlign w:val="top"/>
          </w:tcPr>
          <w:p>
            <w:pPr>
              <w:pStyle w:val="98"/>
              <w:ind w:firstLine="480"/>
              <w:rPr>
                <w:color w:val="auto"/>
                <w:highlight w:val="none"/>
              </w:rPr>
            </w:pPr>
            <w:r>
              <w:rPr>
                <w:color w:val="auto"/>
                <w:highlight w:val="none"/>
              </w:rPr>
              <w:t>1、大气环境</w:t>
            </w:r>
          </w:p>
          <w:p>
            <w:pPr>
              <w:pStyle w:val="98"/>
              <w:ind w:firstLine="480"/>
              <w:rPr>
                <w:color w:val="auto"/>
                <w:highlight w:val="none"/>
              </w:rPr>
            </w:pPr>
            <w:r>
              <w:rPr>
                <w:color w:val="auto"/>
                <w:highlight w:val="none"/>
              </w:rPr>
              <w:t>本项目</w:t>
            </w:r>
            <w:r>
              <w:rPr>
                <w:rFonts w:hint="eastAsia"/>
                <w:color w:val="auto"/>
                <w:highlight w:val="none"/>
                <w:lang w:val="en-US" w:eastAsia="zh-CN"/>
              </w:rPr>
              <w:t>大气环境环保目标为</w:t>
            </w:r>
            <w:r>
              <w:rPr>
                <w:color w:val="auto"/>
                <w:highlight w:val="none"/>
              </w:rPr>
              <w:t>厂界</w:t>
            </w:r>
            <w:r>
              <w:rPr>
                <w:rFonts w:hint="eastAsia"/>
                <w:color w:val="auto"/>
                <w:highlight w:val="none"/>
                <w:lang w:val="en-US" w:eastAsia="zh-CN"/>
              </w:rPr>
              <w:t>东南侧126</w:t>
            </w:r>
            <w:r>
              <w:rPr>
                <w:color w:val="auto"/>
                <w:highlight w:val="none"/>
              </w:rPr>
              <w:t>米</w:t>
            </w:r>
            <w:r>
              <w:rPr>
                <w:rFonts w:hint="eastAsia"/>
                <w:color w:val="auto"/>
                <w:highlight w:val="none"/>
                <w:lang w:val="en-US" w:eastAsia="zh-CN"/>
              </w:rPr>
              <w:t>的鸡母岩自然村，厂界外500m范围内不涉及</w:t>
            </w:r>
            <w:r>
              <w:rPr>
                <w:color w:val="auto"/>
                <w:highlight w:val="none"/>
              </w:rPr>
              <w:t>自然保护区、风景名胜区、文化区</w:t>
            </w:r>
            <w:r>
              <w:rPr>
                <w:rFonts w:hint="eastAsia"/>
                <w:color w:val="auto"/>
                <w:highlight w:val="none"/>
                <w:lang w:val="en-US" w:eastAsia="zh-CN"/>
              </w:rPr>
              <w:t>等</w:t>
            </w:r>
            <w:r>
              <w:rPr>
                <w:color w:val="auto"/>
                <w:highlight w:val="none"/>
              </w:rPr>
              <w:t>人群较集中的区域等保护目标。</w:t>
            </w:r>
          </w:p>
          <w:p>
            <w:pPr>
              <w:pStyle w:val="98"/>
              <w:ind w:firstLine="480"/>
              <w:rPr>
                <w:color w:val="auto"/>
                <w:highlight w:val="none"/>
              </w:rPr>
            </w:pPr>
            <w:r>
              <w:rPr>
                <w:color w:val="auto"/>
                <w:highlight w:val="none"/>
              </w:rPr>
              <w:t>2、声环境</w:t>
            </w:r>
          </w:p>
          <w:p>
            <w:pPr>
              <w:pStyle w:val="98"/>
              <w:ind w:firstLine="480"/>
              <w:rPr>
                <w:color w:val="auto"/>
                <w:highlight w:val="none"/>
              </w:rPr>
            </w:pPr>
            <w:r>
              <w:rPr>
                <w:color w:val="auto"/>
                <w:highlight w:val="none"/>
              </w:rPr>
              <w:t>本项目厂界外50米范围内无声环境保护目标。</w:t>
            </w:r>
          </w:p>
          <w:p>
            <w:pPr>
              <w:pStyle w:val="98"/>
              <w:numPr>
                <w:ilvl w:val="0"/>
                <w:numId w:val="0"/>
              </w:numPr>
              <w:ind w:leftChars="0" w:firstLine="480"/>
              <w:rPr>
                <w:rFonts w:hint="eastAsia"/>
                <w:color w:val="auto"/>
                <w:highlight w:val="none"/>
                <w:lang w:val="en-US" w:eastAsia="zh-CN"/>
              </w:rPr>
            </w:pPr>
            <w:r>
              <w:rPr>
                <w:rFonts w:hint="eastAsia"/>
                <w:color w:val="auto"/>
                <w:highlight w:val="none"/>
                <w:lang w:val="en-US" w:eastAsia="zh-CN"/>
              </w:rPr>
              <w:t>3、地表水</w:t>
            </w:r>
          </w:p>
          <w:p>
            <w:pPr>
              <w:pStyle w:val="9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eastAsia="宋体" w:cs="Times New Roman"/>
                <w:color w:val="auto"/>
                <w:sz w:val="24"/>
                <w:szCs w:val="32"/>
                <w:highlight w:val="none"/>
                <w:lang w:val="en-US" w:eastAsia="zh-CN"/>
              </w:rPr>
            </w:pPr>
            <w:r>
              <w:rPr>
                <w:rFonts w:hint="eastAsia"/>
                <w:color w:val="auto"/>
                <w:sz w:val="24"/>
                <w:szCs w:val="32"/>
                <w:highlight w:val="none"/>
                <w:lang w:val="en-US" w:eastAsia="zh-CN"/>
              </w:rPr>
              <w:t>本项目位于福鼎市山前街道百胜村鸡母岩君德码头，</w:t>
            </w:r>
            <w:r>
              <w:rPr>
                <w:rFonts w:hint="eastAsia" w:ascii="Times New Roman" w:hAnsi="Times New Roman" w:eastAsia="宋体" w:cs="Times New Roman"/>
                <w:color w:val="auto"/>
                <w:sz w:val="24"/>
                <w:szCs w:val="32"/>
                <w:highlight w:val="none"/>
                <w:lang w:val="en-US" w:eastAsia="zh-CN"/>
              </w:rPr>
              <w:t>临近</w:t>
            </w:r>
            <w:r>
              <w:rPr>
                <w:rFonts w:hint="eastAsia" w:ascii="Times New Roman" w:hAnsi="Times New Roman" w:eastAsia="宋体" w:cs="Times New Roman"/>
                <w:b w:val="0"/>
                <w:bCs w:val="0"/>
                <w:color w:val="auto"/>
                <w:sz w:val="24"/>
                <w:szCs w:val="32"/>
                <w:highlight w:val="none"/>
              </w:rPr>
              <w:t>沙埕</w:t>
            </w:r>
            <w:r>
              <w:rPr>
                <w:rFonts w:hint="eastAsia" w:ascii="Times New Roman" w:hAnsi="Times New Roman" w:eastAsia="宋体" w:cs="Times New Roman"/>
                <w:b w:val="0"/>
                <w:bCs w:val="0"/>
                <w:color w:val="auto"/>
                <w:sz w:val="24"/>
                <w:szCs w:val="32"/>
                <w:highlight w:val="none"/>
                <w:lang w:val="en-US" w:eastAsia="zh-CN"/>
              </w:rPr>
              <w:t>湾，</w:t>
            </w:r>
            <w:r>
              <w:rPr>
                <w:rFonts w:hint="eastAsia" w:ascii="Times New Roman" w:hAnsi="Times New Roman" w:eastAsia="宋体" w:cs="Times New Roman"/>
                <w:b w:val="0"/>
                <w:bCs w:val="0"/>
                <w:color w:val="auto"/>
                <w:sz w:val="24"/>
                <w:szCs w:val="32"/>
                <w:highlight w:val="none"/>
              </w:rPr>
              <w:t>沙埕</w:t>
            </w:r>
            <w:r>
              <w:rPr>
                <w:rFonts w:hint="eastAsia" w:ascii="Times New Roman" w:hAnsi="Times New Roman" w:eastAsia="宋体" w:cs="Times New Roman"/>
                <w:b w:val="0"/>
                <w:bCs w:val="0"/>
                <w:color w:val="auto"/>
                <w:sz w:val="24"/>
                <w:szCs w:val="32"/>
                <w:highlight w:val="none"/>
                <w:lang w:val="en-US" w:eastAsia="zh-CN"/>
              </w:rPr>
              <w:t>湾</w:t>
            </w:r>
            <w:r>
              <w:rPr>
                <w:rFonts w:hint="eastAsia" w:ascii="Times New Roman" w:hAnsi="Times New Roman" w:eastAsia="宋体" w:cs="Times New Roman"/>
                <w:b w:val="0"/>
                <w:bCs w:val="0"/>
                <w:color w:val="auto"/>
                <w:sz w:val="24"/>
                <w:szCs w:val="32"/>
                <w:highlight w:val="none"/>
              </w:rPr>
              <w:t>主导功能港口、航运、一般工业用水，辅助功能纳污，海水水质执行GB3097-1997《海水水质标准》第三类标准</w:t>
            </w:r>
            <w:r>
              <w:rPr>
                <w:rFonts w:hint="eastAsia" w:ascii="Times New Roman" w:hAnsi="Times New Roman" w:eastAsia="宋体" w:cs="Times New Roman"/>
                <w:color w:val="auto"/>
                <w:sz w:val="24"/>
                <w:szCs w:val="32"/>
                <w:highlight w:val="none"/>
                <w:lang w:val="en-US" w:eastAsia="zh-CN"/>
              </w:rPr>
              <w:t>。</w:t>
            </w:r>
          </w:p>
          <w:p>
            <w:pPr>
              <w:pStyle w:val="98"/>
              <w:ind w:firstLine="480"/>
              <w:rPr>
                <w:color w:val="auto"/>
                <w:highlight w:val="none"/>
              </w:rPr>
            </w:pPr>
            <w:r>
              <w:rPr>
                <w:rFonts w:hint="eastAsia"/>
                <w:color w:val="auto"/>
                <w:highlight w:val="none"/>
                <w:lang w:val="en-US" w:eastAsia="zh-CN"/>
              </w:rPr>
              <w:t>4</w:t>
            </w:r>
            <w:r>
              <w:rPr>
                <w:color w:val="auto"/>
                <w:highlight w:val="none"/>
              </w:rPr>
              <w:t>、地下水</w:t>
            </w:r>
          </w:p>
          <w:p>
            <w:pPr>
              <w:pStyle w:val="98"/>
              <w:ind w:firstLine="480"/>
              <w:rPr>
                <w:color w:val="auto"/>
                <w:highlight w:val="none"/>
              </w:rPr>
            </w:pPr>
            <w:r>
              <w:rPr>
                <w:color w:val="auto"/>
                <w:highlight w:val="none"/>
              </w:rPr>
              <w:t>厂界外500米范围内无地下水集中式饮用水水源和热水、矿泉水、泉水等特殊地下水资源。</w:t>
            </w:r>
          </w:p>
          <w:p>
            <w:pPr>
              <w:pStyle w:val="98"/>
              <w:bidi w:val="0"/>
              <w:ind w:firstLine="480"/>
              <w:rPr>
                <w:rFonts w:hint="default"/>
                <w:color w:val="auto"/>
                <w:highlight w:val="none"/>
                <w:lang w:val="en-US" w:eastAsia="zh-CN"/>
              </w:rPr>
            </w:pPr>
            <w:r>
              <w:rPr>
                <w:rFonts w:hint="eastAsia"/>
                <w:color w:val="auto"/>
                <w:highlight w:val="none"/>
                <w:lang w:val="en-US" w:eastAsia="zh-CN"/>
              </w:rPr>
              <w:t>项目环境保护目标详见表16，项目环境影响评价范围及敏感目标详见图5。</w:t>
            </w:r>
          </w:p>
          <w:p>
            <w:pPr>
              <w:pStyle w:val="57"/>
              <w:bidi w:val="0"/>
              <w:rPr>
                <w:color w:val="auto"/>
                <w:highlight w:val="none"/>
              </w:rPr>
            </w:pPr>
            <w:r>
              <w:rPr>
                <w:color w:val="auto"/>
                <w:highlight w:val="none"/>
              </w:rPr>
              <w:t>本项目周边敏感目标</w:t>
            </w:r>
          </w:p>
          <w:tbl>
            <w:tblPr>
              <w:tblStyle w:val="25"/>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3"/>
              <w:gridCol w:w="431"/>
              <w:gridCol w:w="745"/>
              <w:gridCol w:w="1480"/>
              <w:gridCol w:w="1380"/>
              <w:gridCol w:w="807"/>
              <w:gridCol w:w="917"/>
              <w:gridCol w:w="543"/>
              <w:gridCol w:w="16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673" w:type="dxa"/>
                  <w:vMerge w:val="restart"/>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环境要素</w:t>
                  </w:r>
                </w:p>
              </w:tc>
              <w:tc>
                <w:tcPr>
                  <w:tcW w:w="431" w:type="dxa"/>
                  <w:vMerge w:val="restart"/>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序号</w:t>
                  </w:r>
                </w:p>
              </w:tc>
              <w:tc>
                <w:tcPr>
                  <w:tcW w:w="745" w:type="dxa"/>
                  <w:vMerge w:val="restart"/>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保护目标名称</w:t>
                  </w:r>
                </w:p>
              </w:tc>
              <w:tc>
                <w:tcPr>
                  <w:tcW w:w="2860" w:type="dxa"/>
                  <w:gridSpan w:val="2"/>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经纬度坐标</w:t>
                  </w:r>
                </w:p>
              </w:tc>
              <w:tc>
                <w:tcPr>
                  <w:tcW w:w="807" w:type="dxa"/>
                  <w:vMerge w:val="restart"/>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相对本项目方位</w:t>
                  </w:r>
                </w:p>
              </w:tc>
              <w:tc>
                <w:tcPr>
                  <w:tcW w:w="917" w:type="dxa"/>
                  <w:vMerge w:val="restart"/>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与项目边界最小距离</w:t>
                  </w:r>
                </w:p>
              </w:tc>
              <w:tc>
                <w:tcPr>
                  <w:tcW w:w="543" w:type="dxa"/>
                  <w:vMerge w:val="restart"/>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规模</w:t>
                  </w:r>
                </w:p>
              </w:tc>
              <w:tc>
                <w:tcPr>
                  <w:tcW w:w="1641" w:type="dxa"/>
                  <w:vMerge w:val="restart"/>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保护级别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673" w:type="dxa"/>
                  <w:vMerge w:val="continue"/>
                  <w:noWrap w:val="0"/>
                  <w:vAlign w:val="center"/>
                </w:tcPr>
                <w:p>
                  <w:pPr>
                    <w:pStyle w:val="65"/>
                    <w:keepNext w:val="0"/>
                    <w:keepLines w:val="0"/>
                    <w:pageBreakBefore w:val="0"/>
                    <w:widowControl/>
                    <w:kinsoku/>
                    <w:wordWrap/>
                    <w:overflowPunct/>
                    <w:topLinePunct w:val="0"/>
                    <w:autoSpaceDE/>
                    <w:autoSpaceDN/>
                    <w:bidi w:val="0"/>
                    <w:adjustRightInd w:val="0"/>
                    <w:snapToGrid w:val="0"/>
                    <w:spacing w:line="240" w:lineRule="auto"/>
                    <w:ind w:left="0" w:firstLine="0" w:firstLineChars="0"/>
                    <w:jc w:val="left"/>
                    <w:textAlignment w:val="auto"/>
                    <w:rPr>
                      <w:rFonts w:hint="default" w:ascii="Times New Roman" w:hAnsi="Times New Roman" w:cs="Times New Roman"/>
                      <w:color w:val="auto"/>
                      <w:highlight w:val="none"/>
                    </w:rPr>
                  </w:pPr>
                </w:p>
              </w:tc>
              <w:tc>
                <w:tcPr>
                  <w:tcW w:w="431" w:type="dxa"/>
                  <w:vMerge w:val="continue"/>
                  <w:noWrap w:val="0"/>
                  <w:vAlign w:val="center"/>
                </w:tcPr>
                <w:p>
                  <w:pPr>
                    <w:pStyle w:val="65"/>
                    <w:keepNext w:val="0"/>
                    <w:keepLines w:val="0"/>
                    <w:pageBreakBefore w:val="0"/>
                    <w:widowControl/>
                    <w:kinsoku/>
                    <w:wordWrap/>
                    <w:overflowPunct/>
                    <w:topLinePunct w:val="0"/>
                    <w:autoSpaceDE/>
                    <w:autoSpaceDN/>
                    <w:bidi w:val="0"/>
                    <w:adjustRightInd w:val="0"/>
                    <w:snapToGrid w:val="0"/>
                    <w:spacing w:line="240" w:lineRule="auto"/>
                    <w:ind w:left="0" w:firstLine="0" w:firstLineChars="0"/>
                    <w:jc w:val="left"/>
                    <w:textAlignment w:val="auto"/>
                    <w:rPr>
                      <w:rFonts w:hint="default" w:ascii="Times New Roman" w:hAnsi="Times New Roman" w:cs="Times New Roman"/>
                      <w:color w:val="auto"/>
                      <w:highlight w:val="none"/>
                    </w:rPr>
                  </w:pPr>
                </w:p>
              </w:tc>
              <w:tc>
                <w:tcPr>
                  <w:tcW w:w="745" w:type="dxa"/>
                  <w:vMerge w:val="continue"/>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highlight w:val="none"/>
                    </w:rPr>
                  </w:pPr>
                </w:p>
              </w:tc>
              <w:tc>
                <w:tcPr>
                  <w:tcW w:w="1480" w:type="dxa"/>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经度E</w:t>
                  </w:r>
                  <w:r>
                    <w:rPr>
                      <w:rFonts w:hint="eastAsia" w:ascii="Times New Roman" w:hAnsi="Times New Roman" w:cs="Times New Roman"/>
                      <w:color w:val="auto"/>
                      <w:highlight w:val="none"/>
                      <w:lang w:val="en-US" w:eastAsia="zh-CN"/>
                    </w:rPr>
                    <w:t xml:space="preserve"> </w:t>
                  </w:r>
                </w:p>
              </w:tc>
              <w:tc>
                <w:tcPr>
                  <w:tcW w:w="1380" w:type="dxa"/>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纬度N</w:t>
                  </w:r>
                  <w:r>
                    <w:rPr>
                      <w:rFonts w:hint="eastAsia" w:ascii="Times New Roman" w:hAnsi="Times New Roman" w:cs="Times New Roman"/>
                      <w:color w:val="auto"/>
                      <w:highlight w:val="none"/>
                      <w:lang w:val="en-US" w:eastAsia="zh-CN"/>
                    </w:rPr>
                    <w:t xml:space="preserve"> </w:t>
                  </w:r>
                </w:p>
              </w:tc>
              <w:tc>
                <w:tcPr>
                  <w:tcW w:w="807" w:type="dxa"/>
                  <w:vMerge w:val="continue"/>
                  <w:noWrap w:val="0"/>
                  <w:vAlign w:val="center"/>
                </w:tcPr>
                <w:p>
                  <w:pPr>
                    <w:pStyle w:val="65"/>
                    <w:keepNext w:val="0"/>
                    <w:keepLines w:val="0"/>
                    <w:pageBreakBefore w:val="0"/>
                    <w:widowControl/>
                    <w:kinsoku/>
                    <w:wordWrap/>
                    <w:overflowPunct/>
                    <w:topLinePunct w:val="0"/>
                    <w:autoSpaceDE/>
                    <w:autoSpaceDN/>
                    <w:bidi w:val="0"/>
                    <w:adjustRightInd w:val="0"/>
                    <w:snapToGrid w:val="0"/>
                    <w:spacing w:line="240" w:lineRule="auto"/>
                    <w:ind w:left="0" w:firstLine="0" w:firstLineChars="0"/>
                    <w:jc w:val="left"/>
                    <w:textAlignment w:val="auto"/>
                    <w:rPr>
                      <w:rFonts w:hint="default" w:ascii="Times New Roman" w:hAnsi="Times New Roman" w:cs="Times New Roman"/>
                      <w:color w:val="auto"/>
                      <w:highlight w:val="none"/>
                    </w:rPr>
                  </w:pPr>
                </w:p>
              </w:tc>
              <w:tc>
                <w:tcPr>
                  <w:tcW w:w="917" w:type="dxa"/>
                  <w:vMerge w:val="continue"/>
                  <w:noWrap w:val="0"/>
                  <w:vAlign w:val="center"/>
                </w:tcPr>
                <w:p>
                  <w:pPr>
                    <w:pStyle w:val="65"/>
                    <w:keepNext w:val="0"/>
                    <w:keepLines w:val="0"/>
                    <w:pageBreakBefore w:val="0"/>
                    <w:widowControl/>
                    <w:kinsoku/>
                    <w:wordWrap/>
                    <w:overflowPunct/>
                    <w:topLinePunct w:val="0"/>
                    <w:autoSpaceDE/>
                    <w:autoSpaceDN/>
                    <w:bidi w:val="0"/>
                    <w:adjustRightInd w:val="0"/>
                    <w:snapToGrid w:val="0"/>
                    <w:spacing w:line="240" w:lineRule="auto"/>
                    <w:ind w:left="0" w:firstLine="0" w:firstLineChars="0"/>
                    <w:jc w:val="left"/>
                    <w:textAlignment w:val="auto"/>
                    <w:rPr>
                      <w:rFonts w:hint="default" w:ascii="Times New Roman" w:hAnsi="Times New Roman" w:cs="Times New Roman"/>
                      <w:color w:val="auto"/>
                      <w:highlight w:val="none"/>
                    </w:rPr>
                  </w:pPr>
                </w:p>
              </w:tc>
              <w:tc>
                <w:tcPr>
                  <w:tcW w:w="543" w:type="dxa"/>
                  <w:vMerge w:val="continue"/>
                  <w:noWrap w:val="0"/>
                  <w:vAlign w:val="center"/>
                </w:tcPr>
                <w:p>
                  <w:pPr>
                    <w:pStyle w:val="65"/>
                    <w:keepNext w:val="0"/>
                    <w:keepLines w:val="0"/>
                    <w:pageBreakBefore w:val="0"/>
                    <w:widowControl/>
                    <w:kinsoku/>
                    <w:wordWrap/>
                    <w:overflowPunct/>
                    <w:topLinePunct w:val="0"/>
                    <w:autoSpaceDE/>
                    <w:autoSpaceDN/>
                    <w:bidi w:val="0"/>
                    <w:adjustRightInd w:val="0"/>
                    <w:snapToGrid w:val="0"/>
                    <w:spacing w:line="240" w:lineRule="auto"/>
                    <w:ind w:left="0" w:firstLine="0" w:firstLineChars="0"/>
                    <w:jc w:val="left"/>
                    <w:textAlignment w:val="auto"/>
                    <w:rPr>
                      <w:rFonts w:hint="default" w:ascii="Times New Roman" w:hAnsi="Times New Roman" w:cs="Times New Roman"/>
                      <w:color w:val="auto"/>
                      <w:highlight w:val="none"/>
                    </w:rPr>
                  </w:pPr>
                </w:p>
              </w:tc>
              <w:tc>
                <w:tcPr>
                  <w:tcW w:w="1641" w:type="dxa"/>
                  <w:vMerge w:val="continue"/>
                  <w:noWrap w:val="0"/>
                  <w:vAlign w:val="center"/>
                </w:tcPr>
                <w:p>
                  <w:pPr>
                    <w:pStyle w:val="65"/>
                    <w:keepNext w:val="0"/>
                    <w:keepLines w:val="0"/>
                    <w:pageBreakBefore w:val="0"/>
                    <w:widowControl/>
                    <w:kinsoku/>
                    <w:wordWrap/>
                    <w:overflowPunct/>
                    <w:topLinePunct w:val="0"/>
                    <w:autoSpaceDE/>
                    <w:autoSpaceDN/>
                    <w:bidi w:val="0"/>
                    <w:adjustRightInd w:val="0"/>
                    <w:snapToGrid w:val="0"/>
                    <w:spacing w:line="240" w:lineRule="auto"/>
                    <w:ind w:left="0" w:firstLine="0" w:firstLineChars="0"/>
                    <w:jc w:val="left"/>
                    <w:textAlignment w:val="auto"/>
                    <w:rPr>
                      <w:rFonts w:hint="default" w:ascii="Times New Roman" w:hAnsi="Times New Roman" w:cs="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673" w:type="dxa"/>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大气环境</w:t>
                  </w:r>
                </w:p>
              </w:tc>
              <w:tc>
                <w:tcPr>
                  <w:tcW w:w="431" w:type="dxa"/>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t>1</w:t>
                  </w:r>
                </w:p>
              </w:tc>
              <w:tc>
                <w:tcPr>
                  <w:tcW w:w="745" w:type="dxa"/>
                  <w:noWrap w:val="0"/>
                  <w:vAlign w:val="center"/>
                </w:tcPr>
                <w:p>
                  <w:pPr>
                    <w:pStyle w:val="65"/>
                    <w:bidi w:val="0"/>
                    <w:rPr>
                      <w:rFonts w:hint="default"/>
                      <w:color w:val="auto"/>
                      <w:highlight w:val="none"/>
                      <w:lang w:val="en-US" w:eastAsia="zh-CN"/>
                    </w:rPr>
                  </w:pPr>
                  <w:r>
                    <w:rPr>
                      <w:rFonts w:hint="eastAsia"/>
                      <w:color w:val="auto"/>
                      <w:highlight w:val="none"/>
                      <w:lang w:val="en-US" w:eastAsia="zh-CN"/>
                    </w:rPr>
                    <w:t>鸡母岩自然村</w:t>
                  </w:r>
                </w:p>
              </w:tc>
              <w:tc>
                <w:tcPr>
                  <w:tcW w:w="1480" w:type="dxa"/>
                  <w:noWrap w:val="0"/>
                  <w:vAlign w:val="center"/>
                </w:tcPr>
                <w:p>
                  <w:pPr>
                    <w:pStyle w:val="65"/>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t>120.260338</w:t>
                  </w:r>
                  <w:r>
                    <w:rPr>
                      <w:rFonts w:hint="default" w:ascii="Times New Roman" w:hAnsi="Times New Roman" w:cs="Times New Roman"/>
                      <w:color w:val="auto"/>
                      <w:highlight w:val="none"/>
                      <w:lang w:val="en-US" w:eastAsia="zh-CN"/>
                    </w:rPr>
                    <w:t>°</w:t>
                  </w:r>
                </w:p>
              </w:tc>
              <w:tc>
                <w:tcPr>
                  <w:tcW w:w="1380" w:type="dxa"/>
                  <w:noWrap w:val="0"/>
                  <w:vAlign w:val="center"/>
                </w:tcPr>
                <w:p>
                  <w:pPr>
                    <w:pStyle w:val="65"/>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t>27.289093</w:t>
                  </w:r>
                  <w:r>
                    <w:rPr>
                      <w:rFonts w:hint="default" w:ascii="Times New Roman" w:hAnsi="Times New Roman" w:cs="Times New Roman"/>
                      <w:color w:val="auto"/>
                      <w:highlight w:val="none"/>
                      <w:lang w:val="en-US" w:eastAsia="zh-CN"/>
                    </w:rPr>
                    <w:t>°</w:t>
                  </w:r>
                </w:p>
              </w:tc>
              <w:tc>
                <w:tcPr>
                  <w:tcW w:w="807" w:type="dxa"/>
                  <w:noWrap w:val="0"/>
                  <w:vAlign w:val="center"/>
                </w:tcPr>
                <w:p>
                  <w:pPr>
                    <w:pStyle w:val="65"/>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NE</w:t>
                  </w:r>
                </w:p>
              </w:tc>
              <w:tc>
                <w:tcPr>
                  <w:tcW w:w="917" w:type="dxa"/>
                  <w:noWrap w:val="0"/>
                  <w:vAlign w:val="center"/>
                </w:tcPr>
                <w:p>
                  <w:pPr>
                    <w:pStyle w:val="65"/>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126</w:t>
                  </w:r>
                  <w:r>
                    <w:rPr>
                      <w:rFonts w:hint="default" w:ascii="Times New Roman" w:hAnsi="Times New Roman" w:cs="Times New Roman"/>
                      <w:color w:val="auto"/>
                      <w:highlight w:val="none"/>
                      <w:lang w:val="en-US" w:eastAsia="zh-CN"/>
                    </w:rPr>
                    <w:t>m</w:t>
                  </w:r>
                </w:p>
              </w:tc>
              <w:tc>
                <w:tcPr>
                  <w:tcW w:w="543" w:type="dxa"/>
                  <w:noWrap w:val="0"/>
                  <w:vAlign w:val="center"/>
                </w:tcPr>
                <w:p>
                  <w:pPr>
                    <w:pStyle w:val="65"/>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约85</w:t>
                  </w:r>
                  <w:r>
                    <w:rPr>
                      <w:rFonts w:hint="default" w:ascii="Times New Roman" w:hAnsi="Times New Roman" w:cs="Times New Roman"/>
                      <w:color w:val="auto"/>
                      <w:highlight w:val="none"/>
                    </w:rPr>
                    <w:t xml:space="preserve"> 人</w:t>
                  </w:r>
                </w:p>
              </w:tc>
              <w:tc>
                <w:tcPr>
                  <w:tcW w:w="1641" w:type="dxa"/>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《环境空气质量标准》(GB3095-2012)中的二级标准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3" w:type="dxa"/>
                  <w:noWrap w:val="0"/>
                  <w:vAlign w:val="center"/>
                </w:tcPr>
                <w:p>
                  <w:pPr>
                    <w:pStyle w:val="65"/>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lang w:val="en-US" w:eastAsia="zh-CN"/>
                    </w:rPr>
                    <w:t>地表水</w:t>
                  </w:r>
                </w:p>
              </w:tc>
              <w:tc>
                <w:tcPr>
                  <w:tcW w:w="7944" w:type="dxa"/>
                  <w:gridSpan w:val="8"/>
                  <w:noWrap w:val="0"/>
                  <w:vAlign w:val="center"/>
                </w:tcPr>
                <w:p>
                  <w:pPr>
                    <w:pStyle w:val="65"/>
                    <w:jc w:val="left"/>
                    <w:rPr>
                      <w:rFonts w:hint="default" w:ascii="Times New Roman" w:hAnsi="Times New Roman" w:cs="Times New Roman"/>
                      <w:color w:val="auto"/>
                      <w:highlight w:val="none"/>
                    </w:rPr>
                  </w:pPr>
                  <w:r>
                    <w:rPr>
                      <w:rFonts w:hint="default" w:ascii="Times New Roman" w:hAnsi="Times New Roman" w:cs="Times New Roman"/>
                      <w:b w:val="0"/>
                      <w:bCs/>
                      <w:color w:val="auto"/>
                      <w:sz w:val="21"/>
                      <w:szCs w:val="21"/>
                      <w:highlight w:val="none"/>
                    </w:rPr>
                    <w:t>沙埕</w:t>
                  </w:r>
                  <w:r>
                    <w:rPr>
                      <w:rFonts w:hint="default" w:ascii="Times New Roman" w:hAnsi="Times New Roman" w:cs="Times New Roman"/>
                      <w:b w:val="0"/>
                      <w:bCs/>
                      <w:color w:val="auto"/>
                      <w:sz w:val="21"/>
                      <w:szCs w:val="21"/>
                      <w:highlight w:val="none"/>
                      <w:lang w:val="en-US" w:eastAsia="zh-CN"/>
                    </w:rPr>
                    <w:t>湾，</w:t>
                  </w:r>
                  <w:r>
                    <w:rPr>
                      <w:rFonts w:hint="default" w:ascii="Times New Roman" w:hAnsi="Times New Roman" w:cs="Times New Roman"/>
                      <w:b w:val="0"/>
                      <w:bCs/>
                      <w:color w:val="auto"/>
                      <w:sz w:val="21"/>
                      <w:szCs w:val="21"/>
                      <w:highlight w:val="none"/>
                    </w:rPr>
                    <w:t>主导功能港口、航运、一般工业用水，辅助功能纳污，海水水质执行GB3097-1997《海水水质标准》第三类标准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3" w:type="dxa"/>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声环境</w:t>
                  </w:r>
                </w:p>
              </w:tc>
              <w:tc>
                <w:tcPr>
                  <w:tcW w:w="7944" w:type="dxa"/>
                  <w:gridSpan w:val="8"/>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both"/>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项目厂界外50m范围内无声环境保护目标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3" w:type="dxa"/>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地下水环境</w:t>
                  </w:r>
                </w:p>
              </w:tc>
              <w:tc>
                <w:tcPr>
                  <w:tcW w:w="7944" w:type="dxa"/>
                  <w:gridSpan w:val="8"/>
                  <w:noWrap w:val="0"/>
                  <w:vAlign w:val="center"/>
                </w:tcPr>
                <w:p>
                  <w:pPr>
                    <w:pStyle w:val="65"/>
                    <w:keepNext w:val="0"/>
                    <w:keepLines w:val="0"/>
                    <w:pageBreakBefore w:val="0"/>
                    <w:kinsoku/>
                    <w:wordWrap/>
                    <w:overflowPunct/>
                    <w:topLinePunct w:val="0"/>
                    <w:autoSpaceDE/>
                    <w:autoSpaceDN/>
                    <w:bidi w:val="0"/>
                    <w:adjustRightInd w:val="0"/>
                    <w:snapToGrid w:val="0"/>
                    <w:spacing w:line="240" w:lineRule="auto"/>
                    <w:ind w:left="0" w:firstLine="0" w:firstLineChars="0"/>
                    <w:jc w:val="left"/>
                    <w:textAlignment w:val="auto"/>
                    <w:rPr>
                      <w:rFonts w:hint="default" w:ascii="Times New Roman" w:hAnsi="Times New Roman" w:cs="Times New Roman"/>
                      <w:color w:val="auto"/>
                      <w:highlight w:val="none"/>
                      <w:lang w:val="en-US" w:eastAsia="zh-CN"/>
                    </w:rPr>
                  </w:pPr>
                  <w:r>
                    <w:rPr>
                      <w:rFonts w:hint="eastAsia"/>
                      <w:color w:val="auto"/>
                      <w:highlight w:val="none"/>
                      <w:lang w:val="en-US" w:eastAsia="zh-CN"/>
                    </w:rPr>
                    <w:t>本项目不涉及</w:t>
                  </w:r>
                  <w:r>
                    <w:rPr>
                      <w:rFonts w:hint="default" w:ascii="Times New Roman" w:hAnsi="Times New Roman" w:cs="Times New Roman"/>
                      <w:color w:val="auto"/>
                      <w:highlight w:val="none"/>
                      <w:lang w:val="en-US" w:eastAsia="zh-CN"/>
                    </w:rPr>
                    <w:t>地下水环境</w:t>
                  </w:r>
                  <w:r>
                    <w:rPr>
                      <w:rFonts w:hint="eastAsia" w:ascii="Times New Roman" w:hAnsi="Times New Roman" w:cs="Times New Roman"/>
                      <w:color w:val="auto"/>
                      <w:highlight w:val="none"/>
                      <w:lang w:val="en-US" w:eastAsia="zh-CN"/>
                    </w:rPr>
                    <w:t>保护目标</w:t>
                  </w:r>
                </w:p>
              </w:tc>
            </w:tr>
          </w:tbl>
          <w:p>
            <w:pPr>
              <w:pStyle w:val="98"/>
              <w:ind w:firstLine="480"/>
              <w:rPr>
                <w:color w:val="auto"/>
                <w:highlight w:val="none"/>
              </w:rPr>
            </w:pPr>
          </w:p>
          <w:p>
            <w:pPr>
              <w:pStyle w:val="98"/>
              <w:ind w:left="0" w:leftChars="0" w:firstLine="0" w:firstLineChars="0"/>
              <w:jc w:val="center"/>
              <w:rPr>
                <w:color w:val="auto"/>
                <w:highlight w:val="none"/>
              </w:rPr>
            </w:pPr>
          </w:p>
          <w:p>
            <w:pPr>
              <w:pStyle w:val="98"/>
              <w:ind w:left="0" w:leftChars="0" w:firstLine="0" w:firstLineChars="0"/>
              <w:jc w:val="center"/>
              <w:rPr>
                <w:rFonts w:hint="default" w:eastAsia="宋体"/>
                <w:color w:val="auto"/>
                <w:highlight w:val="none"/>
                <w:lang w:val="en-US" w:eastAsia="zh-CN"/>
              </w:rPr>
            </w:pPr>
            <w:r>
              <w:rPr>
                <w:rFonts w:hint="eastAsia"/>
                <w:b/>
                <w:bCs/>
                <w:color w:val="auto"/>
                <w:highlight w:val="none"/>
                <w:lang w:val="en-US" w:eastAsia="zh-CN"/>
              </w:rPr>
              <w:t>图5 环境敏感目标图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93" w:hRule="atLeast"/>
          <w:jc w:val="center"/>
        </w:trPr>
        <w:tc>
          <w:tcPr>
            <w:tcW w:w="444" w:type="dxa"/>
            <w:noWrap w:val="0"/>
            <w:tcMar>
              <w:left w:w="28" w:type="dxa"/>
              <w:right w:w="28" w:type="dxa"/>
            </w:tcMar>
            <w:vAlign w:val="center"/>
          </w:tcPr>
          <w:p>
            <w:pPr>
              <w:adjustRightInd w:val="0"/>
              <w:snapToGrid w:val="0"/>
              <w:jc w:val="center"/>
              <w:rPr>
                <w:color w:val="auto"/>
                <w:kern w:val="0"/>
                <w:sz w:val="24"/>
                <w:highlight w:val="none"/>
              </w:rPr>
            </w:pPr>
            <w:r>
              <w:rPr>
                <w:color w:val="auto"/>
                <w:kern w:val="0"/>
                <w:sz w:val="24"/>
                <w:highlight w:val="none"/>
              </w:rPr>
              <w:t>污染</w:t>
            </w:r>
          </w:p>
          <w:p>
            <w:pPr>
              <w:adjustRightInd w:val="0"/>
              <w:snapToGrid w:val="0"/>
              <w:jc w:val="center"/>
              <w:rPr>
                <w:color w:val="auto"/>
                <w:kern w:val="0"/>
                <w:sz w:val="24"/>
                <w:highlight w:val="none"/>
              </w:rPr>
            </w:pPr>
            <w:r>
              <w:rPr>
                <w:color w:val="auto"/>
                <w:kern w:val="0"/>
                <w:sz w:val="24"/>
                <w:highlight w:val="none"/>
              </w:rPr>
              <w:t>物排</w:t>
            </w:r>
          </w:p>
          <w:p>
            <w:pPr>
              <w:adjustRightInd w:val="0"/>
              <w:snapToGrid w:val="0"/>
              <w:jc w:val="center"/>
              <w:rPr>
                <w:color w:val="auto"/>
                <w:kern w:val="0"/>
                <w:sz w:val="24"/>
                <w:highlight w:val="none"/>
              </w:rPr>
            </w:pPr>
            <w:r>
              <w:rPr>
                <w:color w:val="auto"/>
                <w:kern w:val="0"/>
                <w:sz w:val="24"/>
                <w:highlight w:val="none"/>
              </w:rPr>
              <w:t>放控</w:t>
            </w:r>
          </w:p>
          <w:p>
            <w:pPr>
              <w:adjustRightInd w:val="0"/>
              <w:snapToGrid w:val="0"/>
              <w:jc w:val="center"/>
              <w:rPr>
                <w:color w:val="auto"/>
                <w:kern w:val="0"/>
                <w:sz w:val="24"/>
                <w:highlight w:val="none"/>
              </w:rPr>
            </w:pPr>
            <w:r>
              <w:rPr>
                <w:color w:val="auto"/>
                <w:kern w:val="0"/>
                <w:sz w:val="24"/>
                <w:highlight w:val="none"/>
              </w:rPr>
              <w:t>制标</w:t>
            </w:r>
          </w:p>
          <w:p>
            <w:pPr>
              <w:adjustRightInd w:val="0"/>
              <w:snapToGrid w:val="0"/>
              <w:jc w:val="center"/>
              <w:rPr>
                <w:color w:val="auto"/>
                <w:kern w:val="0"/>
                <w:szCs w:val="21"/>
                <w:highlight w:val="none"/>
              </w:rPr>
            </w:pPr>
            <w:r>
              <w:rPr>
                <w:color w:val="auto"/>
                <w:kern w:val="0"/>
                <w:sz w:val="24"/>
                <w:highlight w:val="none"/>
              </w:rPr>
              <w:t>准</w:t>
            </w:r>
          </w:p>
        </w:tc>
        <w:tc>
          <w:tcPr>
            <w:tcW w:w="8843" w:type="dxa"/>
            <w:noWrap w:val="0"/>
            <w:vAlign w:val="center"/>
          </w:tcPr>
          <w:p>
            <w:pPr>
              <w:pStyle w:val="3"/>
              <w:rPr>
                <w:color w:val="auto"/>
                <w:highlight w:val="none"/>
              </w:rPr>
            </w:pPr>
            <w:r>
              <w:rPr>
                <w:rFonts w:hint="eastAsia"/>
                <w:color w:val="auto"/>
                <w:highlight w:val="none"/>
                <w:lang w:val="en-US" w:eastAsia="zh-CN"/>
              </w:rPr>
              <w:t>1</w:t>
            </w:r>
            <w:r>
              <w:rPr>
                <w:color w:val="auto"/>
                <w:highlight w:val="none"/>
              </w:rPr>
              <w:t>、废气排放标准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sz w:val="24"/>
                <w:szCs w:val="24"/>
                <w:highlight w:val="none"/>
              </w:rPr>
            </w:pPr>
            <w:r>
              <w:rPr>
                <w:rFonts w:hint="eastAsia"/>
                <w:color w:val="auto"/>
                <w:sz w:val="24"/>
                <w:szCs w:val="24"/>
                <w:highlight w:val="none"/>
                <w:lang w:val="en-US" w:eastAsia="zh-CN"/>
              </w:rPr>
              <w:t>项目有组织颗粒物执行《</w:t>
            </w:r>
            <w:r>
              <w:rPr>
                <w:color w:val="auto"/>
                <w:sz w:val="24"/>
                <w:szCs w:val="24"/>
                <w:highlight w:val="none"/>
              </w:rPr>
              <w:t>大气污染物</w:t>
            </w:r>
            <w:r>
              <w:rPr>
                <w:rFonts w:hint="eastAsia"/>
                <w:color w:val="auto"/>
                <w:sz w:val="24"/>
                <w:szCs w:val="24"/>
                <w:highlight w:val="none"/>
                <w:lang w:val="en-US" w:eastAsia="zh-CN"/>
              </w:rPr>
              <w:t>综合</w:t>
            </w:r>
            <w:r>
              <w:rPr>
                <w:color w:val="auto"/>
                <w:sz w:val="24"/>
                <w:szCs w:val="24"/>
                <w:highlight w:val="none"/>
              </w:rPr>
              <w:t>排放标准</w:t>
            </w:r>
            <w:r>
              <w:rPr>
                <w:rFonts w:hint="eastAsia"/>
                <w:color w:val="auto"/>
                <w:sz w:val="24"/>
                <w:szCs w:val="24"/>
                <w:highlight w:val="none"/>
                <w:lang w:eastAsia="zh-CN"/>
              </w:rPr>
              <w:t>》</w:t>
            </w:r>
            <w:r>
              <w:rPr>
                <w:rFonts w:hint="default"/>
                <w:color w:val="auto"/>
                <w:sz w:val="24"/>
                <w:szCs w:val="24"/>
                <w:highlight w:val="none"/>
              </w:rPr>
              <w:t>（GB16297-1996）</w:t>
            </w:r>
            <w:r>
              <w:rPr>
                <w:rFonts w:hint="eastAsia"/>
                <w:color w:val="auto"/>
                <w:sz w:val="24"/>
                <w:szCs w:val="24"/>
                <w:highlight w:val="none"/>
                <w:lang w:val="en-US" w:eastAsia="zh-CN"/>
              </w:rPr>
              <w:t>表2二级标准限值施工期及运营期颗粒物无组织排放执行《</w:t>
            </w:r>
            <w:r>
              <w:rPr>
                <w:color w:val="auto"/>
                <w:sz w:val="24"/>
                <w:szCs w:val="24"/>
                <w:highlight w:val="none"/>
              </w:rPr>
              <w:t>大气污染物</w:t>
            </w:r>
            <w:r>
              <w:rPr>
                <w:rFonts w:hint="eastAsia"/>
                <w:color w:val="auto"/>
                <w:sz w:val="24"/>
                <w:szCs w:val="24"/>
                <w:highlight w:val="none"/>
                <w:lang w:val="en-US" w:eastAsia="zh-CN"/>
              </w:rPr>
              <w:t>综合</w:t>
            </w:r>
            <w:r>
              <w:rPr>
                <w:color w:val="auto"/>
                <w:sz w:val="24"/>
                <w:szCs w:val="24"/>
                <w:highlight w:val="none"/>
              </w:rPr>
              <w:t>排放标准</w:t>
            </w:r>
            <w:r>
              <w:rPr>
                <w:rFonts w:hint="eastAsia"/>
                <w:color w:val="auto"/>
                <w:sz w:val="24"/>
                <w:szCs w:val="24"/>
                <w:highlight w:val="none"/>
                <w:lang w:eastAsia="zh-CN"/>
              </w:rPr>
              <w:t>》</w:t>
            </w:r>
            <w:r>
              <w:rPr>
                <w:rFonts w:hint="default"/>
                <w:color w:val="auto"/>
                <w:sz w:val="24"/>
                <w:szCs w:val="24"/>
                <w:highlight w:val="none"/>
              </w:rPr>
              <w:t>（GB16297-1996）</w:t>
            </w:r>
            <w:r>
              <w:rPr>
                <w:rFonts w:hint="eastAsia"/>
                <w:color w:val="auto"/>
                <w:sz w:val="24"/>
                <w:szCs w:val="24"/>
                <w:highlight w:val="none"/>
                <w:lang w:val="en-US" w:eastAsia="zh-CN"/>
              </w:rPr>
              <w:t>表2无组织排放监控浓度限值，详见表17。</w:t>
            </w:r>
          </w:p>
          <w:p>
            <w:pPr>
              <w:pStyle w:val="57"/>
              <w:bidi w:val="0"/>
              <w:rPr>
                <w:rFonts w:hint="default"/>
                <w:color w:val="auto"/>
                <w:highlight w:val="none"/>
                <w:lang w:val="en-US" w:eastAsia="zh-CN"/>
              </w:rPr>
            </w:pPr>
            <w:r>
              <w:rPr>
                <w:rFonts w:hint="eastAsia"/>
                <w:color w:val="auto"/>
                <w:highlight w:val="none"/>
                <w:lang w:val="en-US" w:eastAsia="zh-CN"/>
              </w:rPr>
              <w:t xml:space="preserve">  《</w:t>
            </w:r>
            <w:r>
              <w:rPr>
                <w:color w:val="auto"/>
                <w:highlight w:val="none"/>
              </w:rPr>
              <w:t>大气污染物</w:t>
            </w:r>
            <w:r>
              <w:rPr>
                <w:rFonts w:hint="eastAsia"/>
                <w:color w:val="auto"/>
                <w:highlight w:val="none"/>
                <w:lang w:val="en-US" w:eastAsia="zh-CN"/>
              </w:rPr>
              <w:t>综合</w:t>
            </w:r>
            <w:r>
              <w:rPr>
                <w:color w:val="auto"/>
                <w:highlight w:val="none"/>
              </w:rPr>
              <w:t>排放标准</w:t>
            </w:r>
            <w:r>
              <w:rPr>
                <w:rFonts w:hint="eastAsia"/>
                <w:color w:val="auto"/>
                <w:highlight w:val="none"/>
                <w:lang w:eastAsia="zh-CN"/>
              </w:rPr>
              <w:t>》</w:t>
            </w:r>
            <w:r>
              <w:rPr>
                <w:rFonts w:hint="default"/>
                <w:color w:val="auto"/>
                <w:highlight w:val="none"/>
              </w:rPr>
              <w:t>（GB16297-1996）</w:t>
            </w:r>
            <w:r>
              <w:rPr>
                <w:rFonts w:hint="eastAsia"/>
                <w:color w:val="auto"/>
                <w:highlight w:val="none"/>
                <w:lang w:eastAsia="zh-CN"/>
              </w:rPr>
              <w:t>（</w:t>
            </w:r>
            <w:r>
              <w:rPr>
                <w:rFonts w:hint="eastAsia"/>
                <w:color w:val="auto"/>
                <w:highlight w:val="none"/>
                <w:lang w:val="en-US" w:eastAsia="zh-CN"/>
              </w:rPr>
              <w:t>摘录）</w:t>
            </w:r>
          </w:p>
          <w:tbl>
            <w:tblPr>
              <w:tblStyle w:val="2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1860"/>
              <w:gridCol w:w="2369"/>
              <w:gridCol w:w="27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78" w:type="dxa"/>
                  <w:vMerge w:val="restart"/>
                  <w:tcBorders>
                    <w:top w:val="single" w:color="auto" w:sz="12" w:space="0"/>
                  </w:tcBorders>
                  <w:noWrap w:val="0"/>
                  <w:vAlign w:val="center"/>
                </w:tcPr>
                <w:p>
                  <w:pPr>
                    <w:keepNext w:val="0"/>
                    <w:keepLines w:val="0"/>
                    <w:pageBreakBefore w:val="0"/>
                    <w:widowControl w:val="0"/>
                    <w:suppressLineNumbers w:val="0"/>
                    <w:tabs>
                      <w:tab w:val="left" w:pos="-2848"/>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color w:val="auto"/>
                      <w:sz w:val="21"/>
                      <w:szCs w:val="21"/>
                      <w:highlight w:val="none"/>
                    </w:rPr>
                  </w:pPr>
                  <w:r>
                    <w:rPr>
                      <w:rFonts w:hint="default"/>
                      <w:color w:val="auto"/>
                      <w:sz w:val="21"/>
                      <w:szCs w:val="21"/>
                      <w:highlight w:val="none"/>
                    </w:rPr>
                    <w:t>污染物</w:t>
                  </w:r>
                </w:p>
              </w:tc>
              <w:tc>
                <w:tcPr>
                  <w:tcW w:w="6946" w:type="dxa"/>
                  <w:gridSpan w:val="3"/>
                  <w:tcBorders>
                    <w:top w:val="single" w:color="auto" w:sz="12" w:space="0"/>
                  </w:tcBorders>
                  <w:noWrap w:val="0"/>
                  <w:vAlign w:val="center"/>
                </w:tcPr>
                <w:p>
                  <w:pPr>
                    <w:keepNext w:val="0"/>
                    <w:keepLines w:val="0"/>
                    <w:pageBreakBefore w:val="0"/>
                    <w:widowControl w:val="0"/>
                    <w:suppressLineNumbers w:val="0"/>
                    <w:tabs>
                      <w:tab w:val="left" w:pos="-2848"/>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color w:val="auto"/>
                      <w:sz w:val="21"/>
                      <w:szCs w:val="21"/>
                      <w:highlight w:val="none"/>
                    </w:rPr>
                  </w:pPr>
                  <w:r>
                    <w:rPr>
                      <w:rFonts w:hint="eastAsia"/>
                      <w:color w:val="auto"/>
                      <w:sz w:val="21"/>
                      <w:szCs w:val="21"/>
                      <w:highlight w:val="none"/>
                      <w:lang w:val="en-US" w:eastAsia="zh-CN"/>
                    </w:rPr>
                    <w:t>排放</w:t>
                  </w:r>
                  <w:r>
                    <w:rPr>
                      <w:rFonts w:hint="default"/>
                      <w:color w:val="auto"/>
                      <w:sz w:val="21"/>
                      <w:szCs w:val="21"/>
                      <w:highlight w:val="none"/>
                    </w:rPr>
                    <w:t>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78" w:type="dxa"/>
                  <w:vMerge w:val="continue"/>
                  <w:noWrap w:val="0"/>
                  <w:vAlign w:val="center"/>
                </w:tcPr>
                <w:p>
                  <w:pPr>
                    <w:keepNext w:val="0"/>
                    <w:keepLines w:val="0"/>
                    <w:pageBreakBefore w:val="0"/>
                    <w:widowControl w:val="0"/>
                    <w:suppressLineNumbers w:val="0"/>
                    <w:tabs>
                      <w:tab w:val="left" w:pos="-2848"/>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color w:val="auto"/>
                      <w:sz w:val="21"/>
                      <w:szCs w:val="21"/>
                      <w:highlight w:val="none"/>
                    </w:rPr>
                  </w:pPr>
                </w:p>
              </w:tc>
              <w:tc>
                <w:tcPr>
                  <w:tcW w:w="1860" w:type="dxa"/>
                  <w:noWrap w:val="0"/>
                  <w:vAlign w:val="center"/>
                </w:tcPr>
                <w:p>
                  <w:pPr>
                    <w:keepNext w:val="0"/>
                    <w:keepLines w:val="0"/>
                    <w:pageBreakBefore w:val="0"/>
                    <w:widowControl w:val="0"/>
                    <w:suppressLineNumbers w:val="0"/>
                    <w:tabs>
                      <w:tab w:val="left" w:pos="-2848"/>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color w:val="auto"/>
                      <w:sz w:val="21"/>
                      <w:szCs w:val="21"/>
                      <w:highlight w:val="none"/>
                      <w:lang w:val="en-US" w:eastAsia="zh-CN"/>
                    </w:rPr>
                  </w:pPr>
                  <w:r>
                    <w:rPr>
                      <w:rFonts w:hint="eastAsia"/>
                      <w:color w:val="auto"/>
                      <w:sz w:val="21"/>
                      <w:szCs w:val="21"/>
                      <w:highlight w:val="none"/>
                      <w:lang w:val="en-US" w:eastAsia="zh-CN"/>
                    </w:rPr>
                    <w:t>排放形式</w:t>
                  </w:r>
                </w:p>
              </w:tc>
              <w:tc>
                <w:tcPr>
                  <w:tcW w:w="2369" w:type="dxa"/>
                  <w:noWrap w:val="0"/>
                  <w:vAlign w:val="center"/>
                </w:tcPr>
                <w:p>
                  <w:pPr>
                    <w:keepNext w:val="0"/>
                    <w:keepLines w:val="0"/>
                    <w:pageBreakBefore w:val="0"/>
                    <w:widowControl w:val="0"/>
                    <w:suppressLineNumbers w:val="0"/>
                    <w:tabs>
                      <w:tab w:val="left" w:pos="-2848"/>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color w:val="auto"/>
                      <w:sz w:val="21"/>
                      <w:szCs w:val="21"/>
                      <w:highlight w:val="none"/>
                      <w:lang w:val="en-US" w:eastAsia="zh-CN"/>
                    </w:rPr>
                  </w:pPr>
                  <w:r>
                    <w:rPr>
                      <w:rFonts w:hint="eastAsia"/>
                      <w:color w:val="auto"/>
                      <w:sz w:val="21"/>
                      <w:szCs w:val="21"/>
                      <w:highlight w:val="none"/>
                      <w:lang w:val="en-US" w:eastAsia="zh-CN"/>
                    </w:rPr>
                    <w:t>排放</w:t>
                  </w:r>
                  <w:r>
                    <w:rPr>
                      <w:rFonts w:hint="default"/>
                      <w:color w:val="auto"/>
                      <w:sz w:val="21"/>
                      <w:szCs w:val="21"/>
                      <w:highlight w:val="none"/>
                    </w:rPr>
                    <w:t>浓度（mg/m</w:t>
                  </w:r>
                  <w:r>
                    <w:rPr>
                      <w:rFonts w:hint="default"/>
                      <w:color w:val="auto"/>
                      <w:sz w:val="21"/>
                      <w:szCs w:val="21"/>
                      <w:highlight w:val="none"/>
                      <w:vertAlign w:val="superscript"/>
                    </w:rPr>
                    <w:t>3</w:t>
                  </w:r>
                  <w:r>
                    <w:rPr>
                      <w:rFonts w:hint="default"/>
                      <w:color w:val="auto"/>
                      <w:sz w:val="21"/>
                      <w:szCs w:val="21"/>
                      <w:highlight w:val="none"/>
                    </w:rPr>
                    <w:t>）</w:t>
                  </w:r>
                </w:p>
              </w:tc>
              <w:tc>
                <w:tcPr>
                  <w:tcW w:w="2717" w:type="dxa"/>
                  <w:noWrap w:val="0"/>
                  <w:vAlign w:val="center"/>
                </w:tcPr>
                <w:p>
                  <w:pPr>
                    <w:keepNext w:val="0"/>
                    <w:keepLines w:val="0"/>
                    <w:pageBreakBefore w:val="0"/>
                    <w:widowControl w:val="0"/>
                    <w:suppressLineNumbers w:val="0"/>
                    <w:tabs>
                      <w:tab w:val="left" w:pos="-2848"/>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color w:val="auto"/>
                      <w:sz w:val="21"/>
                      <w:szCs w:val="21"/>
                      <w:highlight w:val="none"/>
                    </w:rPr>
                  </w:pPr>
                  <w:r>
                    <w:rPr>
                      <w:rFonts w:hint="eastAsia"/>
                      <w:color w:val="auto"/>
                      <w:sz w:val="21"/>
                      <w:szCs w:val="21"/>
                      <w:highlight w:val="none"/>
                      <w:lang w:val="en-US" w:eastAsia="zh-CN"/>
                    </w:rPr>
                    <w:t>排放速率</w:t>
                  </w:r>
                  <w:r>
                    <w:rPr>
                      <w:rFonts w:hint="default"/>
                      <w:color w:val="auto"/>
                      <w:sz w:val="21"/>
                      <w:szCs w:val="21"/>
                      <w:highlight w:val="none"/>
                    </w:rPr>
                    <w:t>（</w:t>
                  </w:r>
                  <w:r>
                    <w:rPr>
                      <w:rFonts w:hint="eastAsia"/>
                      <w:color w:val="auto"/>
                      <w:sz w:val="21"/>
                      <w:szCs w:val="21"/>
                      <w:highlight w:val="none"/>
                      <w:lang w:val="en-US" w:eastAsia="zh-CN"/>
                    </w:rPr>
                    <w:t>kg/h</w:t>
                  </w:r>
                  <w:r>
                    <w:rPr>
                      <w:rFonts w:hint="default"/>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78" w:type="dxa"/>
                  <w:vMerge w:val="restart"/>
                  <w:noWrap w:val="0"/>
                  <w:vAlign w:val="center"/>
                </w:tcPr>
                <w:p>
                  <w:pPr>
                    <w:keepNext w:val="0"/>
                    <w:keepLines w:val="0"/>
                    <w:pageBreakBefore w:val="0"/>
                    <w:widowControl w:val="0"/>
                    <w:suppressLineNumbers w:val="0"/>
                    <w:tabs>
                      <w:tab w:val="left" w:pos="-2848"/>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color w:val="auto"/>
                      <w:sz w:val="21"/>
                      <w:szCs w:val="21"/>
                      <w:highlight w:val="none"/>
                    </w:rPr>
                  </w:pPr>
                  <w:r>
                    <w:rPr>
                      <w:rFonts w:hint="default"/>
                      <w:color w:val="auto"/>
                      <w:sz w:val="21"/>
                      <w:szCs w:val="21"/>
                      <w:highlight w:val="none"/>
                    </w:rPr>
                    <w:t>颗粒物</w:t>
                  </w:r>
                </w:p>
              </w:tc>
              <w:tc>
                <w:tcPr>
                  <w:tcW w:w="1860" w:type="dxa"/>
                  <w:noWrap w:val="0"/>
                  <w:vAlign w:val="center"/>
                </w:tcPr>
                <w:p>
                  <w:pPr>
                    <w:keepNext w:val="0"/>
                    <w:keepLines w:val="0"/>
                    <w:pageBreakBefore w:val="0"/>
                    <w:widowControl w:val="0"/>
                    <w:suppressLineNumbers w:val="0"/>
                    <w:tabs>
                      <w:tab w:val="left" w:pos="-2848"/>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color w:val="auto"/>
                      <w:highlight w:val="none"/>
                      <w:lang w:val="en-US" w:eastAsia="zh-CN"/>
                    </w:rPr>
                  </w:pPr>
                  <w:r>
                    <w:rPr>
                      <w:rFonts w:hint="eastAsia"/>
                      <w:color w:val="auto"/>
                      <w:highlight w:val="none"/>
                      <w:lang w:val="en-US" w:eastAsia="zh-CN"/>
                    </w:rPr>
                    <w:t>有组织排放</w:t>
                  </w:r>
                </w:p>
              </w:tc>
              <w:tc>
                <w:tcPr>
                  <w:tcW w:w="2369" w:type="dxa"/>
                  <w:noWrap w:val="0"/>
                  <w:vAlign w:val="center"/>
                </w:tcPr>
                <w:p>
                  <w:pPr>
                    <w:keepNext w:val="0"/>
                    <w:keepLines w:val="0"/>
                    <w:pageBreakBefore w:val="0"/>
                    <w:widowControl w:val="0"/>
                    <w:suppressLineNumbers w:val="0"/>
                    <w:tabs>
                      <w:tab w:val="left" w:pos="-2848"/>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color w:val="auto"/>
                      <w:sz w:val="21"/>
                      <w:szCs w:val="21"/>
                      <w:highlight w:val="none"/>
                      <w:lang w:val="en-US" w:eastAsia="zh-CN"/>
                    </w:rPr>
                  </w:pPr>
                  <w:r>
                    <w:rPr>
                      <w:rFonts w:hint="eastAsia"/>
                      <w:color w:val="auto"/>
                      <w:sz w:val="21"/>
                      <w:szCs w:val="21"/>
                      <w:highlight w:val="none"/>
                      <w:lang w:val="en-US" w:eastAsia="zh-CN"/>
                    </w:rPr>
                    <w:t>120</w:t>
                  </w:r>
                </w:p>
              </w:tc>
              <w:tc>
                <w:tcPr>
                  <w:tcW w:w="2717" w:type="dxa"/>
                  <w:noWrap w:val="0"/>
                  <w:vAlign w:val="center"/>
                </w:tcPr>
                <w:p>
                  <w:pPr>
                    <w:keepNext w:val="0"/>
                    <w:keepLines w:val="0"/>
                    <w:pageBreakBefore w:val="0"/>
                    <w:widowControl w:val="0"/>
                    <w:suppressLineNumbers w:val="0"/>
                    <w:tabs>
                      <w:tab w:val="left" w:pos="-2848"/>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3.5</w:t>
                  </w:r>
                  <w:r>
                    <w:rPr>
                      <w:rFonts w:hint="eastAsia"/>
                      <w:color w:val="auto"/>
                      <w:highlight w:val="none"/>
                      <w:lang w:eastAsia="zh-CN"/>
                    </w:rPr>
                    <w:t>（</w:t>
                  </w:r>
                  <w:r>
                    <w:rPr>
                      <w:rFonts w:hint="eastAsia"/>
                      <w:color w:val="auto"/>
                      <w:sz w:val="21"/>
                      <w:szCs w:val="21"/>
                      <w:highlight w:val="none"/>
                      <w:lang w:val="en-US" w:eastAsia="zh-CN"/>
                    </w:rPr>
                    <w:t>15m排气筒</w:t>
                  </w:r>
                  <w:r>
                    <w:rPr>
                      <w:rFonts w:hint="eastAsia"/>
                      <w:color w:val="auto"/>
                      <w:highlight w:val="non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78" w:type="dxa"/>
                  <w:vMerge w:val="continue"/>
                  <w:noWrap w:val="0"/>
                  <w:vAlign w:val="center"/>
                </w:tcPr>
                <w:p>
                  <w:pPr>
                    <w:keepNext w:val="0"/>
                    <w:keepLines w:val="0"/>
                    <w:pageBreakBefore w:val="0"/>
                    <w:widowControl w:val="0"/>
                    <w:suppressLineNumbers w:val="0"/>
                    <w:tabs>
                      <w:tab w:val="left" w:pos="-2848"/>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color w:val="auto"/>
                      <w:sz w:val="21"/>
                      <w:szCs w:val="21"/>
                      <w:highlight w:val="none"/>
                    </w:rPr>
                  </w:pPr>
                </w:p>
              </w:tc>
              <w:tc>
                <w:tcPr>
                  <w:tcW w:w="1860" w:type="dxa"/>
                  <w:noWrap w:val="0"/>
                  <w:vAlign w:val="center"/>
                </w:tcPr>
                <w:p>
                  <w:pPr>
                    <w:keepNext w:val="0"/>
                    <w:keepLines w:val="0"/>
                    <w:pageBreakBefore w:val="0"/>
                    <w:widowControl w:val="0"/>
                    <w:suppressLineNumbers w:val="0"/>
                    <w:tabs>
                      <w:tab w:val="left" w:pos="-2848"/>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color w:val="auto"/>
                      <w:sz w:val="21"/>
                      <w:szCs w:val="21"/>
                      <w:highlight w:val="none"/>
                      <w:lang w:val="en-US" w:eastAsia="zh-CN"/>
                    </w:rPr>
                  </w:pPr>
                  <w:r>
                    <w:rPr>
                      <w:rFonts w:hint="eastAsia"/>
                      <w:color w:val="auto"/>
                      <w:sz w:val="21"/>
                      <w:szCs w:val="21"/>
                      <w:highlight w:val="none"/>
                      <w:lang w:val="en-US" w:eastAsia="zh-CN"/>
                    </w:rPr>
                    <w:t>无组织排放</w:t>
                  </w:r>
                </w:p>
              </w:tc>
              <w:tc>
                <w:tcPr>
                  <w:tcW w:w="2369" w:type="dxa"/>
                  <w:noWrap w:val="0"/>
                  <w:vAlign w:val="center"/>
                </w:tcPr>
                <w:p>
                  <w:pPr>
                    <w:keepNext w:val="0"/>
                    <w:keepLines w:val="0"/>
                    <w:pageBreakBefore w:val="0"/>
                    <w:widowControl w:val="0"/>
                    <w:suppressLineNumbers w:val="0"/>
                    <w:tabs>
                      <w:tab w:val="left" w:pos="-2848"/>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default"/>
                      <w:color w:val="auto"/>
                      <w:sz w:val="21"/>
                      <w:szCs w:val="21"/>
                      <w:highlight w:val="none"/>
                      <w:lang w:val="en-US" w:eastAsia="zh-CN"/>
                    </w:rPr>
                  </w:pPr>
                  <w:r>
                    <w:rPr>
                      <w:rFonts w:hint="eastAsia"/>
                      <w:color w:val="auto"/>
                      <w:sz w:val="21"/>
                      <w:szCs w:val="21"/>
                      <w:highlight w:val="none"/>
                      <w:lang w:val="en-US" w:eastAsia="zh-CN"/>
                    </w:rPr>
                    <w:t>1.0</w:t>
                  </w:r>
                </w:p>
              </w:tc>
              <w:tc>
                <w:tcPr>
                  <w:tcW w:w="2717" w:type="dxa"/>
                  <w:noWrap w:val="0"/>
                  <w:vAlign w:val="center"/>
                </w:tcPr>
                <w:p>
                  <w:pPr>
                    <w:keepNext w:val="0"/>
                    <w:keepLines w:val="0"/>
                    <w:pageBreakBefore w:val="0"/>
                    <w:widowControl w:val="0"/>
                    <w:suppressLineNumbers w:val="0"/>
                    <w:tabs>
                      <w:tab w:val="left" w:pos="-2848"/>
                    </w:tabs>
                    <w:kinsoku/>
                    <w:wordWrap/>
                    <w:overflowPunct/>
                    <w:topLinePunct w:val="0"/>
                    <w:autoSpaceDE/>
                    <w:autoSpaceDN/>
                    <w:bidi w:val="0"/>
                    <w:adjustRightInd w:val="0"/>
                    <w:snapToGrid w:val="0"/>
                    <w:spacing w:before="0" w:beforeAutospacing="0" w:after="0" w:afterAutospacing="0" w:line="240" w:lineRule="auto"/>
                    <w:ind w:left="0" w:right="0" w:firstLine="0" w:firstLineChars="0"/>
                    <w:jc w:val="center"/>
                    <w:textAlignment w:val="auto"/>
                    <w:rPr>
                      <w:rFonts w:hint="eastAsia" w:eastAsia="宋体"/>
                      <w:color w:val="auto"/>
                      <w:sz w:val="21"/>
                      <w:szCs w:val="21"/>
                      <w:highlight w:val="none"/>
                      <w:lang w:val="en-US" w:eastAsia="zh-CN"/>
                    </w:rPr>
                  </w:pPr>
                  <w:r>
                    <w:rPr>
                      <w:rFonts w:hint="eastAsia"/>
                      <w:color w:val="auto"/>
                      <w:sz w:val="21"/>
                      <w:szCs w:val="21"/>
                      <w:highlight w:val="none"/>
                      <w:lang w:val="en-US" w:eastAsia="zh-CN"/>
                    </w:rPr>
                    <w:t>/</w:t>
                  </w:r>
                </w:p>
              </w:tc>
            </w:tr>
          </w:tbl>
          <w:p>
            <w:pPr>
              <w:pStyle w:val="98"/>
              <w:ind w:firstLine="480"/>
              <w:rPr>
                <w:color w:val="auto"/>
                <w:highlight w:val="none"/>
              </w:rPr>
            </w:pPr>
          </w:p>
          <w:p>
            <w:pPr>
              <w:pStyle w:val="3"/>
              <w:rPr>
                <w:color w:val="auto"/>
                <w:highlight w:val="none"/>
              </w:rPr>
            </w:pPr>
            <w:r>
              <w:rPr>
                <w:rFonts w:hint="eastAsia"/>
                <w:color w:val="auto"/>
                <w:highlight w:val="none"/>
                <w:lang w:val="en-US" w:eastAsia="zh-CN"/>
              </w:rPr>
              <w:t>2</w:t>
            </w:r>
            <w:r>
              <w:rPr>
                <w:color w:val="auto"/>
                <w:highlight w:val="none"/>
              </w:rPr>
              <w:t>、噪声排放标准</w:t>
            </w:r>
          </w:p>
          <w:p>
            <w:pPr>
              <w:pStyle w:val="98"/>
              <w:ind w:firstLine="480"/>
              <w:rPr>
                <w:color w:val="auto"/>
                <w:highlight w:val="none"/>
              </w:rPr>
            </w:pPr>
            <w:r>
              <w:rPr>
                <w:rFonts w:hint="default" w:ascii="Times New Roman" w:hAnsi="Times New Roman" w:cs="Times New Roman"/>
                <w:color w:val="auto"/>
                <w:sz w:val="24"/>
                <w:highlight w:val="none"/>
              </w:rPr>
              <w:t>本项目施工期噪声执行《建筑施工场界环境噪声排放标准》（GB12523-2011），</w:t>
            </w:r>
            <w:r>
              <w:rPr>
                <w:color w:val="auto"/>
                <w:highlight w:val="none"/>
              </w:rPr>
              <w:t>运营期</w:t>
            </w:r>
            <w:r>
              <w:rPr>
                <w:rFonts w:hint="eastAsia"/>
                <w:color w:val="auto"/>
                <w:highlight w:val="none"/>
                <w:lang w:val="en-US" w:eastAsia="zh-CN"/>
              </w:rPr>
              <w:t>北侧厂界</w:t>
            </w:r>
            <w:r>
              <w:rPr>
                <w:color w:val="auto"/>
                <w:highlight w:val="none"/>
              </w:rPr>
              <w:t>噪声执行《工业企业厂界环境噪声排放标准》</w:t>
            </w:r>
            <w:r>
              <w:rPr>
                <w:rFonts w:hint="eastAsia"/>
                <w:color w:val="auto"/>
                <w:highlight w:val="none"/>
                <w:lang w:eastAsia="zh-CN"/>
              </w:rPr>
              <w:t>（</w:t>
            </w:r>
            <w:r>
              <w:rPr>
                <w:color w:val="auto"/>
                <w:highlight w:val="none"/>
              </w:rPr>
              <w:t>GB12348-2008）</w:t>
            </w:r>
            <w:r>
              <w:rPr>
                <w:rFonts w:hint="eastAsia"/>
                <w:color w:val="auto"/>
                <w:highlight w:val="none"/>
                <w:lang w:val="en-US" w:eastAsia="zh-CN"/>
              </w:rPr>
              <w:t>4a</w:t>
            </w:r>
            <w:r>
              <w:rPr>
                <w:color w:val="auto"/>
                <w:highlight w:val="none"/>
              </w:rPr>
              <w:t>类标准</w:t>
            </w:r>
            <w:r>
              <w:rPr>
                <w:rFonts w:hint="eastAsia"/>
                <w:color w:val="auto"/>
                <w:highlight w:val="none"/>
                <w:lang w:eastAsia="zh-CN"/>
              </w:rPr>
              <w:t>，</w:t>
            </w:r>
            <w:r>
              <w:rPr>
                <w:rFonts w:hint="eastAsia"/>
                <w:color w:val="auto"/>
                <w:highlight w:val="none"/>
                <w:lang w:val="en-US" w:eastAsia="zh-CN"/>
              </w:rPr>
              <w:t>其他厂界执行2类标准</w:t>
            </w:r>
            <w:r>
              <w:rPr>
                <w:color w:val="auto"/>
                <w:highlight w:val="none"/>
              </w:rPr>
              <w:t>，详见表</w:t>
            </w:r>
            <w:r>
              <w:rPr>
                <w:rFonts w:hint="eastAsia"/>
                <w:color w:val="auto"/>
                <w:highlight w:val="none"/>
                <w:lang w:val="en-US" w:eastAsia="zh-CN"/>
              </w:rPr>
              <w:t>18</w:t>
            </w:r>
            <w:r>
              <w:rPr>
                <w:color w:val="auto"/>
                <w:highlight w:val="none"/>
              </w:rPr>
              <w:t>。</w:t>
            </w:r>
          </w:p>
          <w:p>
            <w:pPr>
              <w:pStyle w:val="57"/>
              <w:rPr>
                <w:color w:val="auto"/>
                <w:highlight w:val="none"/>
              </w:rPr>
            </w:pPr>
            <w:bookmarkStart w:id="6" w:name="_Ref65740450"/>
            <w:r>
              <w:rPr>
                <w:color w:val="auto"/>
                <w:highlight w:val="none"/>
              </w:rPr>
              <w:t>《工业企业厂界环境噪声排放标准》(GB12348-2008)(摘录)</w:t>
            </w:r>
            <w:bookmarkEnd w:id="6"/>
          </w:p>
          <w:tbl>
            <w:tblPr>
              <w:tblStyle w:val="25"/>
              <w:tblW w:w="0" w:type="auto"/>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2124"/>
              <w:gridCol w:w="1693"/>
              <w:gridCol w:w="1839"/>
              <w:gridCol w:w="297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24" w:type="dxa"/>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污染物名称</w:t>
                  </w:r>
                </w:p>
              </w:tc>
              <w:tc>
                <w:tcPr>
                  <w:tcW w:w="3532" w:type="dxa"/>
                  <w:gridSpan w:val="2"/>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标准值dB（A）</w:t>
                  </w:r>
                </w:p>
              </w:tc>
              <w:tc>
                <w:tcPr>
                  <w:tcW w:w="2971" w:type="dxa"/>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标准来源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24" w:type="dxa"/>
                  <w:vMerge w:val="restar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施工噪声</w:t>
                  </w:r>
                </w:p>
              </w:tc>
              <w:tc>
                <w:tcPr>
                  <w:tcW w:w="1693" w:type="dxa"/>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昼间</w:t>
                  </w:r>
                </w:p>
              </w:tc>
              <w:tc>
                <w:tcPr>
                  <w:tcW w:w="1839" w:type="dxa"/>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70</w:t>
                  </w:r>
                </w:p>
              </w:tc>
              <w:tc>
                <w:tcPr>
                  <w:tcW w:w="2971" w:type="dxa"/>
                  <w:vMerge w:val="restar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《建筑施工场界环境噪声排放标准》GB12523-2011要求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24" w:type="dxa"/>
                  <w:vMerge w:val="continue"/>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p>
              </w:tc>
              <w:tc>
                <w:tcPr>
                  <w:tcW w:w="1693" w:type="dxa"/>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夜间</w:t>
                  </w:r>
                </w:p>
              </w:tc>
              <w:tc>
                <w:tcPr>
                  <w:tcW w:w="1839" w:type="dxa"/>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55</w:t>
                  </w:r>
                </w:p>
              </w:tc>
              <w:tc>
                <w:tcPr>
                  <w:tcW w:w="2971" w:type="dxa"/>
                  <w:vMerge w:val="continue"/>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24" w:type="dxa"/>
                  <w:vMerge w:val="restar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运营期</w:t>
                  </w:r>
                  <w:r>
                    <w:rPr>
                      <w:rFonts w:hint="eastAsia" w:ascii="Times New Roman" w:hAnsi="Times New Roman" w:cs="Times New Roman"/>
                      <w:b w:val="0"/>
                      <w:bCs/>
                      <w:color w:val="auto"/>
                      <w:sz w:val="21"/>
                      <w:szCs w:val="21"/>
                      <w:highlight w:val="none"/>
                      <w:lang w:val="en-US" w:eastAsia="zh-CN"/>
                    </w:rPr>
                    <w:t>东、南、西</w:t>
                  </w:r>
                  <w:r>
                    <w:rPr>
                      <w:rFonts w:hint="default" w:ascii="Times New Roman" w:hAnsi="Times New Roman" w:cs="Times New Roman"/>
                      <w:b w:val="0"/>
                      <w:bCs/>
                      <w:color w:val="auto"/>
                      <w:sz w:val="21"/>
                      <w:szCs w:val="21"/>
                      <w:highlight w:val="none"/>
                    </w:rPr>
                    <w:t>厂界噪声</w:t>
                  </w:r>
                </w:p>
              </w:tc>
              <w:tc>
                <w:tcPr>
                  <w:tcW w:w="1693" w:type="dxa"/>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昼间</w:t>
                  </w:r>
                </w:p>
              </w:tc>
              <w:tc>
                <w:tcPr>
                  <w:tcW w:w="1839" w:type="dxa"/>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eastAsia" w:ascii="Times New Roman" w:hAnsi="Times New Roman" w:eastAsia="宋体" w:cs="Times New Roman"/>
                      <w:b w:val="0"/>
                      <w:bCs/>
                      <w:color w:val="auto"/>
                      <w:sz w:val="21"/>
                      <w:szCs w:val="21"/>
                      <w:highlight w:val="none"/>
                      <w:lang w:val="en-US" w:eastAsia="zh-CN"/>
                    </w:rPr>
                  </w:pPr>
                  <w:r>
                    <w:rPr>
                      <w:rFonts w:hint="default" w:ascii="Times New Roman" w:hAnsi="Times New Roman" w:cs="Times New Roman"/>
                      <w:b w:val="0"/>
                      <w:bCs/>
                      <w:color w:val="auto"/>
                      <w:sz w:val="21"/>
                      <w:szCs w:val="21"/>
                      <w:highlight w:val="none"/>
                    </w:rPr>
                    <w:t>6</w:t>
                  </w:r>
                  <w:r>
                    <w:rPr>
                      <w:rFonts w:hint="eastAsia" w:ascii="Times New Roman" w:hAnsi="Times New Roman" w:cs="Times New Roman"/>
                      <w:b w:val="0"/>
                      <w:bCs/>
                      <w:color w:val="auto"/>
                      <w:sz w:val="21"/>
                      <w:szCs w:val="21"/>
                      <w:highlight w:val="none"/>
                      <w:lang w:val="en-US" w:eastAsia="zh-CN"/>
                    </w:rPr>
                    <w:t>0</w:t>
                  </w:r>
                </w:p>
              </w:tc>
              <w:tc>
                <w:tcPr>
                  <w:tcW w:w="2971" w:type="dxa"/>
                  <w:vMerge w:val="restar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《工业企业厂界环境噪声排放标准》GB12348-2008中</w:t>
                  </w:r>
                  <w:r>
                    <w:rPr>
                      <w:rFonts w:hint="eastAsia" w:ascii="Times New Roman" w:hAnsi="Times New Roman" w:cs="Times New Roman"/>
                      <w:b w:val="0"/>
                      <w:bCs/>
                      <w:color w:val="auto"/>
                      <w:sz w:val="21"/>
                      <w:szCs w:val="21"/>
                      <w:highlight w:val="none"/>
                      <w:lang w:val="en-US" w:eastAsia="zh-CN"/>
                    </w:rPr>
                    <w:t>2</w:t>
                  </w:r>
                  <w:r>
                    <w:rPr>
                      <w:rFonts w:hint="default" w:ascii="Times New Roman" w:hAnsi="Times New Roman" w:cs="Times New Roman"/>
                      <w:b w:val="0"/>
                      <w:bCs/>
                      <w:color w:val="auto"/>
                      <w:sz w:val="21"/>
                      <w:szCs w:val="21"/>
                      <w:highlight w:val="none"/>
                    </w:rPr>
                    <w:t>类</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24" w:type="dxa"/>
                  <w:vMerge w:val="continue"/>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p>
              </w:tc>
              <w:tc>
                <w:tcPr>
                  <w:tcW w:w="1693" w:type="dxa"/>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夜间</w:t>
                  </w:r>
                </w:p>
              </w:tc>
              <w:tc>
                <w:tcPr>
                  <w:tcW w:w="1839" w:type="dxa"/>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eastAsia="宋体" w:cs="Times New Roman"/>
                      <w:b w:val="0"/>
                      <w:bCs/>
                      <w:color w:val="auto"/>
                      <w:sz w:val="21"/>
                      <w:szCs w:val="21"/>
                      <w:highlight w:val="none"/>
                      <w:lang w:eastAsia="zh-CN"/>
                    </w:rPr>
                  </w:pPr>
                  <w:r>
                    <w:rPr>
                      <w:rFonts w:hint="default" w:ascii="Times New Roman" w:hAnsi="Times New Roman" w:cs="Times New Roman"/>
                      <w:b w:val="0"/>
                      <w:bCs/>
                      <w:color w:val="auto"/>
                      <w:sz w:val="21"/>
                      <w:szCs w:val="21"/>
                      <w:highlight w:val="none"/>
                    </w:rPr>
                    <w:t>5</w:t>
                  </w:r>
                  <w:r>
                    <w:rPr>
                      <w:rFonts w:hint="eastAsia" w:ascii="Times New Roman" w:hAnsi="Times New Roman" w:cs="Times New Roman"/>
                      <w:b w:val="0"/>
                      <w:bCs/>
                      <w:color w:val="auto"/>
                      <w:sz w:val="21"/>
                      <w:szCs w:val="21"/>
                      <w:highlight w:val="none"/>
                      <w:lang w:val="en-US" w:eastAsia="zh-CN"/>
                    </w:rPr>
                    <w:t>0</w:t>
                  </w:r>
                </w:p>
              </w:tc>
              <w:tc>
                <w:tcPr>
                  <w:tcW w:w="2971" w:type="dxa"/>
                  <w:vMerge w:val="continue"/>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24" w:type="dxa"/>
                  <w:vMerge w:val="restar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运营期</w:t>
                  </w:r>
                  <w:r>
                    <w:rPr>
                      <w:rFonts w:hint="eastAsia" w:ascii="Times New Roman" w:hAnsi="Times New Roman" w:cs="Times New Roman"/>
                      <w:b w:val="0"/>
                      <w:bCs/>
                      <w:color w:val="auto"/>
                      <w:sz w:val="21"/>
                      <w:szCs w:val="21"/>
                      <w:highlight w:val="none"/>
                      <w:lang w:val="en-US" w:eastAsia="zh-CN"/>
                    </w:rPr>
                    <w:t>北侧</w:t>
                  </w:r>
                  <w:r>
                    <w:rPr>
                      <w:rFonts w:hint="default" w:ascii="Times New Roman" w:hAnsi="Times New Roman" w:cs="Times New Roman"/>
                      <w:b w:val="0"/>
                      <w:bCs/>
                      <w:color w:val="auto"/>
                      <w:sz w:val="21"/>
                      <w:szCs w:val="21"/>
                      <w:highlight w:val="none"/>
                    </w:rPr>
                    <w:t>厂界噪声</w:t>
                  </w:r>
                </w:p>
              </w:tc>
              <w:tc>
                <w:tcPr>
                  <w:tcW w:w="1693" w:type="dxa"/>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sz w:val="21"/>
                      <w:szCs w:val="21"/>
                      <w:highlight w:val="none"/>
                    </w:rPr>
                    <w:t>昼间</w:t>
                  </w:r>
                </w:p>
              </w:tc>
              <w:tc>
                <w:tcPr>
                  <w:tcW w:w="1839" w:type="dxa"/>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sz w:val="21"/>
                      <w:szCs w:val="21"/>
                      <w:highlight w:val="none"/>
                      <w:lang w:val="en-US" w:eastAsia="zh-CN"/>
                    </w:rPr>
                    <w:t>70</w:t>
                  </w:r>
                </w:p>
              </w:tc>
              <w:tc>
                <w:tcPr>
                  <w:tcW w:w="2971" w:type="dxa"/>
                  <w:vMerge w:val="restart"/>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《工业企业厂界环境噪声排放标准》GB12348-2008中</w:t>
                  </w:r>
                  <w:r>
                    <w:rPr>
                      <w:rFonts w:hint="eastAsia" w:ascii="Times New Roman" w:hAnsi="Times New Roman" w:cs="Times New Roman"/>
                      <w:b w:val="0"/>
                      <w:bCs/>
                      <w:color w:val="auto"/>
                      <w:sz w:val="21"/>
                      <w:szCs w:val="21"/>
                      <w:highlight w:val="none"/>
                      <w:lang w:val="en-US" w:eastAsia="zh-CN"/>
                    </w:rPr>
                    <w:t>4a</w:t>
                  </w:r>
                  <w:r>
                    <w:rPr>
                      <w:rFonts w:hint="default" w:ascii="Times New Roman" w:hAnsi="Times New Roman" w:cs="Times New Roman"/>
                      <w:b w:val="0"/>
                      <w:bCs/>
                      <w:color w:val="auto"/>
                      <w:sz w:val="21"/>
                      <w:szCs w:val="21"/>
                      <w:highlight w:val="none"/>
                    </w:rPr>
                    <w:t>类</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124" w:type="dxa"/>
                  <w:vMerge w:val="continue"/>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p>
              </w:tc>
              <w:tc>
                <w:tcPr>
                  <w:tcW w:w="1693" w:type="dxa"/>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kern w:val="2"/>
                      <w:sz w:val="21"/>
                      <w:szCs w:val="21"/>
                      <w:highlight w:val="none"/>
                      <w:lang w:val="en-US" w:eastAsia="zh-CN" w:bidi="ar-SA"/>
                    </w:rPr>
                  </w:pPr>
                  <w:r>
                    <w:rPr>
                      <w:rFonts w:hint="default" w:ascii="Times New Roman" w:hAnsi="Times New Roman" w:cs="Times New Roman"/>
                      <w:b w:val="0"/>
                      <w:bCs/>
                      <w:color w:val="auto"/>
                      <w:sz w:val="21"/>
                      <w:szCs w:val="21"/>
                      <w:highlight w:val="none"/>
                    </w:rPr>
                    <w:t>夜间</w:t>
                  </w:r>
                </w:p>
              </w:tc>
              <w:tc>
                <w:tcPr>
                  <w:tcW w:w="1839" w:type="dxa"/>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eastAsia="宋体" w:cs="Times New Roman"/>
                      <w:b w:val="0"/>
                      <w:bCs/>
                      <w:color w:val="auto"/>
                      <w:kern w:val="2"/>
                      <w:sz w:val="21"/>
                      <w:szCs w:val="21"/>
                      <w:highlight w:val="none"/>
                      <w:lang w:val="en-US" w:eastAsia="zh-CN" w:bidi="ar-SA"/>
                    </w:rPr>
                  </w:pPr>
                  <w:r>
                    <w:rPr>
                      <w:rFonts w:hint="default" w:ascii="Times New Roman" w:hAnsi="Times New Roman" w:cs="Times New Roman"/>
                      <w:b w:val="0"/>
                      <w:bCs/>
                      <w:color w:val="auto"/>
                      <w:sz w:val="21"/>
                      <w:szCs w:val="21"/>
                      <w:highlight w:val="none"/>
                    </w:rPr>
                    <w:t>5</w:t>
                  </w:r>
                  <w:r>
                    <w:rPr>
                      <w:rFonts w:hint="eastAsia" w:ascii="Times New Roman" w:hAnsi="Times New Roman" w:cs="Times New Roman"/>
                      <w:b w:val="0"/>
                      <w:bCs/>
                      <w:color w:val="auto"/>
                      <w:sz w:val="21"/>
                      <w:szCs w:val="21"/>
                      <w:highlight w:val="none"/>
                      <w:lang w:val="en-US" w:eastAsia="zh-CN"/>
                    </w:rPr>
                    <w:t>5</w:t>
                  </w:r>
                </w:p>
              </w:tc>
              <w:tc>
                <w:tcPr>
                  <w:tcW w:w="2971" w:type="dxa"/>
                  <w:vMerge w:val="continue"/>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center"/>
                    <w:textAlignment w:val="baseline"/>
                    <w:rPr>
                      <w:rFonts w:hint="default" w:ascii="Times New Roman" w:hAnsi="Times New Roman" w:cs="Times New Roman"/>
                      <w:b w:val="0"/>
                      <w:bCs/>
                      <w:color w:val="auto"/>
                      <w:sz w:val="21"/>
                      <w:szCs w:val="21"/>
                      <w:highlight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627" w:type="dxa"/>
                  <w:gridSpan w:val="4"/>
                  <w:noWrap w:val="0"/>
                  <w:vAlign w:val="center"/>
                </w:tcPr>
                <w:p>
                  <w:pPr>
                    <w:pStyle w:val="70"/>
                    <w:keepNext w:val="0"/>
                    <w:keepLines w:val="0"/>
                    <w:pageBreakBefore w:val="0"/>
                    <w:widowControl w:val="0"/>
                    <w:kinsoku/>
                    <w:wordWrap/>
                    <w:overflowPunct/>
                    <w:topLinePunct w:val="0"/>
                    <w:autoSpaceDE/>
                    <w:autoSpaceDN/>
                    <w:bidi w:val="0"/>
                    <w:adjustRightInd w:val="0"/>
                    <w:snapToGrid/>
                    <w:spacing w:line="240" w:lineRule="auto"/>
                    <w:ind w:firstLine="0" w:firstLineChars="0"/>
                    <w:jc w:val="left"/>
                    <w:textAlignment w:val="baseline"/>
                    <w:rPr>
                      <w:rFonts w:hint="default" w:ascii="Times New Roman" w:hAnsi="Times New Roman" w:cs="Times New Roman"/>
                      <w:b w:val="0"/>
                      <w:bCs/>
                      <w:color w:val="auto"/>
                      <w:sz w:val="21"/>
                      <w:szCs w:val="21"/>
                      <w:highlight w:val="none"/>
                    </w:rPr>
                  </w:pPr>
                  <w:r>
                    <w:rPr>
                      <w:rFonts w:hint="default" w:ascii="Times New Roman" w:hAnsi="Times New Roman" w:cs="Times New Roman"/>
                      <w:b w:val="0"/>
                      <w:bCs/>
                      <w:color w:val="auto"/>
                      <w:sz w:val="21"/>
                      <w:szCs w:val="21"/>
                      <w:highlight w:val="none"/>
                    </w:rPr>
                    <w:t>注：施工期夜间噪声最大声级超过限值的幅度不得高于15dB(A)</w:t>
                  </w:r>
                </w:p>
              </w:tc>
            </w:tr>
          </w:tbl>
          <w:p>
            <w:pPr>
              <w:pStyle w:val="3"/>
              <w:rPr>
                <w:color w:val="auto"/>
                <w:highlight w:val="none"/>
              </w:rPr>
            </w:pPr>
            <w:r>
              <w:rPr>
                <w:rFonts w:hint="eastAsia"/>
                <w:color w:val="auto"/>
                <w:highlight w:val="none"/>
                <w:lang w:val="en-US" w:eastAsia="zh-CN"/>
              </w:rPr>
              <w:t>3</w:t>
            </w:r>
            <w:r>
              <w:rPr>
                <w:color w:val="auto"/>
                <w:highlight w:val="none"/>
              </w:rPr>
              <w:t>、固体废物</w:t>
            </w:r>
          </w:p>
          <w:p>
            <w:pPr>
              <w:pStyle w:val="98"/>
              <w:ind w:firstLine="480"/>
              <w:rPr>
                <w:color w:val="auto"/>
                <w:highlight w:val="none"/>
              </w:rPr>
            </w:pPr>
            <w:r>
              <w:rPr>
                <w:color w:val="auto"/>
                <w:highlight w:val="none"/>
              </w:rPr>
              <w:t>生活垃圾处置执行《中华人民共和国固体废物污染环境防治法》(2020年修订)的相关规定；本项目一般工业固体废物的临时贮存和管理执行《一般工业固体废物贮存和填埋污染控制标准》(GB18599-2020)。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444" w:type="dxa"/>
            <w:noWrap w:val="0"/>
            <w:vAlign w:val="center"/>
          </w:tcPr>
          <w:p>
            <w:pPr>
              <w:adjustRightInd w:val="0"/>
              <w:snapToGrid w:val="0"/>
              <w:jc w:val="center"/>
              <w:rPr>
                <w:color w:val="auto"/>
                <w:kern w:val="0"/>
                <w:sz w:val="24"/>
                <w:highlight w:val="none"/>
              </w:rPr>
            </w:pPr>
            <w:r>
              <w:rPr>
                <w:color w:val="auto"/>
                <w:kern w:val="0"/>
                <w:sz w:val="24"/>
                <w:highlight w:val="none"/>
              </w:rPr>
              <w:t>总量</w:t>
            </w:r>
          </w:p>
          <w:p>
            <w:pPr>
              <w:adjustRightInd w:val="0"/>
              <w:snapToGrid w:val="0"/>
              <w:jc w:val="center"/>
              <w:rPr>
                <w:color w:val="auto"/>
                <w:kern w:val="0"/>
                <w:sz w:val="24"/>
                <w:highlight w:val="none"/>
              </w:rPr>
            </w:pPr>
            <w:r>
              <w:rPr>
                <w:color w:val="auto"/>
                <w:kern w:val="0"/>
                <w:sz w:val="24"/>
                <w:highlight w:val="none"/>
              </w:rPr>
              <w:t>控制</w:t>
            </w:r>
          </w:p>
          <w:p>
            <w:pPr>
              <w:adjustRightInd w:val="0"/>
              <w:snapToGrid w:val="0"/>
              <w:jc w:val="center"/>
              <w:rPr>
                <w:color w:val="auto"/>
                <w:kern w:val="0"/>
                <w:sz w:val="24"/>
                <w:highlight w:val="none"/>
              </w:rPr>
            </w:pPr>
            <w:r>
              <w:rPr>
                <w:color w:val="auto"/>
                <w:kern w:val="0"/>
                <w:sz w:val="24"/>
                <w:highlight w:val="none"/>
              </w:rPr>
              <w:t>指标</w:t>
            </w:r>
          </w:p>
        </w:tc>
        <w:tc>
          <w:tcPr>
            <w:tcW w:w="8843" w:type="dxa"/>
            <w:noWrap w:val="0"/>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color w:val="auto"/>
                <w:sz w:val="24"/>
                <w:szCs w:val="24"/>
                <w:highlight w:val="none"/>
              </w:rPr>
            </w:pPr>
            <w:r>
              <w:rPr>
                <w:rFonts w:hint="default"/>
                <w:color w:val="auto"/>
                <w:sz w:val="24"/>
                <w:szCs w:val="24"/>
                <w:highlight w:val="none"/>
              </w:rPr>
              <w:t>根据《福建省“十三五”环境保护规划》（闽环保财〔2016〕51号）、《福建省人民政府关于印发福建省“十三五”节能减排综合性工作方案的通知》(闽政[2017]29号)，有关主要污染物排放总量控制计划的要求。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color w:val="auto"/>
                <w:kern w:val="0"/>
                <w:sz w:val="24"/>
                <w:highlight w:val="none"/>
              </w:rPr>
            </w:pPr>
            <w:r>
              <w:rPr>
                <w:rFonts w:hint="eastAsia" w:cs="Times New Roman"/>
                <w:color w:val="auto"/>
                <w:sz w:val="24"/>
                <w:szCs w:val="24"/>
                <w:highlight w:val="none"/>
                <w:lang w:val="en-US" w:eastAsia="zh-CN"/>
              </w:rPr>
              <w:t>本项目洗砂废水循环使用，不外排；废气主要为颗粒物，不属于控制指标，因此，本项目不需要申请废水、废气总量控制指标</w:t>
            </w:r>
            <w:r>
              <w:rPr>
                <w:rFonts w:hint="eastAsia"/>
                <w:color w:val="auto"/>
                <w:sz w:val="24"/>
                <w:szCs w:val="24"/>
                <w:highlight w:val="none"/>
                <w:lang w:val="en-US" w:eastAsia="zh-CN"/>
              </w:rPr>
              <w:t>。</w:t>
            </w:r>
          </w:p>
        </w:tc>
      </w:tr>
    </w:tbl>
    <w:p>
      <w:pPr>
        <w:pStyle w:val="20"/>
        <w:jc w:val="center"/>
        <w:outlineLvl w:val="0"/>
        <w:rPr>
          <w:rFonts w:ascii="Times New Roman" w:hAnsi="Times New Roman" w:eastAsia="黑体"/>
          <w:snapToGrid w:val="0"/>
          <w:color w:val="auto"/>
          <w:sz w:val="30"/>
          <w:szCs w:val="30"/>
          <w:highlight w:val="none"/>
        </w:rPr>
      </w:pPr>
      <w:r>
        <w:rPr>
          <w:rFonts w:ascii="Times New Roman" w:hAnsi="Times New Roman" w:eastAsia="黑体"/>
          <w:snapToGrid w:val="0"/>
          <w:color w:val="auto"/>
          <w:sz w:val="36"/>
          <w:szCs w:val="36"/>
          <w:highlight w:val="none"/>
        </w:rPr>
        <w:br w:type="page"/>
      </w:r>
      <w:r>
        <w:rPr>
          <w:rFonts w:ascii="Times New Roman" w:hAnsi="Times New Roman" w:eastAsia="黑体"/>
          <w:snapToGrid w:val="0"/>
          <w:color w:val="auto"/>
          <w:sz w:val="30"/>
          <w:szCs w:val="30"/>
          <w:highlight w:val="none"/>
        </w:rPr>
        <w:t>四、主要环境影响和保护措施</w:t>
      </w: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5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19" w:hRule="atLeast"/>
          <w:jc w:val="center"/>
        </w:trPr>
        <w:tc>
          <w:tcPr>
            <w:tcW w:w="696" w:type="dxa"/>
            <w:noWrap w:val="0"/>
            <w:tcMar>
              <w:left w:w="28" w:type="dxa"/>
              <w:right w:w="28" w:type="dxa"/>
            </w:tcMar>
            <w:vAlign w:val="center"/>
          </w:tcPr>
          <w:p>
            <w:pPr>
              <w:pStyle w:val="63"/>
              <w:rPr>
                <w:color w:val="auto"/>
                <w:sz w:val="24"/>
                <w:highlight w:val="none"/>
              </w:rPr>
            </w:pPr>
            <w:r>
              <w:rPr>
                <w:color w:val="auto"/>
                <w:sz w:val="24"/>
                <w:highlight w:val="none"/>
              </w:rPr>
              <w:t>施工</w:t>
            </w:r>
          </w:p>
          <w:p>
            <w:pPr>
              <w:pStyle w:val="63"/>
              <w:rPr>
                <w:color w:val="auto"/>
                <w:sz w:val="24"/>
                <w:highlight w:val="none"/>
              </w:rPr>
            </w:pPr>
            <w:r>
              <w:rPr>
                <w:color w:val="auto"/>
                <w:sz w:val="24"/>
                <w:highlight w:val="none"/>
              </w:rPr>
              <w:t>期环</w:t>
            </w:r>
          </w:p>
          <w:p>
            <w:pPr>
              <w:pStyle w:val="63"/>
              <w:rPr>
                <w:color w:val="auto"/>
                <w:sz w:val="24"/>
                <w:highlight w:val="none"/>
              </w:rPr>
            </w:pPr>
            <w:r>
              <w:rPr>
                <w:color w:val="auto"/>
                <w:sz w:val="24"/>
                <w:highlight w:val="none"/>
              </w:rPr>
              <w:t>境保</w:t>
            </w:r>
          </w:p>
          <w:p>
            <w:pPr>
              <w:pStyle w:val="63"/>
              <w:rPr>
                <w:color w:val="auto"/>
                <w:sz w:val="24"/>
                <w:highlight w:val="none"/>
              </w:rPr>
            </w:pPr>
            <w:r>
              <w:rPr>
                <w:color w:val="auto"/>
                <w:sz w:val="24"/>
                <w:highlight w:val="none"/>
              </w:rPr>
              <w:t>护措</w:t>
            </w:r>
          </w:p>
          <w:p>
            <w:pPr>
              <w:pStyle w:val="63"/>
              <w:rPr>
                <w:bCs/>
                <w:color w:val="auto"/>
                <w:highlight w:val="none"/>
              </w:rPr>
            </w:pPr>
            <w:r>
              <w:rPr>
                <w:color w:val="auto"/>
                <w:sz w:val="24"/>
                <w:highlight w:val="none"/>
              </w:rPr>
              <w:t>施</w:t>
            </w:r>
          </w:p>
        </w:tc>
        <w:tc>
          <w:tcPr>
            <w:tcW w:w="8511" w:type="dxa"/>
            <w:noWrap w:val="0"/>
            <w:vAlign w:val="center"/>
          </w:tcPr>
          <w:p>
            <w:pPr>
              <w:pStyle w:val="3"/>
              <w:rPr>
                <w:color w:val="auto"/>
                <w:highlight w:val="none"/>
              </w:rPr>
            </w:pPr>
            <w:r>
              <w:rPr>
                <w:color w:val="auto"/>
                <w:highlight w:val="none"/>
              </w:rPr>
              <w:t>1、扬尘</w:t>
            </w:r>
          </w:p>
          <w:p>
            <w:pPr>
              <w:pStyle w:val="98"/>
              <w:ind w:firstLine="480"/>
              <w:rPr>
                <w:color w:val="auto"/>
                <w:highlight w:val="none"/>
              </w:rPr>
            </w:pPr>
            <w:r>
              <w:rPr>
                <w:color w:val="auto"/>
                <w:highlight w:val="none"/>
              </w:rPr>
              <w:t>(1)施工单位应采取择时施工、洒水抑尘、冲洗地面和车辆等有效防尘降尘措施。</w:t>
            </w:r>
          </w:p>
          <w:p>
            <w:pPr>
              <w:pStyle w:val="98"/>
              <w:ind w:firstLine="480"/>
              <w:rPr>
                <w:color w:val="auto"/>
                <w:highlight w:val="none"/>
              </w:rPr>
            </w:pPr>
            <w:r>
              <w:rPr>
                <w:color w:val="auto"/>
                <w:highlight w:val="none"/>
              </w:rPr>
              <w:t>(</w:t>
            </w:r>
            <w:r>
              <w:rPr>
                <w:rFonts w:hint="eastAsia"/>
                <w:color w:val="auto"/>
                <w:highlight w:val="none"/>
                <w:lang w:val="en-US" w:eastAsia="zh-CN"/>
              </w:rPr>
              <w:t>2</w:t>
            </w:r>
            <w:r>
              <w:rPr>
                <w:color w:val="auto"/>
                <w:highlight w:val="none"/>
              </w:rPr>
              <w:t>)施工单位应当在施工工地公示扬尘污染防治措施、负责人、扬尘监督管理主管部门等信息。</w:t>
            </w:r>
          </w:p>
          <w:p>
            <w:pPr>
              <w:pStyle w:val="98"/>
              <w:ind w:firstLine="480"/>
              <w:rPr>
                <w:color w:val="auto"/>
                <w:highlight w:val="none"/>
              </w:rPr>
            </w:pPr>
            <w:r>
              <w:rPr>
                <w:color w:val="auto"/>
                <w:highlight w:val="none"/>
              </w:rPr>
              <w:t>(</w:t>
            </w:r>
            <w:r>
              <w:rPr>
                <w:rFonts w:hint="eastAsia"/>
                <w:color w:val="auto"/>
                <w:highlight w:val="none"/>
                <w:lang w:val="en-US" w:eastAsia="zh-CN"/>
              </w:rPr>
              <w:t>3</w:t>
            </w:r>
            <w:r>
              <w:rPr>
                <w:color w:val="auto"/>
                <w:highlight w:val="none"/>
              </w:rPr>
              <w:t>)出工地的物料、垃圾运输车辆，应按照批准的路线和时间进行物料、渣土、垃圾的运输，采用密闭车斗，并保证物料不遗撒外漏，尽可能减少运输扬尘对沿线居民的影响。特别是车辆经过居民的道路，要求对道路积极洒水，防止运输扬尘。</w:t>
            </w:r>
          </w:p>
          <w:p>
            <w:pPr>
              <w:pStyle w:val="98"/>
              <w:ind w:firstLine="480"/>
              <w:rPr>
                <w:color w:val="auto"/>
                <w:highlight w:val="none"/>
              </w:rPr>
            </w:pPr>
            <w:r>
              <w:rPr>
                <w:color w:val="auto"/>
                <w:highlight w:val="none"/>
              </w:rPr>
              <w:t>(</w:t>
            </w:r>
            <w:r>
              <w:rPr>
                <w:rFonts w:hint="eastAsia"/>
                <w:color w:val="auto"/>
                <w:highlight w:val="none"/>
                <w:lang w:val="en-US" w:eastAsia="zh-CN"/>
              </w:rPr>
              <w:t>4</w:t>
            </w:r>
            <w:r>
              <w:rPr>
                <w:color w:val="auto"/>
                <w:highlight w:val="none"/>
              </w:rPr>
              <w:t>)施工场地出口设洗车平台，进出场车辆在此清洗轮胎及车身，防止将工地泥土带入道路。</w:t>
            </w:r>
          </w:p>
          <w:p>
            <w:pPr>
              <w:pStyle w:val="98"/>
              <w:ind w:firstLine="480"/>
              <w:rPr>
                <w:color w:val="auto"/>
                <w:highlight w:val="none"/>
              </w:rPr>
            </w:pPr>
            <w:r>
              <w:rPr>
                <w:color w:val="auto"/>
                <w:highlight w:val="none"/>
              </w:rPr>
              <w:t>(</w:t>
            </w:r>
            <w:r>
              <w:rPr>
                <w:rFonts w:hint="eastAsia"/>
                <w:color w:val="auto"/>
                <w:highlight w:val="none"/>
                <w:lang w:val="en-US" w:eastAsia="zh-CN"/>
              </w:rPr>
              <w:t>5</w:t>
            </w:r>
            <w:r>
              <w:rPr>
                <w:color w:val="auto"/>
                <w:highlight w:val="none"/>
              </w:rPr>
              <w:t>)施工过程中，产生的弃料及其他建筑垃圾，应及时清运并平整压实，防止尘土飞扬。</w:t>
            </w:r>
          </w:p>
          <w:p>
            <w:pPr>
              <w:pStyle w:val="98"/>
              <w:ind w:firstLine="480"/>
              <w:rPr>
                <w:color w:val="auto"/>
                <w:highlight w:val="none"/>
              </w:rPr>
            </w:pPr>
            <w:r>
              <w:rPr>
                <w:color w:val="auto"/>
                <w:highlight w:val="none"/>
              </w:rPr>
              <w:t>(</w:t>
            </w:r>
            <w:r>
              <w:rPr>
                <w:rFonts w:hint="eastAsia"/>
                <w:color w:val="auto"/>
                <w:highlight w:val="none"/>
                <w:lang w:val="en-US" w:eastAsia="zh-CN"/>
              </w:rPr>
              <w:t>6</w:t>
            </w:r>
            <w:r>
              <w:rPr>
                <w:color w:val="auto"/>
                <w:highlight w:val="none"/>
              </w:rPr>
              <w:t>)为控制施工期扬尘对周围环境的影响，项目施工过程中应依照《建筑施工现场环境与卫生标准》(JGJ146-2004)和《防治城市扬尘污染技术规范》(HJ/T393-2007)有关规定，采用“湿式施工作业”，对施工现场易产生扬尘的作业面(点)、道路等进行洒水降尘，在大风日加大洒水量及洒水次数。</w:t>
            </w:r>
          </w:p>
          <w:p>
            <w:pPr>
              <w:pStyle w:val="3"/>
              <w:rPr>
                <w:color w:val="auto"/>
                <w:highlight w:val="none"/>
              </w:rPr>
            </w:pPr>
            <w:r>
              <w:rPr>
                <w:color w:val="auto"/>
                <w:highlight w:val="none"/>
              </w:rPr>
              <w:t>2、废水</w:t>
            </w:r>
          </w:p>
          <w:p>
            <w:pPr>
              <w:pStyle w:val="98"/>
              <w:ind w:firstLine="480"/>
              <w:rPr>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color w:val="auto"/>
                <w:highlight w:val="none"/>
              </w:rPr>
              <w:t>建筑材料需集中堆放，并采取一定的防雨淋措施。</w:t>
            </w:r>
          </w:p>
          <w:p>
            <w:pPr>
              <w:pStyle w:val="98"/>
              <w:ind w:firstLine="480"/>
              <w:rPr>
                <w:rFonts w:hint="default"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lang w:val="en-US" w:eastAsia="zh-CN"/>
              </w:rPr>
              <w:t>项目场地四周设置导流沟或挡水设施，收集地面初期雨水，同时在厂界西侧的毗邻海域处设置临海挡水墙，防止初期雨水等各类废水进入海域。</w:t>
            </w:r>
          </w:p>
          <w:p>
            <w:pPr>
              <w:pStyle w:val="98"/>
              <w:ind w:firstLine="480"/>
              <w:rPr>
                <w:color w:val="auto"/>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color w:val="auto"/>
                <w:highlight w:val="none"/>
              </w:rPr>
              <w:t>项目不设置施工营地，施工人员租用周边民房居住，</w:t>
            </w:r>
            <w:r>
              <w:rPr>
                <w:rFonts w:hint="eastAsia"/>
                <w:color w:val="auto"/>
                <w:highlight w:val="none"/>
                <w:lang w:val="en-US" w:eastAsia="zh-CN"/>
              </w:rPr>
              <w:t>依托当地环保设施</w:t>
            </w:r>
            <w:r>
              <w:rPr>
                <w:color w:val="auto"/>
                <w:highlight w:val="none"/>
              </w:rPr>
              <w:t>，</w:t>
            </w:r>
            <w:r>
              <w:rPr>
                <w:rFonts w:hint="eastAsia"/>
                <w:color w:val="auto"/>
                <w:highlight w:val="none"/>
                <w:lang w:val="en-US" w:eastAsia="zh-CN"/>
              </w:rPr>
              <w:t>生活污水</w:t>
            </w:r>
            <w:r>
              <w:rPr>
                <w:color w:val="auto"/>
                <w:highlight w:val="none"/>
              </w:rPr>
              <w:t>不直接排放到地表水环境中，对水体影响</w:t>
            </w:r>
            <w:r>
              <w:rPr>
                <w:rFonts w:hint="eastAsia"/>
                <w:color w:val="auto"/>
                <w:highlight w:val="none"/>
                <w:lang w:val="en-US" w:eastAsia="zh-CN"/>
              </w:rPr>
              <w:t>不大</w:t>
            </w:r>
            <w:r>
              <w:rPr>
                <w:color w:val="auto"/>
                <w:highlight w:val="none"/>
              </w:rPr>
              <w:t>。</w:t>
            </w:r>
          </w:p>
          <w:p>
            <w:pPr>
              <w:pStyle w:val="3"/>
              <w:rPr>
                <w:color w:val="auto"/>
                <w:highlight w:val="none"/>
              </w:rPr>
            </w:pPr>
            <w:r>
              <w:rPr>
                <w:color w:val="auto"/>
                <w:highlight w:val="none"/>
              </w:rPr>
              <w:t>3、噪声</w:t>
            </w:r>
          </w:p>
          <w:p>
            <w:pPr>
              <w:pStyle w:val="98"/>
              <w:ind w:firstLine="480"/>
              <w:rPr>
                <w:color w:val="auto"/>
                <w:highlight w:val="none"/>
              </w:rPr>
            </w:pPr>
            <w:r>
              <w:rPr>
                <w:color w:val="auto"/>
                <w:highlight w:val="none"/>
              </w:rPr>
              <w:t>(1)本项目</w:t>
            </w:r>
            <w:r>
              <w:rPr>
                <w:rFonts w:hint="eastAsia"/>
                <w:color w:val="auto"/>
                <w:highlight w:val="none"/>
                <w:lang w:val="en-US" w:eastAsia="zh-CN"/>
              </w:rPr>
              <w:t>施工过程要</w:t>
            </w:r>
            <w:r>
              <w:rPr>
                <w:color w:val="auto"/>
                <w:highlight w:val="none"/>
              </w:rPr>
              <w:t>将高噪声施工设备布置在场地中部。</w:t>
            </w:r>
          </w:p>
          <w:p>
            <w:pPr>
              <w:pStyle w:val="98"/>
              <w:ind w:firstLine="480"/>
              <w:rPr>
                <w:color w:val="auto"/>
                <w:highlight w:val="none"/>
              </w:rPr>
            </w:pPr>
            <w:r>
              <w:rPr>
                <w:color w:val="auto"/>
                <w:highlight w:val="none"/>
              </w:rPr>
              <w:t>(2)选择低噪声的施工机械设备和工艺，如选用商品混凝土。</w:t>
            </w:r>
          </w:p>
          <w:p>
            <w:pPr>
              <w:pStyle w:val="98"/>
              <w:ind w:firstLine="480"/>
              <w:rPr>
                <w:color w:val="auto"/>
                <w:highlight w:val="none"/>
              </w:rPr>
            </w:pPr>
            <w:r>
              <w:rPr>
                <w:color w:val="auto"/>
                <w:highlight w:val="none"/>
              </w:rPr>
              <w:t>(</w:t>
            </w:r>
            <w:r>
              <w:rPr>
                <w:rFonts w:hint="eastAsia"/>
                <w:color w:val="auto"/>
                <w:highlight w:val="none"/>
                <w:lang w:val="en-US" w:eastAsia="zh-CN"/>
              </w:rPr>
              <w:t>3</w:t>
            </w:r>
            <w:r>
              <w:rPr>
                <w:color w:val="auto"/>
                <w:highlight w:val="none"/>
              </w:rPr>
              <w:t>)合理安排施工时间，禁止在午间(12 时至14 时)和夜间(22 时至次日6 时)进行打桩、搅拌或浇注混凝土等高噪声作业；夜间禁止使用高噪声设备，如需要连续作业或者特殊需要，确要在22:00～次日6:00 时进行施工的，建设单位和施工单位应必须报经当地宁德市福鼎市生态环境局部门批准，并予以公告。</w:t>
            </w:r>
          </w:p>
          <w:p>
            <w:pPr>
              <w:pStyle w:val="98"/>
              <w:ind w:firstLine="480"/>
              <w:rPr>
                <w:color w:val="auto"/>
                <w:highlight w:val="none"/>
              </w:rPr>
            </w:pPr>
            <w:r>
              <w:rPr>
                <w:color w:val="auto"/>
                <w:highlight w:val="none"/>
              </w:rPr>
              <w:t>(</w:t>
            </w:r>
            <w:r>
              <w:rPr>
                <w:rFonts w:hint="eastAsia"/>
                <w:color w:val="auto"/>
                <w:highlight w:val="none"/>
                <w:lang w:val="en-US" w:eastAsia="zh-CN"/>
              </w:rPr>
              <w:t>4</w:t>
            </w:r>
            <w:r>
              <w:rPr>
                <w:color w:val="auto"/>
                <w:highlight w:val="none"/>
              </w:rPr>
              <w:t>)合理布局施工设施，高噪声作业设备应尽量远离敏感点，并严格控制作业时间，避免噪音扰民，对施工设备要进行设置底座减振措施。</w:t>
            </w:r>
          </w:p>
          <w:p>
            <w:pPr>
              <w:pStyle w:val="3"/>
              <w:rPr>
                <w:color w:val="auto"/>
                <w:highlight w:val="none"/>
              </w:rPr>
            </w:pPr>
            <w:r>
              <w:rPr>
                <w:color w:val="auto"/>
                <w:highlight w:val="none"/>
              </w:rPr>
              <w:t>4、固体废物</w:t>
            </w:r>
          </w:p>
          <w:p>
            <w:pPr>
              <w:pStyle w:val="98"/>
              <w:ind w:firstLine="480"/>
              <w:rPr>
                <w:color w:val="auto"/>
                <w:highlight w:val="none"/>
              </w:rPr>
            </w:pPr>
            <w:r>
              <w:rPr>
                <w:color w:val="auto"/>
                <w:highlight w:val="none"/>
              </w:rPr>
              <w:t>(1)施工期建筑垃圾集中堆放，及时清运，在工程结束前清扫干净。对可回用的建筑垃圾外卖作为建筑材料二次利用；废金属经分拣、集中后由废旧金属回收单位回收再利用。不能利用的碎砖、混凝土块等废料经集中收集后，由建设单位委托建筑公司运往指定地点统一处置。</w:t>
            </w:r>
          </w:p>
          <w:p>
            <w:pPr>
              <w:pStyle w:val="98"/>
              <w:ind w:firstLine="480"/>
              <w:rPr>
                <w:color w:val="auto"/>
                <w:highlight w:val="none"/>
              </w:rPr>
            </w:pPr>
            <w:r>
              <w:rPr>
                <w:color w:val="auto"/>
                <w:highlight w:val="none"/>
              </w:rPr>
              <w:t>(2)项目不设置施工营地，施工人员依托周边民房居住，生活垃圾依托当地环卫部门清理。</w:t>
            </w:r>
          </w:p>
          <w:p>
            <w:pPr>
              <w:pStyle w:val="3"/>
              <w:rPr>
                <w:color w:val="auto"/>
                <w:highlight w:val="none"/>
              </w:rPr>
            </w:pPr>
            <w:r>
              <w:rPr>
                <w:color w:val="auto"/>
                <w:highlight w:val="none"/>
              </w:rPr>
              <w:t>5、振动</w:t>
            </w:r>
          </w:p>
          <w:p>
            <w:pPr>
              <w:pStyle w:val="98"/>
              <w:ind w:firstLine="480"/>
              <w:rPr>
                <w:color w:val="auto"/>
                <w:highlight w:val="none"/>
              </w:rPr>
            </w:pPr>
            <w:r>
              <w:rPr>
                <w:color w:val="auto"/>
                <w:highlight w:val="none"/>
              </w:rPr>
              <w:t>(1)采取自动化、半自动化控制装置，减少接振。</w:t>
            </w:r>
          </w:p>
          <w:p>
            <w:pPr>
              <w:pStyle w:val="98"/>
              <w:ind w:firstLine="480"/>
              <w:rPr>
                <w:color w:val="auto"/>
                <w:highlight w:val="none"/>
              </w:rPr>
            </w:pPr>
            <w:r>
              <w:rPr>
                <w:color w:val="auto"/>
                <w:highlight w:val="none"/>
              </w:rPr>
              <w:t>(2)改进振动设备与工具，降低振动强度，或减少手持振动工具的重量，以减轻肌肉负荷和静力紧张等。</w:t>
            </w:r>
          </w:p>
          <w:p>
            <w:pPr>
              <w:pStyle w:val="98"/>
              <w:ind w:firstLine="480"/>
              <w:rPr>
                <w:color w:val="auto"/>
                <w:highlight w:val="none"/>
              </w:rPr>
            </w:pPr>
            <w:r>
              <w:rPr>
                <w:color w:val="auto"/>
                <w:highlight w:val="none"/>
              </w:rPr>
              <w:t>(3)改革工作制度，专人专机，及时保养和维修。</w:t>
            </w:r>
          </w:p>
          <w:p>
            <w:pPr>
              <w:pStyle w:val="98"/>
              <w:ind w:firstLine="480"/>
              <w:rPr>
                <w:color w:val="auto"/>
                <w:highlight w:val="none"/>
              </w:rPr>
            </w:pPr>
            <w:r>
              <w:rPr>
                <w:color w:val="auto"/>
                <w:highlight w:val="none"/>
              </w:rPr>
              <w:t>(4)合理发放个人防护用品。</w:t>
            </w:r>
          </w:p>
          <w:p>
            <w:pPr>
              <w:pStyle w:val="98"/>
              <w:ind w:firstLine="480"/>
              <w:rPr>
                <w:color w:val="auto"/>
                <w:highlight w:val="none"/>
              </w:rPr>
            </w:pPr>
            <w:r>
              <w:rPr>
                <w:color w:val="auto"/>
                <w:highlight w:val="none"/>
              </w:rPr>
              <w:t>(5)建立合理劳动制度，坚持工间休息及定期轮换工作制度，以利各器官系统功能的恢复。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09" w:hRule="atLeast"/>
          <w:jc w:val="center"/>
        </w:trPr>
        <w:tc>
          <w:tcPr>
            <w:tcW w:w="696" w:type="dxa"/>
            <w:noWrap w:val="0"/>
            <w:tcMar>
              <w:left w:w="28" w:type="dxa"/>
              <w:right w:w="28" w:type="dxa"/>
            </w:tcMar>
            <w:vAlign w:val="center"/>
          </w:tcPr>
          <w:p>
            <w:pPr>
              <w:pStyle w:val="63"/>
              <w:rPr>
                <w:color w:val="auto"/>
                <w:sz w:val="24"/>
                <w:highlight w:val="none"/>
              </w:rPr>
            </w:pPr>
            <w:r>
              <w:rPr>
                <w:color w:val="auto"/>
                <w:sz w:val="24"/>
                <w:highlight w:val="none"/>
              </w:rPr>
              <w:t>运营</w:t>
            </w:r>
          </w:p>
          <w:p>
            <w:pPr>
              <w:pStyle w:val="63"/>
              <w:rPr>
                <w:color w:val="auto"/>
                <w:sz w:val="24"/>
                <w:highlight w:val="none"/>
              </w:rPr>
            </w:pPr>
            <w:r>
              <w:rPr>
                <w:color w:val="auto"/>
                <w:sz w:val="24"/>
                <w:highlight w:val="none"/>
              </w:rPr>
              <w:t>期环</w:t>
            </w:r>
          </w:p>
          <w:p>
            <w:pPr>
              <w:pStyle w:val="63"/>
              <w:rPr>
                <w:color w:val="auto"/>
                <w:sz w:val="24"/>
                <w:highlight w:val="none"/>
              </w:rPr>
            </w:pPr>
            <w:r>
              <w:rPr>
                <w:color w:val="auto"/>
                <w:sz w:val="24"/>
                <w:highlight w:val="none"/>
              </w:rPr>
              <w:t>境影</w:t>
            </w:r>
          </w:p>
          <w:p>
            <w:pPr>
              <w:pStyle w:val="63"/>
              <w:rPr>
                <w:color w:val="auto"/>
                <w:sz w:val="24"/>
                <w:highlight w:val="none"/>
              </w:rPr>
            </w:pPr>
            <w:r>
              <w:rPr>
                <w:color w:val="auto"/>
                <w:sz w:val="24"/>
                <w:highlight w:val="none"/>
              </w:rPr>
              <w:t>响和</w:t>
            </w:r>
          </w:p>
          <w:p>
            <w:pPr>
              <w:pStyle w:val="63"/>
              <w:rPr>
                <w:color w:val="auto"/>
                <w:sz w:val="24"/>
                <w:highlight w:val="none"/>
              </w:rPr>
            </w:pPr>
            <w:r>
              <w:rPr>
                <w:color w:val="auto"/>
                <w:sz w:val="24"/>
                <w:highlight w:val="none"/>
              </w:rPr>
              <w:t>保护</w:t>
            </w:r>
          </w:p>
          <w:p>
            <w:pPr>
              <w:pStyle w:val="63"/>
              <w:rPr>
                <w:color w:val="auto"/>
                <w:highlight w:val="none"/>
              </w:rPr>
            </w:pPr>
            <w:r>
              <w:rPr>
                <w:color w:val="auto"/>
                <w:sz w:val="24"/>
                <w:highlight w:val="none"/>
              </w:rPr>
              <w:t>措施</w:t>
            </w:r>
          </w:p>
        </w:tc>
        <w:tc>
          <w:tcPr>
            <w:tcW w:w="8511" w:type="dxa"/>
            <w:noWrap w:val="0"/>
            <w:vAlign w:val="top"/>
          </w:tcPr>
          <w:p>
            <w:pPr>
              <w:pStyle w:val="3"/>
              <w:rPr>
                <w:color w:val="auto"/>
                <w:highlight w:val="none"/>
              </w:rPr>
            </w:pPr>
            <w:r>
              <w:rPr>
                <w:color w:val="auto"/>
                <w:highlight w:val="none"/>
              </w:rPr>
              <w:t>1、废气</w:t>
            </w:r>
          </w:p>
          <w:p>
            <w:pPr>
              <w:pStyle w:val="96"/>
              <w:rPr>
                <w:color w:val="auto"/>
                <w:highlight w:val="none"/>
              </w:rPr>
            </w:pPr>
            <w:r>
              <w:rPr>
                <w:color w:val="auto"/>
                <w:highlight w:val="none"/>
              </w:rPr>
              <w:t>1.1污染源强</w:t>
            </w:r>
          </w:p>
          <w:p>
            <w:pPr>
              <w:pStyle w:val="98"/>
              <w:ind w:firstLine="480"/>
              <w:rPr>
                <w:color w:val="auto"/>
                <w:highlight w:val="none"/>
              </w:rPr>
            </w:pPr>
            <w:r>
              <w:rPr>
                <w:color w:val="auto"/>
                <w:highlight w:val="none"/>
              </w:rPr>
              <w:t>(1)</w:t>
            </w:r>
            <w:r>
              <w:rPr>
                <w:rFonts w:hint="eastAsia"/>
                <w:color w:val="auto"/>
                <w:highlight w:val="none"/>
                <w:lang w:val="en-US" w:eastAsia="zh-CN"/>
              </w:rPr>
              <w:t>废气</w:t>
            </w:r>
            <w:r>
              <w:rPr>
                <w:color w:val="auto"/>
                <w:highlight w:val="none"/>
              </w:rPr>
              <w:t>污染</w:t>
            </w:r>
            <w:r>
              <w:rPr>
                <w:rFonts w:hint="eastAsia"/>
                <w:color w:val="auto"/>
                <w:highlight w:val="none"/>
                <w:lang w:val="en-US" w:eastAsia="zh-CN"/>
              </w:rPr>
              <w:t>源</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highlight w:val="none"/>
              </w:rPr>
            </w:pPr>
            <w:r>
              <w:rPr>
                <w:color w:val="auto"/>
                <w:highlight w:val="none"/>
              </w:rPr>
              <w:t>本项目废气主要为</w:t>
            </w:r>
            <w:r>
              <w:rPr>
                <w:rFonts w:hint="eastAsia" w:ascii="Times New Roman" w:hAnsi="Times New Roman" w:eastAsia="宋体" w:cs="Times New Roman"/>
                <w:color w:val="auto"/>
                <w:sz w:val="24"/>
                <w:szCs w:val="24"/>
                <w:highlight w:val="none"/>
                <w:lang w:val="en-US" w:eastAsia="zh-CN"/>
              </w:rPr>
              <w:t>破碎和</w:t>
            </w:r>
            <w:r>
              <w:rPr>
                <w:rFonts w:hint="default" w:ascii="Times New Roman" w:hAnsi="Times New Roman" w:eastAsia="宋体" w:cs="Times New Roman"/>
                <w:color w:val="auto"/>
                <w:sz w:val="24"/>
                <w:szCs w:val="24"/>
                <w:highlight w:val="none"/>
              </w:rPr>
              <w:t>筛分</w:t>
            </w:r>
            <w:r>
              <w:rPr>
                <w:rFonts w:hint="eastAsia" w:ascii="Times New Roman" w:hAnsi="Times New Roman" w:eastAsia="宋体" w:cs="Times New Roman"/>
                <w:color w:val="auto"/>
                <w:sz w:val="24"/>
                <w:szCs w:val="24"/>
                <w:highlight w:val="none"/>
                <w:lang w:val="en-US" w:eastAsia="zh-CN"/>
              </w:rPr>
              <w:t>等生产工艺过程产生的粉尘、</w:t>
            </w:r>
            <w:r>
              <w:rPr>
                <w:color w:val="auto"/>
                <w:highlight w:val="none"/>
              </w:rPr>
              <w:t>原料装卸扬尘、</w:t>
            </w:r>
            <w:r>
              <w:rPr>
                <w:rFonts w:hint="eastAsia" w:ascii="Times New Roman" w:hAnsi="Times New Roman" w:eastAsia="宋体" w:cs="Times New Roman"/>
                <w:color w:val="auto"/>
                <w:sz w:val="24"/>
                <w:szCs w:val="24"/>
                <w:highlight w:val="none"/>
                <w:lang w:val="en-US" w:eastAsia="zh-CN"/>
              </w:rPr>
              <w:t>堆场起尘、</w:t>
            </w:r>
            <w:r>
              <w:rPr>
                <w:color w:val="auto"/>
                <w:highlight w:val="none"/>
              </w:rPr>
              <w:t>运输产生的道路扬尘</w:t>
            </w:r>
            <w:r>
              <w:rPr>
                <w:rFonts w:hint="eastAsia"/>
                <w:color w:val="auto"/>
                <w:highlight w:val="none"/>
                <w:lang w:eastAsia="zh-CN"/>
              </w:rPr>
              <w:t>、</w:t>
            </w:r>
            <w:r>
              <w:rPr>
                <w:rFonts w:hint="eastAsia" w:ascii="Times New Roman" w:hAnsi="Times New Roman" w:eastAsia="宋体" w:cs="Times New Roman"/>
                <w:color w:val="auto"/>
                <w:sz w:val="24"/>
                <w:szCs w:val="24"/>
                <w:highlight w:val="none"/>
                <w:lang w:val="en-US" w:eastAsia="zh-CN"/>
              </w:rPr>
              <w:t>输送带粉尘</w:t>
            </w:r>
            <w:r>
              <w:rPr>
                <w:color w:val="auto"/>
                <w:highlight w:val="none"/>
              </w:rPr>
              <w:t>。经过筛分水洗工艺后成品骨料含水率较高，且经过筛分水洗工艺后成品骨料表面干净，其堆放及装载过程产生粉尘量很小，亦可忽略不计。项目污染源汇总如下表所示。</w:t>
            </w:r>
          </w:p>
          <w:p>
            <w:pPr>
              <w:pStyle w:val="57"/>
              <w:rPr>
                <w:color w:val="auto"/>
                <w:highlight w:val="none"/>
              </w:rPr>
            </w:pPr>
            <w:r>
              <w:rPr>
                <w:color w:val="auto"/>
                <w:highlight w:val="none"/>
              </w:rPr>
              <w:t>废</w:t>
            </w:r>
            <w:r>
              <w:rPr>
                <w:rFonts w:hint="eastAsia"/>
                <w:color w:val="auto"/>
                <w:highlight w:val="none"/>
                <w:lang w:val="en-US" w:eastAsia="zh-CN"/>
              </w:rPr>
              <w:t>气污染源</w:t>
            </w:r>
            <w:r>
              <w:rPr>
                <w:color w:val="auto"/>
                <w:highlight w:val="none"/>
              </w:rPr>
              <w:t>排放源汇总</w:t>
            </w:r>
          </w:p>
          <w:tbl>
            <w:tblPr>
              <w:tblStyle w:val="25"/>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0"/>
              <w:gridCol w:w="467"/>
              <w:gridCol w:w="732"/>
              <w:gridCol w:w="803"/>
              <w:gridCol w:w="461"/>
              <w:gridCol w:w="1407"/>
              <w:gridCol w:w="900"/>
              <w:gridCol w:w="600"/>
              <w:gridCol w:w="780"/>
              <w:gridCol w:w="705"/>
              <w:gridCol w:w="7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30"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产污环节</w:t>
                  </w:r>
                </w:p>
              </w:tc>
              <w:tc>
                <w:tcPr>
                  <w:tcW w:w="467"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污染物种类</w:t>
                  </w:r>
                </w:p>
              </w:tc>
              <w:tc>
                <w:tcPr>
                  <w:tcW w:w="7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污染物产生量</w:t>
                  </w:r>
                </w:p>
              </w:tc>
              <w:tc>
                <w:tcPr>
                  <w:tcW w:w="80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污染物产生浓度</w:t>
                  </w:r>
                </w:p>
              </w:tc>
              <w:tc>
                <w:tcPr>
                  <w:tcW w:w="461"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排放形式</w:t>
                  </w:r>
                </w:p>
              </w:tc>
              <w:tc>
                <w:tcPr>
                  <w:tcW w:w="1407"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治理设施</w:t>
                  </w:r>
                </w:p>
              </w:tc>
              <w:tc>
                <w:tcPr>
                  <w:tcW w:w="900"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排放口编号</w:t>
                  </w:r>
                </w:p>
              </w:tc>
              <w:tc>
                <w:tcPr>
                  <w:tcW w:w="600"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是否为可行技术</w:t>
                  </w:r>
                </w:p>
              </w:tc>
              <w:tc>
                <w:tcPr>
                  <w:tcW w:w="78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污染物排放浓度</w:t>
                  </w:r>
                </w:p>
              </w:tc>
              <w:tc>
                <w:tcPr>
                  <w:tcW w:w="70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污染物排放速率</w:t>
                  </w:r>
                </w:p>
              </w:tc>
              <w:tc>
                <w:tcPr>
                  <w:tcW w:w="7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污染物排放量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30"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p>
              </w:tc>
              <w:tc>
                <w:tcPr>
                  <w:tcW w:w="467"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p>
              </w:tc>
              <w:tc>
                <w:tcPr>
                  <w:tcW w:w="7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t/a</w:t>
                  </w:r>
                </w:p>
              </w:tc>
              <w:tc>
                <w:tcPr>
                  <w:tcW w:w="80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mg/m</w:t>
                  </w:r>
                  <w:r>
                    <w:rPr>
                      <w:rFonts w:hint="default" w:ascii="Times New Roman" w:hAnsi="Times New Roman" w:eastAsia="宋体" w:cs="Times New Roman"/>
                      <w:color w:val="auto"/>
                      <w:sz w:val="20"/>
                      <w:szCs w:val="20"/>
                      <w:highlight w:val="none"/>
                      <w:vertAlign w:val="superscript"/>
                    </w:rPr>
                    <w:t>3</w:t>
                  </w:r>
                </w:p>
              </w:tc>
              <w:tc>
                <w:tcPr>
                  <w:tcW w:w="461"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p>
              </w:tc>
              <w:tc>
                <w:tcPr>
                  <w:tcW w:w="1407"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p>
              </w:tc>
              <w:tc>
                <w:tcPr>
                  <w:tcW w:w="900"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p>
              </w:tc>
              <w:tc>
                <w:tcPr>
                  <w:tcW w:w="600"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p>
              </w:tc>
              <w:tc>
                <w:tcPr>
                  <w:tcW w:w="78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mg/m</w:t>
                  </w:r>
                  <w:r>
                    <w:rPr>
                      <w:rFonts w:hint="default" w:ascii="Times New Roman" w:hAnsi="Times New Roman" w:eastAsia="宋体" w:cs="Times New Roman"/>
                      <w:color w:val="auto"/>
                      <w:sz w:val="20"/>
                      <w:szCs w:val="20"/>
                      <w:highlight w:val="none"/>
                      <w:vertAlign w:val="superscript"/>
                    </w:rPr>
                    <w:t>3</w:t>
                  </w:r>
                </w:p>
              </w:tc>
              <w:tc>
                <w:tcPr>
                  <w:tcW w:w="70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kg/h</w:t>
                  </w:r>
                </w:p>
              </w:tc>
              <w:tc>
                <w:tcPr>
                  <w:tcW w:w="7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30"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vertAlign w:val="baseline"/>
                      <w:lang w:val="en-US" w:eastAsia="zh-CN"/>
                    </w:rPr>
                    <w:t>破碎、喂料、整形、筛分</w:t>
                  </w:r>
                </w:p>
              </w:tc>
              <w:tc>
                <w:tcPr>
                  <w:tcW w:w="467"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颗粒物</w:t>
                  </w:r>
                </w:p>
              </w:tc>
              <w:tc>
                <w:tcPr>
                  <w:tcW w:w="7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11.88</w:t>
                  </w:r>
                </w:p>
              </w:tc>
              <w:tc>
                <w:tcPr>
                  <w:tcW w:w="80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180</w:t>
                  </w:r>
                </w:p>
              </w:tc>
              <w:tc>
                <w:tcPr>
                  <w:tcW w:w="46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lang w:val="en-US" w:eastAsia="zh-CN"/>
                    </w:rPr>
                    <w:t>有</w:t>
                  </w:r>
                  <w:r>
                    <w:rPr>
                      <w:rFonts w:hint="default" w:ascii="Times New Roman" w:hAnsi="Times New Roman" w:eastAsia="宋体" w:cs="Times New Roman"/>
                      <w:color w:val="auto"/>
                      <w:sz w:val="20"/>
                      <w:szCs w:val="20"/>
                      <w:highlight w:val="none"/>
                    </w:rPr>
                    <w:t>组织</w:t>
                  </w:r>
                </w:p>
              </w:tc>
              <w:tc>
                <w:tcPr>
                  <w:tcW w:w="1407"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eastAsia="zh-CN"/>
                    </w:rPr>
                  </w:pPr>
                  <w:r>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t>设置密闭作业空间，顶部设施集气装置，收集率为90%，废气经过袋式除尘器处理后通过15m高排气筒高空排放</w:t>
                  </w:r>
                </w:p>
              </w:tc>
              <w:tc>
                <w:tcPr>
                  <w:tcW w:w="90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pPr>
                  <w:r>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t>DA001</w:t>
                  </w:r>
                </w:p>
              </w:tc>
              <w:tc>
                <w:tcPr>
                  <w:tcW w:w="60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pPr>
                  <w:r>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t>是</w:t>
                  </w:r>
                </w:p>
              </w:tc>
              <w:tc>
                <w:tcPr>
                  <w:tcW w:w="78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1.8</w:t>
                  </w:r>
                </w:p>
              </w:tc>
              <w:tc>
                <w:tcPr>
                  <w:tcW w:w="70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0.018</w:t>
                  </w:r>
                </w:p>
              </w:tc>
              <w:tc>
                <w:tcPr>
                  <w:tcW w:w="7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0.119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30"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vertAlign w:val="baseline"/>
                      <w:lang w:val="en-US" w:eastAsia="zh-CN"/>
                    </w:rPr>
                    <w:t>破碎、喂料、整形、筛分</w:t>
                  </w:r>
                </w:p>
              </w:tc>
              <w:tc>
                <w:tcPr>
                  <w:tcW w:w="467"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vertAlign w:val="baseline"/>
                      <w:lang w:val="en-US" w:eastAsia="zh-CN"/>
                    </w:rPr>
                    <w:t>颗粒物</w:t>
                  </w:r>
                </w:p>
              </w:tc>
              <w:tc>
                <w:tcPr>
                  <w:tcW w:w="7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1.32</w:t>
                  </w:r>
                </w:p>
              </w:tc>
              <w:tc>
                <w:tcPr>
                  <w:tcW w:w="80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w:t>
                  </w:r>
                </w:p>
              </w:tc>
              <w:tc>
                <w:tcPr>
                  <w:tcW w:w="46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无组织</w:t>
                  </w:r>
                </w:p>
              </w:tc>
              <w:tc>
                <w:tcPr>
                  <w:tcW w:w="1407"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pPr>
                </w:p>
              </w:tc>
              <w:tc>
                <w:tcPr>
                  <w:tcW w:w="90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pPr>
                  <w:r>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t>/</w:t>
                  </w:r>
                </w:p>
              </w:tc>
              <w:tc>
                <w:tcPr>
                  <w:tcW w:w="60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pPr>
                  <w:r>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t>是</w:t>
                  </w:r>
                </w:p>
              </w:tc>
              <w:tc>
                <w:tcPr>
                  <w:tcW w:w="78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w:t>
                  </w:r>
                </w:p>
              </w:tc>
              <w:tc>
                <w:tcPr>
                  <w:tcW w:w="70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0.100</w:t>
                  </w:r>
                </w:p>
              </w:tc>
              <w:tc>
                <w:tcPr>
                  <w:tcW w:w="7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0.660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3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原料装卸扬尘</w:t>
                  </w:r>
                </w:p>
              </w:tc>
              <w:tc>
                <w:tcPr>
                  <w:tcW w:w="467"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颗粒物</w:t>
                  </w:r>
                </w:p>
              </w:tc>
              <w:tc>
                <w:tcPr>
                  <w:tcW w:w="7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1.335</w:t>
                  </w:r>
                </w:p>
              </w:tc>
              <w:tc>
                <w:tcPr>
                  <w:tcW w:w="80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w:t>
                  </w:r>
                </w:p>
              </w:tc>
              <w:tc>
                <w:tcPr>
                  <w:tcW w:w="46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无组织</w:t>
                  </w:r>
                </w:p>
              </w:tc>
              <w:tc>
                <w:tcPr>
                  <w:tcW w:w="1407"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kern w:val="0"/>
                      <w:sz w:val="20"/>
                      <w:szCs w:val="20"/>
                      <w:highlight w:val="none"/>
                    </w:rPr>
                  </w:pPr>
                  <w:r>
                    <w:rPr>
                      <w:rFonts w:hint="default" w:ascii="Times New Roman" w:hAnsi="Times New Roman" w:eastAsia="宋体" w:cs="Times New Roman"/>
                      <w:color w:val="auto"/>
                      <w:sz w:val="20"/>
                      <w:szCs w:val="20"/>
                      <w:highlight w:val="none"/>
                    </w:rPr>
                    <w:t>洒水</w:t>
                  </w:r>
                  <w:r>
                    <w:rPr>
                      <w:rFonts w:hint="default" w:ascii="Times New Roman" w:hAnsi="Times New Roman" w:eastAsia="宋体" w:cs="Times New Roman"/>
                      <w:color w:val="auto"/>
                      <w:sz w:val="20"/>
                      <w:szCs w:val="20"/>
                      <w:highlight w:val="none"/>
                      <w:lang w:eastAsia="zh-CN"/>
                    </w:rPr>
                    <w:t>，</w:t>
                  </w:r>
                  <w:r>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t>抑尘效率约80%</w:t>
                  </w:r>
                </w:p>
              </w:tc>
              <w:tc>
                <w:tcPr>
                  <w:tcW w:w="90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w:t>
                  </w:r>
                </w:p>
              </w:tc>
              <w:tc>
                <w:tcPr>
                  <w:tcW w:w="60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是</w:t>
                  </w:r>
                </w:p>
              </w:tc>
              <w:tc>
                <w:tcPr>
                  <w:tcW w:w="78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w:t>
                  </w:r>
                </w:p>
              </w:tc>
              <w:tc>
                <w:tcPr>
                  <w:tcW w:w="70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0.485</w:t>
                  </w:r>
                </w:p>
              </w:tc>
              <w:tc>
                <w:tcPr>
                  <w:tcW w:w="7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0.267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3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堆场扬尘</w:t>
                  </w:r>
                </w:p>
              </w:tc>
              <w:tc>
                <w:tcPr>
                  <w:tcW w:w="467"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highlight w:val="none"/>
                    </w:rPr>
                    <w:t>颗粒物</w:t>
                  </w:r>
                </w:p>
              </w:tc>
              <w:tc>
                <w:tcPr>
                  <w:tcW w:w="73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t>0.198</w:t>
                  </w:r>
                </w:p>
              </w:tc>
              <w:tc>
                <w:tcPr>
                  <w:tcW w:w="80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w:t>
                  </w:r>
                </w:p>
              </w:tc>
              <w:tc>
                <w:tcPr>
                  <w:tcW w:w="46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t>无组织</w:t>
                  </w:r>
                </w:p>
              </w:tc>
              <w:tc>
                <w:tcPr>
                  <w:tcW w:w="1407"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t>采用苫布覆盖</w:t>
                  </w:r>
                  <w:r>
                    <w:rPr>
                      <w:rFonts w:hint="default" w:ascii="Times New Roman" w:hAnsi="Times New Roman" w:eastAsia="宋体" w:cs="Times New Roman"/>
                      <w:bCs w:val="0"/>
                      <w:snapToGrid w:val="0"/>
                      <w:color w:val="auto"/>
                      <w:spacing w:val="4"/>
                      <w:kern w:val="0"/>
                      <w:sz w:val="20"/>
                      <w:szCs w:val="20"/>
                      <w:highlight w:val="none"/>
                      <w:lang w:val="en-US" w:eastAsia="zh-CN" w:bidi="ar-SA"/>
                    </w:rPr>
                    <w:t>，苫布裙角固定措施</w:t>
                  </w:r>
                  <w:r>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t>，抑尘效率约80%</w:t>
                  </w:r>
                </w:p>
              </w:tc>
              <w:tc>
                <w:tcPr>
                  <w:tcW w:w="90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pPr>
                  <w:r>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t>/</w:t>
                  </w:r>
                </w:p>
              </w:tc>
              <w:tc>
                <w:tcPr>
                  <w:tcW w:w="60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pPr>
                  <w:r>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t>是</w:t>
                  </w:r>
                </w:p>
              </w:tc>
              <w:tc>
                <w:tcPr>
                  <w:tcW w:w="78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w:t>
                  </w:r>
                </w:p>
              </w:tc>
              <w:tc>
                <w:tcPr>
                  <w:tcW w:w="705"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pPr>
                  <w:r>
                    <w:rPr>
                      <w:rFonts w:hint="default" w:ascii="Times New Roman" w:hAnsi="Times New Roman" w:eastAsia="宋体" w:cs="Times New Roman"/>
                      <w:color w:val="auto"/>
                      <w:sz w:val="20"/>
                      <w:szCs w:val="20"/>
                      <w:highlight w:val="none"/>
                      <w:vertAlign w:val="baseline"/>
                      <w:lang w:val="en-US" w:eastAsia="zh-CN"/>
                    </w:rPr>
                    <w:t>0.006</w:t>
                  </w:r>
                </w:p>
              </w:tc>
              <w:tc>
                <w:tcPr>
                  <w:tcW w:w="710"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0"/>
                      <w:szCs w:val="20"/>
                      <w:highlight w:val="none"/>
                      <w:vertAlign w:val="baseline"/>
                      <w:lang w:val="en-US" w:eastAsia="zh-CN" w:bidi="ar-SA"/>
                    </w:rPr>
                  </w:pPr>
                  <w:r>
                    <w:rPr>
                      <w:rFonts w:hint="default" w:ascii="Times New Roman" w:hAnsi="Times New Roman" w:eastAsia="宋体" w:cs="Times New Roman"/>
                      <w:color w:val="auto"/>
                      <w:sz w:val="20"/>
                      <w:szCs w:val="20"/>
                      <w:highlight w:val="none"/>
                      <w:vertAlign w:val="baseline"/>
                      <w:lang w:val="en-US" w:eastAsia="zh-CN"/>
                    </w:rPr>
                    <w:t>0.040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97" w:type="dxa"/>
                  <w:gridSpan w:val="2"/>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rPr>
                  </w:pPr>
                  <w:r>
                    <w:rPr>
                      <w:rFonts w:hint="default" w:ascii="Times New Roman" w:hAnsi="Times New Roman" w:eastAsia="宋体" w:cs="Times New Roman"/>
                      <w:color w:val="auto"/>
                      <w:sz w:val="20"/>
                      <w:szCs w:val="20"/>
                      <w:highlight w:val="none"/>
                      <w:lang w:val="en-US" w:eastAsia="zh-CN"/>
                    </w:rPr>
                    <w:t>有组织</w:t>
                  </w:r>
                </w:p>
              </w:tc>
              <w:tc>
                <w:tcPr>
                  <w:tcW w:w="5683" w:type="dxa"/>
                  <w:gridSpan w:val="7"/>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0"/>
                      <w:szCs w:val="20"/>
                      <w:highlight w:val="none"/>
                      <w:vertAlign w:val="baseline"/>
                      <w:lang w:val="en-US" w:eastAsia="zh-CN"/>
                    </w:rPr>
                  </w:pPr>
                  <w:r>
                    <w:rPr>
                      <w:rFonts w:hint="default" w:ascii="Times New Roman" w:hAnsi="Times New Roman" w:eastAsia="宋体" w:cs="Times New Roman"/>
                      <w:color w:val="auto"/>
                      <w:sz w:val="20"/>
                      <w:szCs w:val="20"/>
                      <w:highlight w:val="none"/>
                      <w:lang w:val="en-US" w:eastAsia="zh-CN"/>
                    </w:rPr>
                    <w:t>颗粒物</w:t>
                  </w:r>
                </w:p>
              </w:tc>
              <w:tc>
                <w:tcPr>
                  <w:tcW w:w="70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sz w:val="20"/>
                      <w:szCs w:val="20"/>
                      <w:highlight w:val="none"/>
                      <w:lang w:val="en-US" w:eastAsia="zh-CN"/>
                    </w:rPr>
                    <w:t>0.018</w:t>
                  </w:r>
                </w:p>
              </w:tc>
              <w:tc>
                <w:tcPr>
                  <w:tcW w:w="7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color w:val="auto"/>
                      <w:kern w:val="2"/>
                      <w:sz w:val="20"/>
                      <w:szCs w:val="20"/>
                      <w:highlight w:val="none"/>
                      <w:lang w:val="en-US" w:eastAsia="zh-CN" w:bidi="ar-SA"/>
                    </w:rPr>
                  </w:pPr>
                  <w:r>
                    <w:rPr>
                      <w:rFonts w:hint="default" w:ascii="Times New Roman" w:hAnsi="Times New Roman" w:eastAsia="宋体" w:cs="Times New Roman"/>
                      <w:color w:val="auto"/>
                      <w:sz w:val="20"/>
                      <w:szCs w:val="20"/>
                      <w:highlight w:val="none"/>
                      <w:lang w:val="en-US" w:eastAsia="zh-CN"/>
                    </w:rPr>
                    <w:t>0.119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97" w:type="dxa"/>
                  <w:gridSpan w:val="2"/>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无组织</w:t>
                  </w:r>
                </w:p>
              </w:tc>
              <w:tc>
                <w:tcPr>
                  <w:tcW w:w="5683" w:type="dxa"/>
                  <w:gridSpan w:val="7"/>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颗粒物</w:t>
                  </w:r>
                </w:p>
              </w:tc>
              <w:tc>
                <w:tcPr>
                  <w:tcW w:w="705"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0.591</w:t>
                  </w:r>
                </w:p>
              </w:tc>
              <w:tc>
                <w:tcPr>
                  <w:tcW w:w="710"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21"/>
                      <w:sz w:val="20"/>
                      <w:szCs w:val="20"/>
                      <w:highlight w:val="none"/>
                      <w:lang w:val="en-US" w:eastAsia="zh-CN"/>
                    </w:rPr>
                  </w:pPr>
                  <w:r>
                    <w:rPr>
                      <w:rFonts w:hint="default" w:ascii="Times New Roman" w:hAnsi="Times New Roman" w:eastAsia="宋体" w:cs="Times New Roman"/>
                      <w:snapToGrid w:val="0"/>
                      <w:color w:val="auto"/>
                      <w:kern w:val="21"/>
                      <w:sz w:val="20"/>
                      <w:szCs w:val="20"/>
                      <w:highlight w:val="none"/>
                      <w:lang w:val="en-US" w:eastAsia="zh-CN"/>
                    </w:rPr>
                    <w:t>0.967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97" w:type="dxa"/>
                  <w:gridSpan w:val="2"/>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合计</w:t>
                  </w:r>
                </w:p>
              </w:tc>
              <w:tc>
                <w:tcPr>
                  <w:tcW w:w="5683" w:type="dxa"/>
                  <w:gridSpan w:val="7"/>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颗粒物</w:t>
                  </w:r>
                </w:p>
              </w:tc>
              <w:tc>
                <w:tcPr>
                  <w:tcW w:w="705"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0.609</w:t>
                  </w:r>
                </w:p>
              </w:tc>
              <w:tc>
                <w:tcPr>
                  <w:tcW w:w="710"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21"/>
                      <w:sz w:val="20"/>
                      <w:szCs w:val="20"/>
                      <w:highlight w:val="none"/>
                      <w:lang w:val="en-US" w:eastAsia="zh-CN"/>
                    </w:rPr>
                  </w:pPr>
                  <w:r>
                    <w:rPr>
                      <w:rFonts w:hint="default" w:ascii="Times New Roman" w:hAnsi="Times New Roman" w:eastAsia="宋体" w:cs="Times New Roman"/>
                      <w:snapToGrid w:val="0"/>
                      <w:color w:val="auto"/>
                      <w:kern w:val="21"/>
                      <w:sz w:val="20"/>
                      <w:szCs w:val="20"/>
                      <w:highlight w:val="none"/>
                      <w:lang w:val="en-US" w:eastAsia="zh-CN"/>
                    </w:rPr>
                    <w:t>1.086</w:t>
                  </w:r>
                </w:p>
              </w:tc>
            </w:tr>
          </w:tbl>
          <w:p>
            <w:pPr>
              <w:pStyle w:val="98"/>
              <w:ind w:firstLine="480"/>
              <w:rPr>
                <w:color w:val="auto"/>
                <w:highlight w:val="none"/>
              </w:rPr>
            </w:pPr>
          </w:p>
          <w:p>
            <w:pPr>
              <w:pStyle w:val="57"/>
              <w:rPr>
                <w:color w:val="auto"/>
                <w:highlight w:val="none"/>
              </w:rPr>
            </w:pPr>
            <w:r>
              <w:rPr>
                <w:color w:val="auto"/>
                <w:highlight w:val="none"/>
              </w:rPr>
              <w:t>大气排放口基本情况</w:t>
            </w:r>
          </w:p>
          <w:tbl>
            <w:tblPr>
              <w:tblStyle w:val="25"/>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085"/>
              <w:gridCol w:w="948"/>
              <w:gridCol w:w="2034"/>
              <w:gridCol w:w="1083"/>
              <w:gridCol w:w="1220"/>
              <w:gridCol w:w="9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58"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Style w:val="72"/>
                      <w:rFonts w:ascii="Times New Roman" w:hAnsi="Times New Roman"/>
                      <w:color w:val="auto"/>
                      <w:highlight w:val="none"/>
                    </w:rPr>
                  </w:pPr>
                </w:p>
              </w:tc>
              <w:tc>
                <w:tcPr>
                  <w:tcW w:w="108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Style w:val="72"/>
                      <w:rFonts w:ascii="Times New Roman" w:hAnsi="Times New Roman"/>
                      <w:color w:val="auto"/>
                      <w:highlight w:val="none"/>
                    </w:rPr>
                  </w:pPr>
                </w:p>
              </w:tc>
              <w:tc>
                <w:tcPr>
                  <w:tcW w:w="948"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Style w:val="72"/>
                      <w:rFonts w:ascii="Times New Roman" w:hAnsi="Times New Roman"/>
                      <w:color w:val="auto"/>
                      <w:highlight w:val="none"/>
                    </w:rPr>
                  </w:pPr>
                </w:p>
              </w:tc>
              <w:tc>
                <w:tcPr>
                  <w:tcW w:w="2034"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Style w:val="72"/>
                      <w:rFonts w:ascii="Times New Roman" w:hAnsi="Times New Roman"/>
                      <w:color w:val="auto"/>
                      <w:highlight w:val="none"/>
                    </w:rPr>
                  </w:pPr>
                </w:p>
              </w:tc>
              <w:tc>
                <w:tcPr>
                  <w:tcW w:w="108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Style w:val="72"/>
                      <w:rFonts w:ascii="Times New Roman" w:hAnsi="Times New Roman"/>
                      <w:color w:val="auto"/>
                      <w:highlight w:val="none"/>
                    </w:rPr>
                  </w:pPr>
                </w:p>
              </w:tc>
              <w:tc>
                <w:tcPr>
                  <w:tcW w:w="122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Style w:val="72"/>
                      <w:rFonts w:ascii="Times New Roman" w:hAnsi="Times New Roman"/>
                      <w:color w:val="auto"/>
                      <w:highlight w:val="none"/>
                    </w:rPr>
                  </w:pPr>
                </w:p>
              </w:tc>
              <w:tc>
                <w:tcPr>
                  <w:tcW w:w="90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Style w:val="72"/>
                      <w:rFonts w:ascii="Times New Roman" w:hAnsi="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58"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Style w:val="72"/>
                      <w:rFonts w:ascii="Times New Roman" w:hAnsi="Times New Roman"/>
                      <w:color w:val="auto"/>
                      <w:highlight w:val="none"/>
                    </w:rPr>
                  </w:pPr>
                </w:p>
              </w:tc>
              <w:tc>
                <w:tcPr>
                  <w:tcW w:w="108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Style w:val="72"/>
                      <w:rFonts w:ascii="Times New Roman" w:hAnsi="Times New Roman"/>
                      <w:color w:val="auto"/>
                      <w:highlight w:val="none"/>
                    </w:rPr>
                  </w:pPr>
                </w:p>
              </w:tc>
              <w:tc>
                <w:tcPr>
                  <w:tcW w:w="948"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Style w:val="72"/>
                      <w:rFonts w:ascii="Times New Roman" w:hAnsi="Times New Roman"/>
                      <w:color w:val="auto"/>
                      <w:highlight w:val="none"/>
                    </w:rPr>
                  </w:pPr>
                </w:p>
              </w:tc>
              <w:tc>
                <w:tcPr>
                  <w:tcW w:w="2034" w:type="dxa"/>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color w:val="auto"/>
                      <w:highlight w:val="none"/>
                      <w:lang w:val="en-US" w:eastAsia="zh-CN"/>
                    </w:rPr>
                  </w:pPr>
                </w:p>
              </w:tc>
              <w:tc>
                <w:tcPr>
                  <w:tcW w:w="108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Style w:val="72"/>
                      <w:rFonts w:ascii="Times New Roman" w:hAnsi="Times New Roman"/>
                      <w:color w:val="auto"/>
                      <w:highlight w:val="none"/>
                    </w:rPr>
                  </w:pPr>
                </w:p>
              </w:tc>
              <w:tc>
                <w:tcPr>
                  <w:tcW w:w="122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Style w:val="72"/>
                      <w:rFonts w:ascii="Times New Roman" w:hAnsi="Times New Roman"/>
                      <w:color w:val="auto"/>
                      <w:highlight w:val="none"/>
                    </w:rPr>
                  </w:pPr>
                </w:p>
              </w:tc>
              <w:tc>
                <w:tcPr>
                  <w:tcW w:w="90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Style w:val="72"/>
                      <w:rFonts w:ascii="Times New Roman" w:hAnsi="Times New Roman"/>
                      <w:color w:val="auto"/>
                      <w:highlight w:val="none"/>
                    </w:rPr>
                  </w:pPr>
                </w:p>
              </w:tc>
            </w:tr>
          </w:tbl>
          <w:p>
            <w:pPr>
              <w:pStyle w:val="89"/>
              <w:keepNext w:val="0"/>
              <w:keepLines w:val="0"/>
              <w:pageBreakBefore w:val="0"/>
              <w:widowControl w:val="0"/>
              <w:kinsoku/>
              <w:wordWrap/>
              <w:overflowPunct/>
              <w:topLinePunct w:val="0"/>
              <w:autoSpaceDE/>
              <w:autoSpaceDN/>
              <w:bidi w:val="0"/>
              <w:adjustRightInd w:val="0"/>
              <w:snapToGrid w:val="0"/>
              <w:spacing w:before="251" w:beforeLines="80"/>
              <w:textAlignment w:val="auto"/>
              <w:rPr>
                <w:rFonts w:hint="eastAsia"/>
                <w:b/>
                <w:bCs/>
                <w:color w:val="auto"/>
                <w:highlight w:val="none"/>
                <w:lang w:val="en-US" w:eastAsia="zh-CN"/>
              </w:rPr>
            </w:pPr>
            <w:r>
              <w:rPr>
                <w:rFonts w:hint="eastAsia"/>
                <w:b/>
                <w:bCs/>
                <w:color w:val="auto"/>
                <w:highlight w:val="none"/>
                <w:lang w:val="en-US" w:eastAsia="zh-CN"/>
              </w:rPr>
              <w:t>废气源强核算过程如下：</w:t>
            </w:r>
          </w:p>
          <w:p>
            <w:pPr>
              <w:pStyle w:val="98"/>
              <w:ind w:firstLine="480"/>
              <w:rPr>
                <w:color w:val="auto"/>
                <w:highlight w:val="none"/>
              </w:rPr>
            </w:pPr>
            <w:r>
              <w:rPr>
                <w:rFonts w:hint="eastAsia"/>
                <w:color w:val="auto"/>
                <w:highlight w:val="none"/>
              </w:rPr>
              <w:t>①</w:t>
            </w:r>
            <w:r>
              <w:rPr>
                <w:rFonts w:hint="eastAsia" w:ascii="Times New Roman" w:hAnsi="Times New Roman" w:eastAsia="宋体" w:cs="Times New Roman"/>
                <w:color w:val="auto"/>
                <w:sz w:val="24"/>
                <w:szCs w:val="24"/>
                <w:highlight w:val="none"/>
                <w:lang w:val="en-US" w:eastAsia="zh-CN"/>
              </w:rPr>
              <w:t>破碎、</w:t>
            </w:r>
            <w:r>
              <w:rPr>
                <w:rFonts w:hint="default" w:ascii="Times New Roman" w:hAnsi="Times New Roman" w:eastAsia="宋体" w:cs="Times New Roman"/>
                <w:color w:val="auto"/>
                <w:sz w:val="24"/>
                <w:szCs w:val="24"/>
                <w:highlight w:val="none"/>
              </w:rPr>
              <w:t>喂料</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整形、</w:t>
            </w:r>
            <w:r>
              <w:rPr>
                <w:rFonts w:hint="default" w:ascii="Times New Roman" w:hAnsi="Times New Roman" w:eastAsia="宋体" w:cs="Times New Roman"/>
                <w:color w:val="auto"/>
                <w:sz w:val="24"/>
                <w:szCs w:val="24"/>
                <w:highlight w:val="none"/>
              </w:rPr>
              <w:t>筛分</w:t>
            </w:r>
            <w:r>
              <w:rPr>
                <w:color w:val="auto"/>
                <w:highlight w:val="none"/>
              </w:rPr>
              <w:t>粉尘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highlight w:val="none"/>
              </w:rPr>
            </w:pPr>
            <w:r>
              <w:rPr>
                <w:rFonts w:hint="default" w:ascii="Times New Roman" w:hAnsi="Times New Roman" w:eastAsia="宋体" w:cs="Times New Roman"/>
                <w:color w:val="auto"/>
                <w:sz w:val="24"/>
                <w:szCs w:val="24"/>
                <w:highlight w:val="none"/>
              </w:rPr>
              <w:t>根据《逸散性工业颗粒物控制技术》中</w:t>
            </w:r>
            <w:r>
              <w:rPr>
                <w:rFonts w:hint="eastAsia" w:ascii="宋体" w:hAnsi="宋体" w:eastAsia="宋体" w:cs="宋体"/>
                <w:color w:val="auto"/>
                <w:sz w:val="24"/>
                <w:szCs w:val="24"/>
                <w:highlight w:val="none"/>
              </w:rPr>
              <w:t>“粒料加工厂逸散尘的排放因子”</w:t>
            </w:r>
            <w:r>
              <w:rPr>
                <w:rFonts w:hint="default" w:ascii="Times New Roman" w:hAnsi="Times New Roman" w:eastAsia="宋体" w:cs="Times New Roman"/>
                <w:color w:val="auto"/>
                <w:sz w:val="24"/>
                <w:szCs w:val="24"/>
                <w:highlight w:val="none"/>
              </w:rPr>
              <w:t>，破碎和筛</w:t>
            </w:r>
            <w:r>
              <w:rPr>
                <w:rFonts w:hint="eastAsia" w:cs="Times New Roman"/>
                <w:color w:val="auto"/>
                <w:sz w:val="24"/>
                <w:szCs w:val="24"/>
                <w:highlight w:val="none"/>
                <w:lang w:val="en-US" w:eastAsia="zh-CN"/>
              </w:rPr>
              <w:t>分</w:t>
            </w:r>
            <w:r>
              <w:rPr>
                <w:rFonts w:hint="default" w:ascii="Times New Roman" w:hAnsi="Times New Roman" w:eastAsia="宋体" w:cs="Times New Roman"/>
                <w:color w:val="auto"/>
                <w:sz w:val="24"/>
                <w:szCs w:val="24"/>
                <w:highlight w:val="none"/>
              </w:rPr>
              <w:t>排放因子0.02kg/t（破碎料）。项目原料用量</w:t>
            </w:r>
            <w:r>
              <w:rPr>
                <w:rFonts w:hint="eastAsia" w:ascii="Times New Roman" w:hAnsi="Times New Roman" w:eastAsia="宋体" w:cs="Times New Roman"/>
                <w:color w:val="auto"/>
                <w:sz w:val="24"/>
                <w:szCs w:val="24"/>
                <w:highlight w:val="none"/>
                <w:lang w:val="en-US" w:eastAsia="zh-CN"/>
              </w:rPr>
              <w:t>66.0</w:t>
            </w:r>
            <w:r>
              <w:rPr>
                <w:rFonts w:hint="default" w:ascii="Times New Roman" w:hAnsi="Times New Roman" w:eastAsia="宋体" w:cs="Times New Roman"/>
                <w:color w:val="auto"/>
                <w:sz w:val="24"/>
                <w:szCs w:val="24"/>
                <w:highlight w:val="none"/>
              </w:rPr>
              <w:t>万t/a，则项目颗粒物产生量为</w:t>
            </w:r>
            <w:r>
              <w:rPr>
                <w:rFonts w:hint="eastAsia" w:ascii="Times New Roman" w:hAnsi="Times New Roman" w:eastAsia="宋体" w:cs="Times New Roman"/>
                <w:color w:val="auto"/>
                <w:sz w:val="24"/>
                <w:szCs w:val="24"/>
                <w:highlight w:val="none"/>
                <w:lang w:val="en-US" w:eastAsia="zh-CN"/>
              </w:rPr>
              <w:t>13.2</w:t>
            </w:r>
            <w:r>
              <w:rPr>
                <w:rFonts w:hint="default" w:ascii="Times New Roman" w:hAnsi="Times New Roman" w:eastAsia="宋体" w:cs="Times New Roman"/>
                <w:color w:val="auto"/>
                <w:sz w:val="24"/>
                <w:szCs w:val="24"/>
                <w:highlight w:val="none"/>
              </w:rPr>
              <w:t>t/a。项目</w:t>
            </w:r>
            <w:r>
              <w:rPr>
                <w:rFonts w:hint="eastAsia" w:cs="Times New Roman"/>
                <w:color w:val="auto"/>
                <w:sz w:val="24"/>
                <w:szCs w:val="24"/>
                <w:highlight w:val="none"/>
                <w:lang w:val="en-US" w:eastAsia="zh-CN"/>
              </w:rPr>
              <w:t>为密闭作业，在顶部设置集气装置，设计风量共计10000m</w:t>
            </w:r>
            <w:r>
              <w:rPr>
                <w:rFonts w:hint="eastAsia" w:cs="Times New Roman"/>
                <w:color w:val="auto"/>
                <w:sz w:val="24"/>
                <w:szCs w:val="24"/>
                <w:highlight w:val="none"/>
                <w:vertAlign w:val="superscript"/>
                <w:lang w:val="en-US" w:eastAsia="zh-CN"/>
              </w:rPr>
              <w:t>3</w:t>
            </w:r>
            <w:r>
              <w:rPr>
                <w:rFonts w:hint="eastAsia" w:cs="Times New Roman"/>
                <w:color w:val="auto"/>
                <w:sz w:val="24"/>
                <w:szCs w:val="24"/>
                <w:highlight w:val="none"/>
                <w:lang w:val="en-US" w:eastAsia="zh-CN"/>
              </w:rPr>
              <w:t>/h，收集的废气经袋式除尘器处理后通过15m高排气筒排放，袋式除尘器及收集设施设计收集效率90%，处理效率99%，</w:t>
            </w:r>
            <w:r>
              <w:rPr>
                <w:rFonts w:hint="default" w:ascii="Times New Roman" w:hAnsi="Times New Roman" w:eastAsia="宋体" w:cs="Times New Roman"/>
                <w:color w:val="auto"/>
                <w:sz w:val="24"/>
                <w:szCs w:val="24"/>
                <w:highlight w:val="none"/>
              </w:rPr>
              <w:t>经计算本项目</w:t>
            </w:r>
            <w:r>
              <w:rPr>
                <w:rFonts w:hint="eastAsia" w:ascii="Times New Roman" w:hAnsi="Times New Roman" w:eastAsia="宋体" w:cs="Times New Roman"/>
                <w:color w:val="auto"/>
                <w:sz w:val="24"/>
                <w:szCs w:val="24"/>
                <w:highlight w:val="none"/>
                <w:lang w:val="en-US" w:eastAsia="zh-CN"/>
              </w:rPr>
              <w:t>破碎、</w:t>
            </w:r>
            <w:r>
              <w:rPr>
                <w:rFonts w:hint="default" w:ascii="Times New Roman" w:hAnsi="Times New Roman" w:eastAsia="宋体" w:cs="Times New Roman"/>
                <w:color w:val="auto"/>
                <w:sz w:val="24"/>
                <w:szCs w:val="24"/>
                <w:highlight w:val="none"/>
              </w:rPr>
              <w:t>喂料</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整形、</w:t>
            </w:r>
            <w:r>
              <w:rPr>
                <w:rFonts w:hint="default" w:ascii="Times New Roman" w:hAnsi="Times New Roman" w:eastAsia="宋体" w:cs="Times New Roman"/>
                <w:color w:val="auto"/>
                <w:sz w:val="24"/>
                <w:szCs w:val="24"/>
                <w:highlight w:val="none"/>
              </w:rPr>
              <w:t>筛分的无组织颗粒物</w:t>
            </w:r>
            <w:r>
              <w:rPr>
                <w:rFonts w:hint="eastAsia" w:cs="Times New Roman"/>
                <w:color w:val="auto"/>
                <w:sz w:val="24"/>
                <w:szCs w:val="24"/>
                <w:highlight w:val="none"/>
                <w:lang w:val="en-US" w:eastAsia="zh-CN"/>
              </w:rPr>
              <w:t>产生</w:t>
            </w:r>
            <w:r>
              <w:rPr>
                <w:rFonts w:hint="default" w:ascii="Times New Roman" w:hAnsi="Times New Roman" w:eastAsia="宋体" w:cs="Times New Roman"/>
                <w:color w:val="auto"/>
                <w:sz w:val="24"/>
                <w:szCs w:val="24"/>
                <w:highlight w:val="none"/>
              </w:rPr>
              <w:t>量约</w:t>
            </w:r>
            <w:r>
              <w:rPr>
                <w:rFonts w:hint="eastAsia" w:ascii="Times New Roman" w:hAnsi="Times New Roman" w:eastAsia="宋体" w:cs="Times New Roman"/>
                <w:color w:val="auto"/>
                <w:sz w:val="24"/>
                <w:szCs w:val="24"/>
                <w:highlight w:val="none"/>
                <w:lang w:val="en-US" w:eastAsia="zh-CN"/>
              </w:rPr>
              <w:t>1.32</w:t>
            </w:r>
            <w:r>
              <w:rPr>
                <w:rFonts w:hint="default" w:ascii="Times New Roman" w:hAnsi="Times New Roman" w:eastAsia="宋体" w:cs="Times New Roman"/>
                <w:color w:val="auto"/>
                <w:sz w:val="24"/>
                <w:szCs w:val="24"/>
                <w:highlight w:val="none"/>
              </w:rPr>
              <w:t>t/a</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经厂房阻隔，50%在厂房内形成落尘，排入外环境的颗粒物为0.66t/a</w:t>
            </w:r>
            <w:r>
              <w:rPr>
                <w:rFonts w:hint="default" w:ascii="Times New Roman" w:hAnsi="Times New Roman" w:cs="Times New Roman"/>
                <w:color w:val="auto"/>
                <w:highlight w:val="none"/>
                <w:lang w:val="en-US" w:eastAsia="zh-CN"/>
              </w:rPr>
              <w:t>。</w:t>
            </w:r>
          </w:p>
          <w:p>
            <w:pPr>
              <w:pStyle w:val="98"/>
              <w:ind w:firstLine="480"/>
              <w:rPr>
                <w:color w:val="auto"/>
                <w:highlight w:val="none"/>
              </w:rPr>
            </w:pPr>
            <w:r>
              <w:rPr>
                <w:rFonts w:hint="eastAsia"/>
                <w:color w:val="auto"/>
                <w:highlight w:val="none"/>
              </w:rPr>
              <w:t>②</w:t>
            </w:r>
            <w:r>
              <w:rPr>
                <w:color w:val="auto"/>
                <w:highlight w:val="none"/>
              </w:rPr>
              <w:t>原料装卸扬尘</w:t>
            </w:r>
          </w:p>
          <w:p>
            <w:pPr>
              <w:pStyle w:val="98"/>
              <w:ind w:firstLine="480"/>
              <w:rPr>
                <w:color w:val="auto"/>
                <w:highlight w:val="none"/>
              </w:rPr>
            </w:pPr>
            <w:r>
              <w:rPr>
                <w:color w:val="auto"/>
                <w:highlight w:val="none"/>
              </w:rPr>
              <w:t>物料卸载起尘量：</w:t>
            </w:r>
          </w:p>
          <w:p>
            <w:pPr>
              <w:pStyle w:val="98"/>
              <w:ind w:firstLine="480"/>
              <w:jc w:val="center"/>
              <w:rPr>
                <w:color w:val="auto"/>
                <w:highlight w:val="none"/>
              </w:rPr>
            </w:pPr>
            <w:r>
              <w:rPr>
                <w:color w:val="auto"/>
                <w:highlight w:val="none"/>
              </w:rPr>
              <w:object>
                <v:shape id="_x0000_i1035" o:spt="75" type="#_x0000_t75" style="height:18.75pt;width:140.25pt;" o:ole="t" filled="f" o:preferrelative="t" stroked="f" coordsize="21600,21600">
                  <v:path/>
                  <v:fill on="f" focussize="0,0"/>
                  <v:stroke on="f"/>
                  <v:imagedata r:id="rId28" o:title=""/>
                  <o:lock v:ext="edit" aspectratio="t"/>
                  <w10:wrap type="none"/>
                  <w10:anchorlock/>
                </v:shape>
                <o:OLEObject Type="Embed" ProgID="Equation.3" ShapeID="_x0000_i1035" DrawAspect="Content" ObjectID="_1468075734" r:id="rId27">
                  <o:LockedField>false</o:LockedField>
                </o:OLEObject>
              </w:object>
            </w:r>
          </w:p>
          <w:p>
            <w:pPr>
              <w:pStyle w:val="98"/>
              <w:ind w:firstLine="480"/>
              <w:rPr>
                <w:color w:val="auto"/>
                <w:highlight w:val="none"/>
              </w:rPr>
            </w:pPr>
            <w:r>
              <w:rPr>
                <w:color w:val="auto"/>
                <w:highlight w:val="none"/>
              </w:rPr>
              <w:t>式中：Q1——起尘量，mg/s；</w:t>
            </w:r>
          </w:p>
          <w:p>
            <w:pPr>
              <w:pStyle w:val="98"/>
              <w:ind w:firstLine="480"/>
              <w:rPr>
                <w:color w:val="auto"/>
                <w:highlight w:val="none"/>
              </w:rPr>
            </w:pPr>
            <w:r>
              <w:rPr>
                <w:color w:val="auto"/>
                <w:highlight w:val="none"/>
              </w:rPr>
              <w:t>U——风速，</w:t>
            </w:r>
            <w:r>
              <w:rPr>
                <w:rFonts w:hint="default" w:ascii="Times New Roman" w:hAnsi="Times New Roman" w:eastAsia="宋体" w:cs="Times New Roman"/>
                <w:color w:val="auto"/>
                <w:sz w:val="24"/>
                <w:szCs w:val="24"/>
                <w:highlight w:val="none"/>
              </w:rPr>
              <w:t>U取当地年平均风速</w:t>
            </w:r>
            <w:r>
              <w:rPr>
                <w:rFonts w:hint="eastAsia" w:ascii="Times New Roman" w:hAnsi="Times New Roman" w:eastAsia="宋体" w:cs="Times New Roman"/>
                <w:color w:val="auto"/>
                <w:sz w:val="24"/>
                <w:szCs w:val="24"/>
                <w:highlight w:val="none"/>
                <w:lang w:val="en-US" w:eastAsia="zh-CN"/>
              </w:rPr>
              <w:t>1.51</w:t>
            </w:r>
            <w:r>
              <w:rPr>
                <w:rFonts w:hint="default" w:ascii="Times New Roman" w:hAnsi="Times New Roman" w:eastAsia="宋体" w:cs="Times New Roman"/>
                <w:color w:val="auto"/>
                <w:sz w:val="24"/>
                <w:szCs w:val="24"/>
                <w:highlight w:val="none"/>
              </w:rPr>
              <w:t>m/s</w:t>
            </w:r>
            <w:r>
              <w:rPr>
                <w:color w:val="auto"/>
                <w:highlight w:val="none"/>
              </w:rPr>
              <w:t>；</w:t>
            </w:r>
          </w:p>
          <w:p>
            <w:pPr>
              <w:pStyle w:val="98"/>
              <w:ind w:firstLine="480"/>
              <w:rPr>
                <w:color w:val="auto"/>
                <w:highlight w:val="none"/>
              </w:rPr>
            </w:pPr>
            <w:r>
              <w:rPr>
                <w:color w:val="auto"/>
                <w:highlight w:val="none"/>
              </w:rPr>
              <w:t>H——物料落差；</w:t>
            </w:r>
          </w:p>
          <w:p>
            <w:pPr>
              <w:pStyle w:val="98"/>
              <w:ind w:firstLine="480"/>
              <w:rPr>
                <w:color w:val="auto"/>
                <w:highlight w:val="none"/>
              </w:rPr>
            </w:pPr>
            <w:r>
              <w:rPr>
                <w:color w:val="auto"/>
                <w:highlight w:val="none"/>
              </w:rPr>
              <w:t>W——物料含水率，</w:t>
            </w:r>
            <w:r>
              <w:rPr>
                <w:rFonts w:hint="eastAsia" w:ascii="Times New Roman" w:hAnsi="Times New Roman" w:eastAsia="宋体" w:cs="Times New Roman"/>
                <w:color w:val="auto"/>
                <w:sz w:val="24"/>
                <w:szCs w:val="24"/>
                <w:highlight w:val="none"/>
                <w:lang w:val="en-US" w:eastAsia="zh-CN"/>
              </w:rPr>
              <w:t>原料含水率约1%</w:t>
            </w:r>
            <w:r>
              <w:rPr>
                <w:color w:val="auto"/>
                <w:highlight w:val="none"/>
              </w:rPr>
              <w:t>。</w:t>
            </w:r>
          </w:p>
          <w:p>
            <w:pPr>
              <w:pStyle w:val="98"/>
              <w:ind w:firstLine="480"/>
              <w:rPr>
                <w:color w:val="auto"/>
                <w:highlight w:val="none"/>
              </w:rPr>
            </w:pPr>
            <w:r>
              <w:rPr>
                <w:color w:val="auto"/>
                <w:highlight w:val="none"/>
              </w:rPr>
              <w:t>装卸年起尘量：Q=Q1×总卸载时间</w:t>
            </w:r>
          </w:p>
          <w:p>
            <w:pPr>
              <w:pStyle w:val="98"/>
              <w:ind w:firstLine="480"/>
              <w:rPr>
                <w:color w:val="auto"/>
                <w:highlight w:val="none"/>
              </w:rPr>
            </w:pPr>
            <w:r>
              <w:rPr>
                <w:color w:val="auto"/>
                <w:highlight w:val="none"/>
              </w:rPr>
              <w:t>每次卸载所用时间按</w:t>
            </w:r>
            <w:r>
              <w:rPr>
                <w:rFonts w:hint="eastAsia"/>
                <w:color w:val="auto"/>
                <w:highlight w:val="none"/>
                <w:lang w:val="en-US" w:eastAsia="zh-CN"/>
              </w:rPr>
              <w:t>1</w:t>
            </w:r>
            <w:r>
              <w:rPr>
                <w:color w:val="auto"/>
                <w:highlight w:val="none"/>
              </w:rPr>
              <w:t>min计，装载车辆以20t自卸车计算，按每次满载，每年运输</w:t>
            </w:r>
            <w:r>
              <w:rPr>
                <w:rFonts w:hint="eastAsia" w:ascii="Times New Roman" w:hAnsi="Times New Roman" w:eastAsia="宋体" w:cs="Times New Roman"/>
                <w:color w:val="auto"/>
                <w:sz w:val="24"/>
                <w:szCs w:val="24"/>
                <w:highlight w:val="none"/>
                <w:lang w:val="en-US" w:eastAsia="zh-CN"/>
              </w:rPr>
              <w:t>66.0</w:t>
            </w:r>
            <w:r>
              <w:rPr>
                <w:color w:val="auto"/>
                <w:highlight w:val="none"/>
              </w:rPr>
              <w:t>万吨原料，装载量共需</w:t>
            </w:r>
            <w:r>
              <w:rPr>
                <w:rFonts w:hint="eastAsia"/>
                <w:color w:val="auto"/>
                <w:highlight w:val="none"/>
                <w:lang w:val="en-US" w:eastAsia="zh-CN"/>
              </w:rPr>
              <w:t>33000</w:t>
            </w:r>
            <w:r>
              <w:rPr>
                <w:color w:val="auto"/>
                <w:highlight w:val="none"/>
              </w:rPr>
              <w:t>辆次，物料落差2.5m，总共装卸时间约为</w:t>
            </w:r>
            <w:r>
              <w:rPr>
                <w:rFonts w:hint="eastAsia"/>
                <w:color w:val="auto"/>
                <w:highlight w:val="none"/>
                <w:lang w:val="en-US" w:eastAsia="zh-CN"/>
              </w:rPr>
              <w:t>550h</w:t>
            </w:r>
            <w:r>
              <w:rPr>
                <w:color w:val="auto"/>
                <w:highlight w:val="none"/>
              </w:rPr>
              <w:t>。</w:t>
            </w:r>
          </w:p>
          <w:p>
            <w:pPr>
              <w:pStyle w:val="98"/>
              <w:ind w:firstLine="480"/>
              <w:rPr>
                <w:color w:val="auto"/>
                <w:highlight w:val="none"/>
              </w:rPr>
            </w:pPr>
            <w:r>
              <w:rPr>
                <w:color w:val="auto"/>
                <w:highlight w:val="none"/>
              </w:rPr>
              <w:t>经计算本项目卸载产生的粉尘量约为</w:t>
            </w:r>
            <w:r>
              <w:rPr>
                <w:rFonts w:hint="eastAsia"/>
                <w:color w:val="auto"/>
                <w:highlight w:val="none"/>
                <w:lang w:val="en-US" w:eastAsia="zh-CN"/>
              </w:rPr>
              <w:t>1.335</w:t>
            </w:r>
            <w:r>
              <w:rPr>
                <w:color w:val="auto"/>
                <w:highlight w:val="none"/>
              </w:rPr>
              <w:t>t/a。</w:t>
            </w:r>
            <w:r>
              <w:rPr>
                <w:rFonts w:hint="default"/>
                <w:color w:val="auto"/>
                <w:highlight w:val="none"/>
              </w:rPr>
              <w:t>通过加强洒水降尘和湿法生产后，原料和成品在吸附水分后，增加了其自身重量，经重力沉降比例较大，多沉降在厂区范围内。在采取洒水降尘措施后</w:t>
            </w:r>
            <w:r>
              <w:rPr>
                <w:rFonts w:hint="default"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val="en-US" w:eastAsia="zh-CN"/>
              </w:rPr>
              <w:t>设计</w:t>
            </w:r>
            <w:r>
              <w:rPr>
                <w:rFonts w:hint="default" w:ascii="Times New Roman" w:hAnsi="Times New Roman" w:eastAsia="宋体" w:cs="Times New Roman"/>
                <w:color w:val="auto"/>
                <w:highlight w:val="none"/>
              </w:rPr>
              <w:t>抑尘效率</w:t>
            </w:r>
            <w:r>
              <w:rPr>
                <w:rFonts w:hint="eastAsia" w:ascii="Times New Roman" w:hAnsi="Times New Roman" w:eastAsia="宋体" w:cs="Times New Roman"/>
                <w:color w:val="auto"/>
                <w:highlight w:val="none"/>
                <w:lang w:val="en-US" w:eastAsia="zh-CN"/>
              </w:rPr>
              <w:t>8</w:t>
            </w:r>
            <w:r>
              <w:rPr>
                <w:rFonts w:hint="default" w:ascii="Times New Roman" w:hAnsi="Times New Roman" w:eastAsia="宋体" w:cs="Times New Roman"/>
                <w:color w:val="auto"/>
                <w:highlight w:val="none"/>
              </w:rPr>
              <w:t>0%</w:t>
            </w:r>
            <w:r>
              <w:rPr>
                <w:rFonts w:ascii="Times New Roman" w:hAnsi="Times New Roman" w:eastAsia="宋体" w:cs="Times New Roman"/>
                <w:color w:val="auto"/>
                <w:highlight w:val="none"/>
              </w:rPr>
              <w:t>，</w:t>
            </w:r>
            <w:r>
              <w:rPr>
                <w:color w:val="auto"/>
                <w:highlight w:val="none"/>
              </w:rPr>
              <w:t>扬尘排放量为</w:t>
            </w:r>
            <w:r>
              <w:rPr>
                <w:rFonts w:hint="eastAsia"/>
                <w:color w:val="auto"/>
                <w:highlight w:val="none"/>
                <w:lang w:val="en-US" w:eastAsia="zh-CN"/>
              </w:rPr>
              <w:t>0.267</w:t>
            </w:r>
            <w:r>
              <w:rPr>
                <w:color w:val="auto"/>
                <w:highlight w:val="none"/>
              </w:rPr>
              <w:t>t/a(</w:t>
            </w:r>
            <w:r>
              <w:rPr>
                <w:rFonts w:hint="eastAsia"/>
                <w:color w:val="auto"/>
                <w:highlight w:val="none"/>
                <w:lang w:val="en-US" w:eastAsia="zh-CN"/>
              </w:rPr>
              <w:t>0.485</w:t>
            </w:r>
            <w:r>
              <w:rPr>
                <w:color w:val="auto"/>
                <w:highlight w:val="none"/>
              </w:rPr>
              <w:t>kg/h)。</w:t>
            </w:r>
          </w:p>
          <w:p>
            <w:pPr>
              <w:pStyle w:val="89"/>
              <w:rPr>
                <w:rFonts w:hint="default"/>
                <w:color w:val="auto"/>
                <w:highlight w:val="none"/>
                <w:lang w:val="en-US" w:eastAsia="zh-CN"/>
              </w:rPr>
            </w:pPr>
            <w:r>
              <w:rPr>
                <w:rFonts w:hint="eastAsia"/>
                <w:color w:val="auto"/>
                <w:highlight w:val="none"/>
                <w:lang w:val="en-US" w:eastAsia="zh-CN"/>
              </w:rPr>
              <w:t>③堆场起尘</w:t>
            </w:r>
          </w:p>
          <w:p>
            <w:pPr>
              <w:pStyle w:val="89"/>
              <w:jc w:val="left"/>
              <w:rPr>
                <w:rFonts w:hint="default" w:ascii="Times New Roman" w:hAnsi="Times New Roman" w:eastAsia="宋体" w:cs="Times New Roman"/>
                <w:color w:val="auto"/>
                <w:sz w:val="24"/>
                <w:szCs w:val="24"/>
                <w:highlight w:val="none"/>
                <w:lang w:val="en-US" w:eastAsia="zh-CN"/>
              </w:rPr>
            </w:pPr>
            <w:r>
              <w:rPr>
                <w:rFonts w:ascii="宋体" w:hAnsi="宋体" w:eastAsia="宋体" w:cs="宋体"/>
                <w:color w:val="auto"/>
                <w:sz w:val="24"/>
                <w:szCs w:val="24"/>
                <w:highlight w:val="none"/>
              </w:rPr>
              <w:t>堆场因风力的动力作用将会产生扬尘，其源强大小与颗粒物的粒径大小、比重以及环境的风速、湿度等因素有关，风速越大，颗粒越小，含水率越小，扬尘的产生量就越大。本评价堆场扬尘采用西安冶金建筑学院的起尘量推荐公式：</w:t>
            </w:r>
          </w:p>
          <w:p>
            <w:pPr>
              <w:pStyle w:val="89"/>
              <w:ind w:left="0" w:leftChars="0" w:firstLine="0" w:firstLineChars="0"/>
              <w:jc w:val="center"/>
              <w:rPr>
                <w:rFonts w:hint="eastAsia" w:ascii="Times New Roman" w:hAnsi="Times New Roman" w:eastAsia="宋体" w:cs="Times New Roman"/>
                <w:color w:val="auto"/>
                <w:sz w:val="24"/>
                <w:szCs w:val="24"/>
                <w:highlight w:val="none"/>
                <w:lang w:val="en-US" w:eastAsia="zh-CN"/>
              </w:rPr>
            </w:pPr>
            <w:r>
              <w:rPr>
                <w:color w:val="auto"/>
                <w:highlight w:val="none"/>
              </w:rPr>
              <w:drawing>
                <wp:inline distT="0" distB="0" distL="114300" distR="114300">
                  <wp:extent cx="1905000" cy="365760"/>
                  <wp:effectExtent l="0" t="0" r="0" b="15240"/>
                  <wp:docPr id="8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2"/>
                          <pic:cNvPicPr>
                            <a:picLocks noChangeAspect="1"/>
                          </pic:cNvPicPr>
                        </pic:nvPicPr>
                        <pic:blipFill>
                          <a:blip r:embed="rId29"/>
                          <a:stretch>
                            <a:fillRect/>
                          </a:stretch>
                        </pic:blipFill>
                        <pic:spPr>
                          <a:xfrm>
                            <a:off x="0" y="0"/>
                            <a:ext cx="1905000" cy="365760"/>
                          </a:xfrm>
                          <a:prstGeom prst="rect">
                            <a:avLst/>
                          </a:prstGeom>
                          <a:noFill/>
                          <a:ln>
                            <a:noFill/>
                          </a:ln>
                        </pic:spPr>
                      </pic:pic>
                    </a:graphicData>
                  </a:graphic>
                </wp:inline>
              </w:drawing>
            </w:r>
          </w:p>
          <w:p>
            <w:pPr>
              <w:pStyle w:val="89"/>
              <w:ind w:left="0" w:leftChars="0" w:firstLine="0" w:firstLineChars="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式中：Qp——起尘量，mg/s；</w:t>
            </w:r>
          </w:p>
          <w:p>
            <w:pPr>
              <w:pStyle w:val="89"/>
              <w:ind w:firstLine="720" w:firstLineChars="3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S——起尘面积，m</w:t>
            </w:r>
            <w:r>
              <w:rPr>
                <w:rFonts w:hint="default" w:ascii="Times New Roman" w:hAnsi="Times New Roman" w:eastAsia="宋体" w:cs="Times New Roman"/>
                <w:color w:val="auto"/>
                <w:sz w:val="24"/>
                <w:szCs w:val="24"/>
                <w:highlight w:val="none"/>
                <w:vertAlign w:val="superscript"/>
              </w:rPr>
              <w:t>2</w:t>
            </w:r>
            <w:r>
              <w:rPr>
                <w:rFonts w:hint="default" w:ascii="Times New Roman" w:hAnsi="Times New Roman" w:eastAsia="宋体" w:cs="Times New Roman"/>
                <w:color w:val="auto"/>
                <w:sz w:val="24"/>
                <w:szCs w:val="24"/>
                <w:highlight w:val="none"/>
              </w:rPr>
              <w:t>；本项目堆场面积约</w:t>
            </w:r>
            <w:r>
              <w:rPr>
                <w:rFonts w:hint="eastAsia" w:ascii="Times New Roman" w:hAnsi="Times New Roman" w:cs="Times New Roman"/>
                <w:color w:val="auto"/>
                <w:sz w:val="24"/>
                <w:szCs w:val="24"/>
                <w:highlight w:val="none"/>
                <w:lang w:val="en-US" w:eastAsia="zh-CN"/>
              </w:rPr>
              <w:t>2000</w:t>
            </w:r>
            <w:r>
              <w:rPr>
                <w:rFonts w:hint="default" w:ascii="Times New Roman" w:hAnsi="Times New Roman" w:eastAsia="宋体" w:cs="Times New Roman"/>
                <w:color w:val="auto"/>
                <w:sz w:val="24"/>
                <w:szCs w:val="24"/>
                <w:highlight w:val="none"/>
              </w:rPr>
              <w:t>m</w:t>
            </w:r>
            <w:r>
              <w:rPr>
                <w:rFonts w:hint="default" w:ascii="Times New Roman" w:hAnsi="Times New Roman" w:eastAsia="宋体" w:cs="Times New Roman"/>
                <w:color w:val="auto"/>
                <w:sz w:val="24"/>
                <w:szCs w:val="24"/>
                <w:highlight w:val="none"/>
                <w:vertAlign w:val="superscript"/>
              </w:rPr>
              <w:t>2</w:t>
            </w:r>
            <w:r>
              <w:rPr>
                <w:rFonts w:hint="default" w:ascii="Times New Roman" w:hAnsi="Times New Roman" w:eastAsia="宋体" w:cs="Times New Roman"/>
                <w:color w:val="auto"/>
                <w:sz w:val="24"/>
                <w:szCs w:val="24"/>
                <w:highlight w:val="none"/>
              </w:rPr>
              <w:t>；</w:t>
            </w:r>
          </w:p>
          <w:p>
            <w:pPr>
              <w:pStyle w:val="89"/>
              <w:ind w:firstLine="720" w:firstLineChars="3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U——平均风速，m/s，U取当地年平均风速</w:t>
            </w:r>
            <w:r>
              <w:rPr>
                <w:rFonts w:hint="eastAsia" w:ascii="Times New Roman" w:hAnsi="Times New Roman" w:eastAsia="宋体" w:cs="Times New Roman"/>
                <w:color w:val="auto"/>
                <w:sz w:val="24"/>
                <w:szCs w:val="24"/>
                <w:highlight w:val="none"/>
                <w:lang w:val="en-US" w:eastAsia="zh-CN"/>
              </w:rPr>
              <w:t>1.51</w:t>
            </w:r>
            <w:r>
              <w:rPr>
                <w:rFonts w:hint="default" w:ascii="Times New Roman" w:hAnsi="Times New Roman" w:eastAsia="宋体" w:cs="Times New Roman"/>
                <w:color w:val="auto"/>
                <w:sz w:val="24"/>
                <w:szCs w:val="24"/>
                <w:highlight w:val="none"/>
              </w:rPr>
              <w:t>m/s；</w:t>
            </w:r>
          </w:p>
          <w:p>
            <w:pPr>
              <w:pStyle w:val="89"/>
              <w:jc w:val="lef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根据上式计算，项目堆场起尘量为</w:t>
            </w:r>
            <w:r>
              <w:rPr>
                <w:rFonts w:hint="eastAsia" w:ascii="Times New Roman" w:hAnsi="Times New Roman" w:cs="Times New Roman"/>
                <w:color w:val="auto"/>
                <w:sz w:val="24"/>
                <w:szCs w:val="24"/>
                <w:highlight w:val="none"/>
                <w:lang w:val="en-US" w:eastAsia="zh-CN"/>
              </w:rPr>
              <w:t>6.373m</w:t>
            </w:r>
            <w:r>
              <w:rPr>
                <w:rFonts w:hint="default" w:ascii="Times New Roman" w:hAnsi="Times New Roman" w:eastAsia="宋体" w:cs="Times New Roman"/>
                <w:color w:val="auto"/>
                <w:sz w:val="24"/>
                <w:szCs w:val="24"/>
                <w:highlight w:val="none"/>
              </w:rPr>
              <w:t>g/s（</w:t>
            </w:r>
            <w:r>
              <w:rPr>
                <w:rFonts w:hint="eastAsia" w:ascii="Times New Roman" w:hAnsi="Times New Roman" w:cs="Times New Roman"/>
                <w:color w:val="auto"/>
                <w:sz w:val="24"/>
                <w:szCs w:val="24"/>
                <w:highlight w:val="none"/>
                <w:lang w:val="en-US" w:eastAsia="zh-CN"/>
              </w:rPr>
              <w:t>0.030</w:t>
            </w:r>
            <w:r>
              <w:rPr>
                <w:rFonts w:hint="default" w:ascii="Times New Roman" w:hAnsi="Times New Roman" w:eastAsia="宋体" w:cs="Times New Roman"/>
                <w:color w:val="auto"/>
                <w:sz w:val="24"/>
                <w:szCs w:val="24"/>
                <w:highlight w:val="none"/>
              </w:rPr>
              <w:t>kg/h），即项目堆场起尘量为</w:t>
            </w:r>
            <w:r>
              <w:rPr>
                <w:rFonts w:hint="eastAsia" w:ascii="Times New Roman" w:hAnsi="Times New Roman" w:cs="Times New Roman"/>
                <w:color w:val="auto"/>
                <w:sz w:val="24"/>
                <w:szCs w:val="24"/>
                <w:highlight w:val="none"/>
                <w:lang w:val="en-US" w:eastAsia="zh-CN"/>
              </w:rPr>
              <w:t>0.198</w:t>
            </w:r>
            <w:r>
              <w:rPr>
                <w:rFonts w:hint="default" w:ascii="Times New Roman" w:hAnsi="Times New Roman" w:eastAsia="宋体" w:cs="Times New Roman"/>
                <w:color w:val="auto"/>
                <w:sz w:val="24"/>
                <w:szCs w:val="24"/>
                <w:highlight w:val="none"/>
              </w:rPr>
              <w:t>t/a，项目拟在</w:t>
            </w:r>
            <w:r>
              <w:rPr>
                <w:rFonts w:hint="eastAsia" w:ascii="Times New Roman" w:hAnsi="Times New Roman" w:cs="Times New Roman"/>
                <w:color w:val="auto"/>
                <w:sz w:val="24"/>
                <w:szCs w:val="24"/>
                <w:highlight w:val="none"/>
                <w:lang w:val="en-US" w:eastAsia="zh-CN"/>
              </w:rPr>
              <w:t>原料及成品</w:t>
            </w:r>
            <w:r>
              <w:rPr>
                <w:rFonts w:hint="default" w:ascii="Times New Roman" w:hAnsi="Times New Roman" w:eastAsia="宋体" w:cs="Times New Roman"/>
                <w:color w:val="auto"/>
                <w:sz w:val="24"/>
                <w:szCs w:val="24"/>
                <w:highlight w:val="none"/>
              </w:rPr>
              <w:t>堆场</w:t>
            </w:r>
            <w:r>
              <w:rPr>
                <w:rFonts w:hint="eastAsia" w:ascii="Times New Roman" w:hAnsi="Times New Roman" w:eastAsia="宋体" w:cs="Times New Roman"/>
                <w:b w:val="0"/>
                <w:bCs/>
                <w:color w:val="auto"/>
                <w:kern w:val="2"/>
                <w:sz w:val="24"/>
                <w:szCs w:val="24"/>
                <w:highlight w:val="none"/>
                <w:lang w:val="en-US" w:eastAsia="zh-CN" w:bidi="zh-CN"/>
              </w:rPr>
              <w:t>采用苫布覆盖</w:t>
            </w:r>
            <w:r>
              <w:rPr>
                <w:rFonts w:hint="eastAsia"/>
                <w:b w:val="0"/>
                <w:bCs/>
                <w:color w:val="auto"/>
                <w:szCs w:val="24"/>
                <w:highlight w:val="none"/>
                <w:lang w:val="en-US" w:eastAsia="zh-CN" w:bidi="zh-CN"/>
              </w:rPr>
              <w:t>，苫布裙角固定措施，实现有效覆盖</w:t>
            </w:r>
            <w:r>
              <w:rPr>
                <w:rFonts w:hint="eastAsia"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降尘效率可达8</w:t>
            </w:r>
            <w:r>
              <w:rPr>
                <w:rFonts w:hint="eastAsia"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%，因此堆场</w:t>
            </w:r>
            <w:r>
              <w:rPr>
                <w:rFonts w:hint="eastAsia" w:ascii="Times New Roman" w:hAnsi="Times New Roman" w:cs="Times New Roman"/>
                <w:color w:val="auto"/>
                <w:sz w:val="24"/>
                <w:szCs w:val="24"/>
                <w:highlight w:val="none"/>
                <w:lang w:val="en-US" w:eastAsia="zh-CN"/>
              </w:rPr>
              <w:t>排放</w:t>
            </w:r>
            <w:r>
              <w:rPr>
                <w:rFonts w:hint="default" w:ascii="Times New Roman" w:hAnsi="Times New Roman" w:eastAsia="宋体" w:cs="Times New Roman"/>
                <w:color w:val="auto"/>
                <w:sz w:val="24"/>
                <w:szCs w:val="24"/>
                <w:highlight w:val="none"/>
              </w:rPr>
              <w:t>量为</w:t>
            </w:r>
            <w:r>
              <w:rPr>
                <w:rFonts w:hint="eastAsia" w:ascii="Times New Roman" w:hAnsi="Times New Roman" w:cs="Times New Roman"/>
                <w:color w:val="auto"/>
                <w:sz w:val="24"/>
                <w:szCs w:val="24"/>
                <w:highlight w:val="none"/>
                <w:lang w:val="en-US" w:eastAsia="zh-CN"/>
              </w:rPr>
              <w:t>0.040</w:t>
            </w:r>
            <w:r>
              <w:rPr>
                <w:rFonts w:hint="default" w:ascii="Times New Roman" w:hAnsi="Times New Roman" w:eastAsia="宋体" w:cs="Times New Roman"/>
                <w:color w:val="auto"/>
                <w:sz w:val="24"/>
                <w:szCs w:val="24"/>
                <w:highlight w:val="none"/>
              </w:rPr>
              <w:t>t/a，排放方式为无组织排放。</w:t>
            </w:r>
          </w:p>
          <w:p>
            <w:pPr>
              <w:pStyle w:val="98"/>
              <w:ind w:firstLine="48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④运输产生的道路扬尘</w:t>
            </w:r>
          </w:p>
          <w:p>
            <w:pPr>
              <w:pStyle w:val="98"/>
              <w:ind w:firstLine="48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对道路扬尘，建设单位需采取洒水、降尘措施，要求运送车辆实行密闭运输，装载的物料、渣土高度不得超过车辆槽帮上沿，车斗用苫布遮盖或者采用密闭车斗，避免在运输过程中发生遗撒或泄漏。运输车辆进入厂区经过洗车池，抑制了道路扬尘的产生，且厂内车速慢，因此运输过程中产生的扬尘量较小，不作定量核算。</w:t>
            </w:r>
          </w:p>
          <w:p>
            <w:pPr>
              <w:pStyle w:val="98"/>
              <w:ind w:firstLine="48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⑤输送带扬尘</w:t>
            </w:r>
          </w:p>
          <w:p>
            <w:pPr>
              <w:pStyle w:val="98"/>
              <w:ind w:firstLine="48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项目物料均利用皮带传送机从一道工序转入另一道工序，传送过程中，特别是在物料自皮带机顶端下落时会产生粉尘污染。本项目物料为干燥状态时，连接两工序的输送皮带采取加盖密闭，且在出口节点设置有喷淋装置，从而有效地控制和减少皮带输送过程产生的扬尘；经过洗砂工序后输送的砂石均为湿润环境，输送速度慢，因而皮带输送扬尘量较少，不作定量核算。</w:t>
            </w:r>
          </w:p>
          <w:p>
            <w:pPr>
              <w:pStyle w:val="96"/>
              <w:rPr>
                <w:color w:val="auto"/>
                <w:highlight w:val="none"/>
              </w:rPr>
            </w:pPr>
            <w:r>
              <w:rPr>
                <w:color w:val="auto"/>
                <w:highlight w:val="none"/>
              </w:rPr>
              <w:t>1.2废气影响分析</w:t>
            </w:r>
          </w:p>
          <w:p>
            <w:pPr>
              <w:pStyle w:val="98"/>
              <w:numPr>
                <w:ilvl w:val="0"/>
                <w:numId w:val="3"/>
              </w:numPr>
              <w:ind w:firstLine="480"/>
              <w:rPr>
                <w:rFonts w:hint="eastAsia"/>
                <w:color w:val="auto"/>
                <w:highlight w:val="none"/>
                <w:lang w:val="en-US" w:eastAsia="zh-CN"/>
              </w:rPr>
            </w:pPr>
            <w:r>
              <w:rPr>
                <w:rFonts w:hint="eastAsia"/>
                <w:color w:val="auto"/>
                <w:highlight w:val="none"/>
                <w:lang w:val="en-US" w:eastAsia="zh-CN"/>
              </w:rPr>
              <w:t>有组织</w:t>
            </w:r>
          </w:p>
          <w:p>
            <w:pPr>
              <w:pStyle w:val="98"/>
              <w:numPr>
                <w:ilvl w:val="0"/>
                <w:numId w:val="0"/>
              </w:numPr>
              <w:ind w:firstLine="468" w:firstLineChars="200"/>
              <w:rPr>
                <w:rFonts w:hint="eastAsia" w:ascii="Times New Roman" w:hAnsi="Times New Roman" w:cs="Times New Roman"/>
                <w:color w:val="auto"/>
                <w:sz w:val="24"/>
                <w:szCs w:val="24"/>
                <w:highlight w:val="none"/>
                <w:lang w:eastAsia="zh-CN"/>
              </w:rPr>
            </w:pPr>
            <w:r>
              <w:rPr>
                <w:rFonts w:hint="default" w:ascii="Times New Roman" w:hAnsi="Times New Roman" w:cs="Times New Roman"/>
                <w:color w:val="auto"/>
                <w:spacing w:val="-3"/>
                <w:sz w:val="24"/>
                <w:highlight w:val="none"/>
              </w:rPr>
              <w:t>本项目主要废气污染源主要为颚式破碎机、圆锥破碎机、制砂机和振动筛等设备对</w:t>
            </w:r>
            <w:r>
              <w:rPr>
                <w:rFonts w:hint="eastAsia" w:ascii="Times New Roman" w:hAnsi="Times New Roman" w:cs="Times New Roman"/>
                <w:color w:val="auto"/>
                <w:spacing w:val="-3"/>
                <w:sz w:val="24"/>
                <w:highlight w:val="none"/>
                <w:lang w:val="en-US" w:eastAsia="zh-CN"/>
              </w:rPr>
              <w:t>渣</w:t>
            </w:r>
            <w:r>
              <w:rPr>
                <w:rFonts w:hint="default" w:ascii="Times New Roman" w:hAnsi="Times New Roman" w:cs="Times New Roman"/>
                <w:color w:val="auto"/>
                <w:spacing w:val="-3"/>
                <w:sz w:val="24"/>
                <w:highlight w:val="none"/>
              </w:rPr>
              <w:t>料进行破碎产生的粉尘。本项目原料主要为采购来的</w:t>
            </w:r>
            <w:r>
              <w:rPr>
                <w:rFonts w:hint="eastAsia" w:ascii="Times New Roman" w:hAnsi="Times New Roman" w:cs="Times New Roman"/>
                <w:color w:val="auto"/>
                <w:spacing w:val="-3"/>
                <w:sz w:val="24"/>
                <w:highlight w:val="none"/>
                <w:lang w:val="en-US" w:eastAsia="zh-CN"/>
              </w:rPr>
              <w:t>渣料</w:t>
            </w:r>
            <w:r>
              <w:rPr>
                <w:rFonts w:hint="default" w:ascii="Times New Roman" w:hAnsi="Times New Roman" w:cs="Times New Roman"/>
                <w:color w:val="auto"/>
                <w:spacing w:val="-3"/>
                <w:sz w:val="24"/>
                <w:highlight w:val="none"/>
              </w:rPr>
              <w:t>，根据实际</w:t>
            </w:r>
            <w:r>
              <w:rPr>
                <w:rFonts w:hint="default" w:ascii="Times New Roman" w:hAnsi="Times New Roman" w:cs="Times New Roman"/>
                <w:color w:val="auto"/>
                <w:spacing w:val="-94"/>
                <w:sz w:val="24"/>
                <w:highlight w:val="none"/>
              </w:rPr>
              <w:t xml:space="preserve"> </w:t>
            </w:r>
            <w:r>
              <w:rPr>
                <w:rFonts w:hint="default" w:ascii="Times New Roman" w:hAnsi="Times New Roman" w:cs="Times New Roman"/>
                <w:color w:val="auto"/>
                <w:spacing w:val="-3"/>
                <w:sz w:val="24"/>
                <w:highlight w:val="none"/>
              </w:rPr>
              <w:t>情况可知产生粉尘量较矿石小，从保守情况考虑，粉尘产生浓度根据《工业污染核算》（中</w:t>
            </w:r>
            <w:r>
              <w:rPr>
                <w:rFonts w:hint="default" w:ascii="Times New Roman" w:hAnsi="Times New Roman" w:cs="Times New Roman"/>
                <w:color w:val="auto"/>
                <w:spacing w:val="-3"/>
                <w:sz w:val="24"/>
                <w:szCs w:val="24"/>
                <w:highlight w:val="none"/>
              </w:rPr>
              <w:t>国环境科学出版社，毛应淮编，</w:t>
            </w:r>
            <w:r>
              <w:rPr>
                <w:rFonts w:hint="default" w:ascii="Times New Roman" w:hAnsi="Times New Roman" w:eastAsia="Times New Roman" w:cs="Times New Roman"/>
                <w:color w:val="auto"/>
                <w:spacing w:val="-3"/>
                <w:sz w:val="24"/>
                <w:szCs w:val="24"/>
                <w:highlight w:val="none"/>
              </w:rPr>
              <w:t>2007.06.01</w:t>
            </w:r>
            <w:r>
              <w:rPr>
                <w:rFonts w:hint="default" w:ascii="Times New Roman" w:hAnsi="Times New Roman" w:cs="Times New Roman"/>
                <w:color w:val="auto"/>
                <w:spacing w:val="-3"/>
                <w:sz w:val="24"/>
                <w:szCs w:val="24"/>
                <w:highlight w:val="none"/>
              </w:rPr>
              <w:t>）中相关内容，破碎、</w:t>
            </w:r>
            <w:r>
              <w:rPr>
                <w:rFonts w:hint="default" w:ascii="Times New Roman" w:hAnsi="Times New Roman" w:cs="Times New Roman"/>
                <w:color w:val="auto"/>
                <w:spacing w:val="-114"/>
                <w:sz w:val="24"/>
                <w:szCs w:val="24"/>
                <w:highlight w:val="none"/>
              </w:rPr>
              <w:t xml:space="preserve"> </w:t>
            </w:r>
            <w:r>
              <w:rPr>
                <w:rFonts w:hint="default" w:ascii="Times New Roman" w:hAnsi="Times New Roman" w:cs="Times New Roman"/>
                <w:color w:val="auto"/>
                <w:sz w:val="24"/>
                <w:szCs w:val="24"/>
                <w:highlight w:val="none"/>
              </w:rPr>
              <w:t>筛分产尘浓度可确定为粗碎（颚式破碎机）</w:t>
            </w:r>
            <w:r>
              <w:rPr>
                <w:rFonts w:hint="default" w:ascii="Times New Roman" w:hAnsi="Times New Roman" w:eastAsia="Times New Roman" w:cs="Times New Roman"/>
                <w:color w:val="auto"/>
                <w:sz w:val="24"/>
                <w:szCs w:val="24"/>
                <w:highlight w:val="none"/>
              </w:rPr>
              <w:t>1000mg/m</w:t>
            </w:r>
            <w:r>
              <w:rPr>
                <w:rFonts w:hint="eastAsia" w:ascii="Times New Roman" w:hAnsi="Times New Roman" w:cs="Times New Roman"/>
                <w:color w:val="auto"/>
                <w:sz w:val="24"/>
                <w:szCs w:val="24"/>
                <w:highlight w:val="none"/>
                <w:vertAlign w:val="superscript"/>
                <w:lang w:val="en-US" w:eastAsia="zh-CN"/>
              </w:rPr>
              <w:t>3</w:t>
            </w:r>
            <w:r>
              <w:rPr>
                <w:rFonts w:hint="default" w:ascii="Times New Roman" w:hAnsi="Times New Roman" w:cs="Times New Roman"/>
                <w:color w:val="auto"/>
                <w:sz w:val="24"/>
                <w:szCs w:val="24"/>
                <w:highlight w:val="none"/>
              </w:rPr>
              <w:t>、中碎</w:t>
            </w:r>
            <w:r>
              <w:rPr>
                <w:rFonts w:hint="default" w:ascii="Times New Roman" w:hAnsi="Times New Roman" w:cs="Times New Roman"/>
                <w:color w:val="auto"/>
                <w:spacing w:val="-60"/>
                <w:sz w:val="24"/>
                <w:szCs w:val="24"/>
                <w:highlight w:val="none"/>
              </w:rPr>
              <w:t xml:space="preserve"> </w:t>
            </w:r>
            <w:r>
              <w:rPr>
                <w:rFonts w:hint="default" w:ascii="Times New Roman" w:hAnsi="Times New Roman" w:eastAsia="Times New Roman" w:cs="Times New Roman"/>
                <w:color w:val="auto"/>
                <w:sz w:val="24"/>
                <w:szCs w:val="24"/>
                <w:highlight w:val="none"/>
              </w:rPr>
              <w:t>2500mg/m</w:t>
            </w:r>
            <w:r>
              <w:rPr>
                <w:rFonts w:hint="eastAsia" w:ascii="Times New Roman" w:hAnsi="Times New Roman" w:cs="Times New Roman"/>
                <w:color w:val="auto"/>
                <w:sz w:val="24"/>
                <w:szCs w:val="24"/>
                <w:highlight w:val="none"/>
                <w:vertAlign w:val="superscript"/>
                <w:lang w:val="en-US" w:eastAsia="zh-CN"/>
              </w:rPr>
              <w:t>3</w:t>
            </w:r>
            <w:r>
              <w:rPr>
                <w:rFonts w:hint="default" w:ascii="Times New Roman" w:hAnsi="Times New Roman" w:cs="Times New Roman"/>
                <w:color w:val="auto"/>
                <w:sz w:val="24"/>
                <w:szCs w:val="24"/>
                <w:highlight w:val="none"/>
              </w:rPr>
              <w:t>、细碎</w:t>
            </w:r>
            <w:r>
              <w:rPr>
                <w:rFonts w:hint="default" w:ascii="Times New Roman" w:hAnsi="Times New Roman" w:cs="Times New Roman"/>
                <w:color w:val="auto"/>
                <w:spacing w:val="-118"/>
                <w:sz w:val="24"/>
                <w:szCs w:val="24"/>
                <w:highlight w:val="none"/>
              </w:rPr>
              <w:t xml:space="preserve"> </w:t>
            </w:r>
            <w:r>
              <w:rPr>
                <w:rFonts w:hint="default" w:ascii="Times New Roman" w:hAnsi="Times New Roman" w:eastAsia="Times New Roman" w:cs="Times New Roman"/>
                <w:color w:val="auto"/>
                <w:sz w:val="24"/>
                <w:szCs w:val="24"/>
                <w:highlight w:val="none"/>
              </w:rPr>
              <w:t>4500mg/m</w:t>
            </w:r>
            <w:r>
              <w:rPr>
                <w:rFonts w:hint="eastAsia" w:ascii="Times New Roman" w:hAnsi="Times New Roman" w:cs="Times New Roman"/>
                <w:color w:val="auto"/>
                <w:sz w:val="24"/>
                <w:szCs w:val="24"/>
                <w:highlight w:val="none"/>
                <w:vertAlign w:val="superscript"/>
                <w:lang w:val="en-US" w:eastAsia="zh-CN"/>
              </w:rPr>
              <w:t>3</w:t>
            </w:r>
            <w:r>
              <w:rPr>
                <w:rFonts w:hint="default" w:ascii="Times New Roman" w:hAnsi="Times New Roman" w:cs="Times New Roman"/>
                <w:color w:val="auto"/>
                <w:sz w:val="24"/>
                <w:szCs w:val="24"/>
                <w:highlight w:val="none"/>
              </w:rPr>
              <w:t>，筛分</w:t>
            </w:r>
            <w:r>
              <w:rPr>
                <w:rFonts w:hint="default" w:ascii="Times New Roman" w:hAnsi="Times New Roman" w:cs="Times New Roman"/>
                <w:color w:val="auto"/>
                <w:spacing w:val="-61"/>
                <w:sz w:val="24"/>
                <w:szCs w:val="24"/>
                <w:highlight w:val="none"/>
              </w:rPr>
              <w:t xml:space="preserve"> </w:t>
            </w:r>
            <w:r>
              <w:rPr>
                <w:rFonts w:hint="default" w:ascii="Times New Roman" w:hAnsi="Times New Roman" w:eastAsia="Times New Roman" w:cs="Times New Roman"/>
                <w:color w:val="auto"/>
                <w:sz w:val="24"/>
                <w:szCs w:val="24"/>
                <w:highlight w:val="none"/>
              </w:rPr>
              <w:t>5000mg/m</w:t>
            </w:r>
            <w:r>
              <w:rPr>
                <w:rFonts w:hint="eastAsia" w:ascii="Times New Roman" w:hAnsi="Times New Roman" w:cs="Times New Roman"/>
                <w:color w:val="auto"/>
                <w:sz w:val="24"/>
                <w:szCs w:val="24"/>
                <w:highlight w:val="none"/>
                <w:vertAlign w:val="superscript"/>
                <w:lang w:val="en-US" w:eastAsia="zh-CN"/>
              </w:rPr>
              <w:t>3</w:t>
            </w:r>
            <w:r>
              <w:rPr>
                <w:rFonts w:hint="default" w:ascii="Times New Roman" w:hAnsi="Times New Roman" w:cs="Times New Roman"/>
                <w:color w:val="auto"/>
                <w:sz w:val="24"/>
                <w:szCs w:val="24"/>
                <w:highlight w:val="none"/>
              </w:rPr>
              <w:t>。项目共</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台破碎机，2台振动筛设备，生产在封闭车间内进行，产尘总量约为</w:t>
            </w:r>
            <w:r>
              <w:rPr>
                <w:rFonts w:hint="eastAsia" w:ascii="Times New Roman" w:hAnsi="Times New Roman" w:cs="Times New Roman"/>
                <w:color w:val="auto"/>
                <w:sz w:val="24"/>
                <w:szCs w:val="24"/>
                <w:highlight w:val="none"/>
                <w:lang w:val="en-US" w:eastAsia="zh-CN"/>
              </w:rPr>
              <w:t>40</w:t>
            </w:r>
            <w:r>
              <w:rPr>
                <w:rFonts w:hint="default" w:ascii="Times New Roman" w:hAnsi="Times New Roman" w:cs="Times New Roman"/>
                <w:color w:val="auto"/>
                <w:sz w:val="24"/>
                <w:szCs w:val="24"/>
                <w:highlight w:val="none"/>
              </w:rPr>
              <w:t>kg/d，则</w:t>
            </w:r>
            <w:r>
              <w:rPr>
                <w:rFonts w:hint="eastAsia" w:ascii="Times New Roman" w:hAnsi="Times New Roman" w:cs="Times New Roman"/>
                <w:color w:val="auto"/>
                <w:sz w:val="24"/>
                <w:szCs w:val="24"/>
                <w:highlight w:val="none"/>
                <w:lang w:val="en-US" w:eastAsia="zh-CN"/>
              </w:rPr>
              <w:t>破碎及筛分的</w:t>
            </w:r>
            <w:r>
              <w:rPr>
                <w:rFonts w:hint="default" w:ascii="Times New Roman" w:hAnsi="Times New Roman" w:cs="Times New Roman"/>
                <w:color w:val="auto"/>
                <w:sz w:val="24"/>
                <w:szCs w:val="24"/>
                <w:highlight w:val="none"/>
              </w:rPr>
              <w:t>粉尘产生量为</w:t>
            </w:r>
            <w:r>
              <w:rPr>
                <w:rFonts w:hint="eastAsia" w:ascii="Times New Roman" w:hAnsi="Times New Roman" w:cs="Times New Roman"/>
                <w:color w:val="auto"/>
                <w:sz w:val="24"/>
                <w:szCs w:val="24"/>
                <w:highlight w:val="none"/>
                <w:lang w:val="en-US" w:eastAsia="zh-CN"/>
              </w:rPr>
              <w:t>13.2</w:t>
            </w:r>
            <w:r>
              <w:rPr>
                <w:rFonts w:hint="default" w:ascii="Times New Roman" w:hAnsi="Times New Roman" w:cs="Times New Roman"/>
                <w:color w:val="auto"/>
                <w:sz w:val="24"/>
                <w:szCs w:val="24"/>
                <w:highlight w:val="none"/>
              </w:rPr>
              <w:t>t/a。</w:t>
            </w:r>
            <w:r>
              <w:rPr>
                <w:rFonts w:hint="default" w:ascii="Times New Roman" w:hAnsi="Times New Roman" w:cs="Times New Roman"/>
                <w:color w:val="auto"/>
                <w:spacing w:val="-5"/>
                <w:sz w:val="24"/>
                <w:szCs w:val="24"/>
                <w:highlight w:val="none"/>
              </w:rPr>
              <w:t>经各自除尘支管汇入</w:t>
            </w:r>
            <w:r>
              <w:rPr>
                <w:rFonts w:hint="default" w:ascii="Times New Roman" w:hAnsi="Times New Roman" w:cs="Times New Roman"/>
                <w:color w:val="auto"/>
                <w:sz w:val="24"/>
                <w:szCs w:val="24"/>
                <w:highlight w:val="none"/>
              </w:rPr>
              <w:t>总管道，设计风量</w:t>
            </w:r>
            <w:r>
              <w:rPr>
                <w:rFonts w:hint="eastAsia" w:ascii="Times New Roman" w:hAnsi="Times New Roman" w:cs="Times New Roman"/>
                <w:color w:val="auto"/>
                <w:sz w:val="24"/>
                <w:szCs w:val="24"/>
                <w:highlight w:val="none"/>
                <w:lang w:val="en-US" w:eastAsia="zh-CN"/>
              </w:rPr>
              <w:t>10000</w:t>
            </w:r>
            <w:r>
              <w:rPr>
                <w:rFonts w:hint="default" w:ascii="Times New Roman" w:hAnsi="Times New Roman" w:eastAsia="Times New Roman" w:cs="Times New Roman"/>
                <w:color w:val="auto"/>
                <w:sz w:val="24"/>
                <w:szCs w:val="24"/>
                <w:highlight w:val="none"/>
              </w:rPr>
              <w:t>m</w:t>
            </w:r>
            <w:r>
              <w:rPr>
                <w:rFonts w:hint="eastAsia" w:ascii="Times New Roman" w:hAnsi="Times New Roman" w:cs="Times New Roman"/>
                <w:color w:val="auto"/>
                <w:sz w:val="24"/>
                <w:szCs w:val="24"/>
                <w:highlight w:val="none"/>
                <w:vertAlign w:val="superscript"/>
                <w:lang w:val="en-US" w:eastAsia="zh-CN"/>
              </w:rPr>
              <w:t>3</w:t>
            </w:r>
            <w:r>
              <w:rPr>
                <w:rFonts w:hint="default" w:ascii="Times New Roman" w:hAnsi="Times New Roman" w:eastAsia="Times New Roman" w:cs="Times New Roman"/>
                <w:color w:val="auto"/>
                <w:sz w:val="24"/>
                <w:szCs w:val="24"/>
                <w:highlight w:val="none"/>
              </w:rPr>
              <w:t>/h</w:t>
            </w:r>
            <w:r>
              <w:rPr>
                <w:rFonts w:hint="default" w:ascii="Times New Roman" w:hAnsi="Times New Roman" w:cs="Times New Roman"/>
                <w:color w:val="auto"/>
                <w:sz w:val="24"/>
                <w:szCs w:val="24"/>
                <w:highlight w:val="none"/>
              </w:rPr>
              <w:t>，捕集罩收集率为</w:t>
            </w:r>
            <w:r>
              <w:rPr>
                <w:rFonts w:hint="default" w:ascii="Times New Roman" w:hAnsi="Times New Roman" w:cs="Times New Roman"/>
                <w:color w:val="auto"/>
                <w:spacing w:val="-61"/>
                <w:sz w:val="24"/>
                <w:szCs w:val="24"/>
                <w:highlight w:val="none"/>
              </w:rPr>
              <w:t xml:space="preserve"> </w:t>
            </w:r>
            <w:r>
              <w:rPr>
                <w:rFonts w:hint="default" w:ascii="Times New Roman" w:hAnsi="Times New Roman" w:eastAsia="Times New Roman" w:cs="Times New Roman"/>
                <w:color w:val="auto"/>
                <w:sz w:val="24"/>
                <w:szCs w:val="24"/>
                <w:highlight w:val="none"/>
              </w:rPr>
              <w:t>90%</w:t>
            </w:r>
            <w:r>
              <w:rPr>
                <w:rFonts w:hint="default" w:ascii="Times New Roman" w:hAnsi="Times New Roman" w:cs="Times New Roman"/>
                <w:color w:val="auto"/>
                <w:sz w:val="24"/>
                <w:szCs w:val="24"/>
                <w:highlight w:val="none"/>
              </w:rPr>
              <w:t>，由袋式除尘器除尘净化后，最终经直径</w:t>
            </w:r>
            <w:r>
              <w:rPr>
                <w:rFonts w:hint="default" w:ascii="Times New Roman" w:hAnsi="Times New Roman" w:cs="Times New Roman"/>
                <w:color w:val="auto"/>
                <w:spacing w:val="-61"/>
                <w:sz w:val="24"/>
                <w:szCs w:val="24"/>
                <w:highlight w:val="none"/>
              </w:rPr>
              <w:t xml:space="preserve"> </w:t>
            </w:r>
            <w:r>
              <w:rPr>
                <w:rFonts w:hint="default" w:ascii="Times New Roman" w:hAnsi="Times New Roman" w:eastAsia="Times New Roman" w:cs="Times New Roman"/>
                <w:color w:val="auto"/>
                <w:sz w:val="24"/>
                <w:szCs w:val="24"/>
                <w:highlight w:val="none"/>
              </w:rPr>
              <w:t>0.5m</w:t>
            </w:r>
            <w:r>
              <w:rPr>
                <w:rFonts w:hint="default" w:ascii="Times New Roman" w:hAnsi="Times New Roman" w:cs="Times New Roman"/>
                <w:color w:val="auto"/>
                <w:sz w:val="24"/>
                <w:szCs w:val="24"/>
                <w:highlight w:val="none"/>
              </w:rPr>
              <w:t>、高度</w:t>
            </w:r>
            <w:r>
              <w:rPr>
                <w:rFonts w:hint="default" w:ascii="Times New Roman" w:hAnsi="Times New Roman" w:eastAsia="Times New Roman" w:cs="Times New Roman"/>
                <w:color w:val="auto"/>
                <w:sz w:val="24"/>
                <w:szCs w:val="24"/>
                <w:highlight w:val="none"/>
              </w:rPr>
              <w:t>15m</w:t>
            </w:r>
            <w:r>
              <w:rPr>
                <w:rFonts w:hint="default" w:ascii="Times New Roman" w:hAnsi="Times New Roman" w:cs="Times New Roman"/>
                <w:color w:val="auto"/>
                <w:sz w:val="24"/>
                <w:szCs w:val="24"/>
                <w:highlight w:val="none"/>
              </w:rPr>
              <w:t>排气筒排放，除尘效率可达</w:t>
            </w:r>
            <w:r>
              <w:rPr>
                <w:rFonts w:hint="default" w:ascii="Times New Roman" w:hAnsi="Times New Roman" w:cs="Times New Roman"/>
                <w:color w:val="auto"/>
                <w:spacing w:val="-60"/>
                <w:sz w:val="24"/>
                <w:szCs w:val="24"/>
                <w:highlight w:val="none"/>
              </w:rPr>
              <w:t xml:space="preserve"> </w:t>
            </w:r>
            <w:r>
              <w:rPr>
                <w:rFonts w:hint="default" w:ascii="Times New Roman" w:hAnsi="Times New Roman" w:eastAsia="Times New Roman" w:cs="Times New Roman"/>
                <w:color w:val="auto"/>
                <w:sz w:val="24"/>
                <w:szCs w:val="24"/>
                <w:highlight w:val="none"/>
              </w:rPr>
              <w:t>99.0%</w:t>
            </w:r>
            <w:r>
              <w:rPr>
                <w:rFonts w:hint="default" w:ascii="Times New Roman" w:hAnsi="Times New Roman" w:cs="Times New Roman"/>
                <w:color w:val="auto"/>
                <w:sz w:val="24"/>
                <w:szCs w:val="24"/>
                <w:highlight w:val="none"/>
              </w:rPr>
              <w:t>。因此除尘器捕集的有组织粉尘量为</w:t>
            </w:r>
            <w:r>
              <w:rPr>
                <w:rFonts w:hint="eastAsia"/>
                <w:color w:val="auto"/>
                <w:sz w:val="24"/>
                <w:szCs w:val="24"/>
                <w:highlight w:val="none"/>
                <w:lang w:val="en-US" w:eastAsia="zh-CN"/>
              </w:rPr>
              <w:t>11.88</w:t>
            </w:r>
            <w:r>
              <w:rPr>
                <w:rFonts w:hint="default" w:ascii="Times New Roman" w:hAnsi="Times New Roman" w:eastAsia="Times New Roman" w:cs="Times New Roman"/>
                <w:color w:val="auto"/>
                <w:spacing w:val="-6"/>
                <w:sz w:val="24"/>
                <w:szCs w:val="24"/>
                <w:highlight w:val="none"/>
              </w:rPr>
              <w:t>t/a</w:t>
            </w:r>
            <w:r>
              <w:rPr>
                <w:rFonts w:hint="default" w:ascii="Times New Roman" w:hAnsi="Times New Roman" w:cs="Times New Roman"/>
                <w:color w:val="auto"/>
                <w:spacing w:val="-6"/>
                <w:sz w:val="24"/>
                <w:szCs w:val="24"/>
                <w:highlight w:val="none"/>
              </w:rPr>
              <w:t>（</w:t>
            </w:r>
            <w:r>
              <w:rPr>
                <w:rFonts w:hint="eastAsia" w:ascii="Times New Roman" w:hAnsi="Times New Roman" w:eastAsia="宋体" w:cs="Times New Roman"/>
                <w:color w:val="auto"/>
                <w:spacing w:val="-6"/>
                <w:sz w:val="24"/>
                <w:szCs w:val="24"/>
                <w:highlight w:val="none"/>
                <w:lang w:val="en-US" w:eastAsia="zh-CN"/>
              </w:rPr>
              <w:t>1.8</w:t>
            </w:r>
            <w:r>
              <w:rPr>
                <w:rFonts w:hint="default" w:ascii="Times New Roman" w:hAnsi="Times New Roman" w:eastAsia="Times New Roman" w:cs="Times New Roman"/>
                <w:color w:val="auto"/>
                <w:spacing w:val="-6"/>
                <w:sz w:val="24"/>
                <w:szCs w:val="24"/>
                <w:highlight w:val="none"/>
              </w:rPr>
              <w:t>kg/h</w:t>
            </w:r>
            <w:r>
              <w:rPr>
                <w:rFonts w:hint="default" w:ascii="Times New Roman" w:hAnsi="Times New Roman" w:cs="Times New Roman"/>
                <w:color w:val="auto"/>
                <w:spacing w:val="-6"/>
                <w:sz w:val="24"/>
                <w:szCs w:val="24"/>
                <w:highlight w:val="none"/>
              </w:rPr>
              <w:t>），产生浓度为</w:t>
            </w:r>
            <w:r>
              <w:rPr>
                <w:rFonts w:hint="eastAsia"/>
                <w:color w:val="auto"/>
                <w:sz w:val="24"/>
                <w:szCs w:val="24"/>
                <w:highlight w:val="none"/>
                <w:lang w:val="en-US" w:eastAsia="zh-CN"/>
              </w:rPr>
              <w:t>180</w:t>
            </w:r>
            <w:r>
              <w:rPr>
                <w:rFonts w:hint="default" w:ascii="Times New Roman" w:hAnsi="Times New Roman" w:eastAsia="Times New Roman" w:cs="Times New Roman"/>
                <w:color w:val="auto"/>
                <w:sz w:val="24"/>
                <w:szCs w:val="24"/>
                <w:highlight w:val="none"/>
              </w:rPr>
              <w:t>mg/m</w:t>
            </w:r>
            <w:r>
              <w:rPr>
                <w:rFonts w:hint="default" w:ascii="Times New Roman" w:hAnsi="Times New Roman" w:cs="Times New Roman"/>
                <w:color w:val="auto"/>
                <w:sz w:val="24"/>
                <w:szCs w:val="24"/>
                <w:highlight w:val="none"/>
                <w:vertAlign w:val="superscript"/>
                <w:lang w:val="en-US" w:eastAsia="zh-CN"/>
              </w:rPr>
              <w:t>3</w:t>
            </w:r>
            <w:r>
              <w:rPr>
                <w:rFonts w:hint="default" w:ascii="Times New Roman" w:hAnsi="Times New Roman" w:cs="Times New Roman"/>
                <w:color w:val="auto"/>
                <w:sz w:val="24"/>
                <w:szCs w:val="24"/>
                <w:highlight w:val="none"/>
              </w:rPr>
              <w:t>，经过袋式除</w:t>
            </w:r>
            <w:r>
              <w:rPr>
                <w:rFonts w:hint="default" w:ascii="Times New Roman" w:hAnsi="Times New Roman" w:cs="Times New Roman"/>
                <w:color w:val="auto"/>
                <w:spacing w:val="-111"/>
                <w:sz w:val="24"/>
                <w:szCs w:val="24"/>
                <w:highlight w:val="none"/>
              </w:rPr>
              <w:t xml:space="preserve"> </w:t>
            </w:r>
            <w:r>
              <w:rPr>
                <w:rFonts w:hint="default" w:ascii="Times New Roman" w:hAnsi="Times New Roman" w:cs="Times New Roman"/>
                <w:color w:val="auto"/>
                <w:sz w:val="24"/>
                <w:szCs w:val="24"/>
                <w:highlight w:val="none"/>
              </w:rPr>
              <w:t>尘后年排放粉尘</w:t>
            </w:r>
            <w:r>
              <w:rPr>
                <w:rFonts w:hint="default" w:ascii="Times New Roman" w:hAnsi="Times New Roman" w:cs="Times New Roman"/>
                <w:color w:val="auto"/>
                <w:spacing w:val="-60"/>
                <w:sz w:val="24"/>
                <w:szCs w:val="24"/>
                <w:highlight w:val="none"/>
              </w:rPr>
              <w:t xml:space="preserve"> </w:t>
            </w:r>
            <w:r>
              <w:rPr>
                <w:rFonts w:hint="eastAsia"/>
                <w:color w:val="auto"/>
                <w:sz w:val="24"/>
                <w:szCs w:val="24"/>
                <w:highlight w:val="none"/>
                <w:lang w:val="en-US" w:eastAsia="zh-CN"/>
              </w:rPr>
              <w:t>0.119</w:t>
            </w:r>
            <w:r>
              <w:rPr>
                <w:rFonts w:hint="default" w:ascii="Times New Roman" w:hAnsi="Times New Roman" w:eastAsia="Times New Roman" w:cs="Times New Roman"/>
                <w:color w:val="auto"/>
                <w:spacing w:val="-5"/>
                <w:sz w:val="24"/>
                <w:szCs w:val="24"/>
                <w:highlight w:val="none"/>
              </w:rPr>
              <w:t>t/a</w:t>
            </w:r>
            <w:r>
              <w:rPr>
                <w:rFonts w:hint="default" w:ascii="Times New Roman" w:hAnsi="Times New Roman" w:cs="Times New Roman"/>
                <w:color w:val="auto"/>
                <w:spacing w:val="-5"/>
                <w:sz w:val="24"/>
                <w:szCs w:val="24"/>
                <w:highlight w:val="none"/>
              </w:rPr>
              <w:t>（</w:t>
            </w:r>
            <w:r>
              <w:rPr>
                <w:rFonts w:hint="eastAsia" w:ascii="Times New Roman" w:hAnsi="Times New Roman" w:eastAsia="宋体" w:cs="Times New Roman"/>
                <w:color w:val="auto"/>
                <w:spacing w:val="-5"/>
                <w:sz w:val="24"/>
                <w:szCs w:val="24"/>
                <w:highlight w:val="none"/>
                <w:lang w:val="en-US" w:eastAsia="zh-CN"/>
              </w:rPr>
              <w:t>0.018</w:t>
            </w:r>
            <w:r>
              <w:rPr>
                <w:rFonts w:hint="default" w:ascii="Times New Roman" w:hAnsi="Times New Roman" w:eastAsia="Times New Roman" w:cs="Times New Roman"/>
                <w:color w:val="auto"/>
                <w:spacing w:val="-5"/>
                <w:sz w:val="24"/>
                <w:szCs w:val="24"/>
                <w:highlight w:val="none"/>
              </w:rPr>
              <w:t>kg/h</w:t>
            </w:r>
            <w:r>
              <w:rPr>
                <w:rFonts w:hint="default" w:ascii="Times New Roman" w:hAnsi="Times New Roman" w:cs="Times New Roman"/>
                <w:color w:val="auto"/>
                <w:spacing w:val="-5"/>
                <w:sz w:val="24"/>
                <w:szCs w:val="24"/>
                <w:highlight w:val="none"/>
              </w:rPr>
              <w:t>），排放浓度</w:t>
            </w:r>
            <w:r>
              <w:rPr>
                <w:rFonts w:hint="eastAsia"/>
                <w:color w:val="auto"/>
                <w:sz w:val="24"/>
                <w:szCs w:val="24"/>
                <w:highlight w:val="none"/>
                <w:lang w:val="en-US" w:eastAsia="zh-CN"/>
              </w:rPr>
              <w:t>1.8</w:t>
            </w:r>
            <w:r>
              <w:rPr>
                <w:rFonts w:hint="default" w:ascii="Times New Roman" w:hAnsi="Times New Roman" w:eastAsia="Times New Roman" w:cs="Times New Roman"/>
                <w:color w:val="auto"/>
                <w:sz w:val="24"/>
                <w:szCs w:val="24"/>
                <w:highlight w:val="none"/>
              </w:rPr>
              <w:t>mg/m</w:t>
            </w:r>
            <w:r>
              <w:rPr>
                <w:rFonts w:hint="default" w:ascii="Times New Roman" w:hAnsi="Times New Roman" w:cs="Times New Roman"/>
                <w:color w:val="auto"/>
                <w:sz w:val="24"/>
                <w:szCs w:val="24"/>
                <w:highlight w:val="none"/>
                <w:vertAlign w:val="superscript"/>
                <w:lang w:val="en-US" w:eastAsia="zh-CN"/>
              </w:rPr>
              <w:t>3</w:t>
            </w:r>
            <w:r>
              <w:rPr>
                <w:rFonts w:hint="default"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eastAsia="zh-CN"/>
              </w:rPr>
              <w:t>有组织排放满足</w:t>
            </w:r>
            <w:r>
              <w:rPr>
                <w:rFonts w:hint="eastAsia"/>
                <w:color w:val="auto"/>
                <w:sz w:val="24"/>
                <w:szCs w:val="24"/>
                <w:highlight w:val="none"/>
                <w:lang w:val="en-US" w:eastAsia="zh-CN"/>
              </w:rPr>
              <w:t>《</w:t>
            </w:r>
            <w:r>
              <w:rPr>
                <w:color w:val="auto"/>
                <w:sz w:val="24"/>
                <w:szCs w:val="24"/>
                <w:highlight w:val="none"/>
              </w:rPr>
              <w:t>大气污染物</w:t>
            </w:r>
            <w:r>
              <w:rPr>
                <w:rFonts w:hint="eastAsia"/>
                <w:color w:val="auto"/>
                <w:sz w:val="24"/>
                <w:szCs w:val="24"/>
                <w:highlight w:val="none"/>
                <w:lang w:val="en-US" w:eastAsia="zh-CN"/>
              </w:rPr>
              <w:t>综合</w:t>
            </w:r>
            <w:r>
              <w:rPr>
                <w:color w:val="auto"/>
                <w:sz w:val="24"/>
                <w:szCs w:val="24"/>
                <w:highlight w:val="none"/>
              </w:rPr>
              <w:t>排放标准</w:t>
            </w:r>
            <w:r>
              <w:rPr>
                <w:rFonts w:hint="eastAsia"/>
                <w:color w:val="auto"/>
                <w:sz w:val="24"/>
                <w:szCs w:val="24"/>
                <w:highlight w:val="none"/>
                <w:lang w:eastAsia="zh-CN"/>
              </w:rPr>
              <w:t>》</w:t>
            </w:r>
            <w:r>
              <w:rPr>
                <w:rFonts w:hint="default"/>
                <w:color w:val="auto"/>
                <w:sz w:val="24"/>
                <w:szCs w:val="24"/>
                <w:highlight w:val="none"/>
              </w:rPr>
              <w:t>（GB16297-1996）</w:t>
            </w:r>
            <w:r>
              <w:rPr>
                <w:rFonts w:hint="eastAsia"/>
                <w:color w:val="auto"/>
                <w:sz w:val="24"/>
                <w:szCs w:val="24"/>
                <w:highlight w:val="none"/>
                <w:lang w:val="en-US" w:eastAsia="zh-CN"/>
              </w:rPr>
              <w:t>表2二级标准限值要求</w:t>
            </w:r>
            <w:r>
              <w:rPr>
                <w:rFonts w:hint="default"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eastAsia="zh-CN"/>
              </w:rPr>
              <w:t>15m高排气筒</w:t>
            </w:r>
            <w:r>
              <w:rPr>
                <w:rFonts w:hint="default" w:ascii="Times New Roman" w:hAnsi="Times New Roman" w:cs="Times New Roman"/>
                <w:color w:val="auto"/>
                <w:sz w:val="24"/>
                <w:szCs w:val="24"/>
                <w:highlight w:val="none"/>
              </w:rPr>
              <w:t>有组织</w:t>
            </w:r>
            <w:r>
              <w:rPr>
                <w:rFonts w:hint="eastAsia" w:ascii="Times New Roman" w:hAnsi="Times New Roman" w:cs="Times New Roman"/>
                <w:color w:val="auto"/>
                <w:sz w:val="24"/>
                <w:szCs w:val="24"/>
                <w:highlight w:val="none"/>
                <w:lang w:val="en-US" w:eastAsia="zh-CN"/>
              </w:rPr>
              <w:t>颗粒物体</w:t>
            </w:r>
            <w:r>
              <w:rPr>
                <w:rFonts w:hint="default" w:ascii="Times New Roman" w:hAnsi="Times New Roman" w:cs="Times New Roman"/>
                <w:color w:val="auto"/>
                <w:sz w:val="24"/>
                <w:szCs w:val="24"/>
                <w:highlight w:val="none"/>
              </w:rPr>
              <w:t>排放</w:t>
            </w:r>
            <w:r>
              <w:rPr>
                <w:rFonts w:hint="eastAsia" w:ascii="Times New Roman" w:hAnsi="Times New Roman" w:cs="Times New Roman"/>
                <w:color w:val="auto"/>
                <w:sz w:val="24"/>
                <w:szCs w:val="24"/>
                <w:highlight w:val="none"/>
                <w:lang w:val="en-US" w:eastAsia="zh-CN"/>
              </w:rPr>
              <w:t>速率≤3.5kg/h</w:t>
            </w:r>
            <w:r>
              <w:rPr>
                <w:rFonts w:hint="default" w:ascii="Times New Roman" w:hAnsi="Times New Roman" w:cs="Times New Roman"/>
                <w:color w:val="auto"/>
                <w:sz w:val="24"/>
                <w:szCs w:val="24"/>
                <w:highlight w:val="none"/>
              </w:rPr>
              <w:t>，排放浓度</w:t>
            </w:r>
            <w:r>
              <w:rPr>
                <w:rFonts w:hint="eastAsia"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rPr>
              <w:t>20mg/m</w:t>
            </w:r>
            <w:r>
              <w:rPr>
                <w:rFonts w:hint="default" w:ascii="Times New Roman" w:hAnsi="Times New Roman" w:cs="Times New Roman"/>
                <w:color w:val="auto"/>
                <w:sz w:val="24"/>
                <w:szCs w:val="24"/>
                <w:highlight w:val="none"/>
                <w:vertAlign w:val="superscript"/>
              </w:rPr>
              <w:t>3</w:t>
            </w:r>
            <w:r>
              <w:rPr>
                <w:rFonts w:hint="default"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eastAsia="zh-CN"/>
              </w:rPr>
              <w:t>。</w:t>
            </w:r>
          </w:p>
          <w:p>
            <w:pPr>
              <w:pStyle w:val="98"/>
              <w:numPr>
                <w:ilvl w:val="0"/>
                <w:numId w:val="3"/>
              </w:numPr>
              <w:ind w:left="0" w:leftChars="0"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无组织</w:t>
            </w:r>
          </w:p>
          <w:p>
            <w:pPr>
              <w:pStyle w:val="98"/>
              <w:ind w:firstLine="480"/>
              <w:rPr>
                <w:rFonts w:hint="default" w:ascii="Times New Roman" w:hAnsi="Times New Roman" w:eastAsia="宋体" w:cs="Times New Roman"/>
                <w:color w:val="auto"/>
                <w:spacing w:val="6"/>
                <w:highlight w:val="none"/>
              </w:rPr>
            </w:pPr>
            <w:r>
              <w:rPr>
                <w:rFonts w:hint="default" w:ascii="Times New Roman" w:hAnsi="Times New Roman" w:cs="Times New Roman"/>
                <w:color w:val="auto"/>
                <w:highlight w:val="none"/>
                <w:lang w:bidi="ar"/>
              </w:rPr>
              <w:t>无组织粉尘主要</w:t>
            </w:r>
            <w:r>
              <w:rPr>
                <w:rFonts w:hint="eastAsia" w:ascii="Times New Roman" w:hAnsi="Times New Roman" w:cs="Times New Roman"/>
                <w:color w:val="auto"/>
                <w:highlight w:val="none"/>
                <w:lang w:val="en-US" w:eastAsia="zh-CN" w:bidi="ar"/>
              </w:rPr>
              <w:t>来自</w:t>
            </w:r>
            <w:r>
              <w:rPr>
                <w:rFonts w:hint="default" w:ascii="Times New Roman" w:hAnsi="Times New Roman" w:cs="Times New Roman"/>
                <w:color w:val="auto"/>
                <w:highlight w:val="none"/>
                <w:lang w:bidi="ar"/>
              </w:rPr>
              <w:t>于</w:t>
            </w:r>
            <w:r>
              <w:rPr>
                <w:rFonts w:hint="eastAsia" w:ascii="Times New Roman" w:hAnsi="Times New Roman" w:cs="Times New Roman"/>
                <w:color w:val="auto"/>
                <w:highlight w:val="none"/>
                <w:lang w:val="en-US" w:eastAsia="zh-CN" w:bidi="ar"/>
              </w:rPr>
              <w:t>生产车间不严密的逸散粉尘、原料装卸扬尘、堆场起尘、运输产生的道路扬尘及输送带粉尘。</w:t>
            </w:r>
            <w:r>
              <w:rPr>
                <w:rFonts w:hint="default" w:ascii="Times New Roman" w:hAnsi="Times New Roman" w:cs="Times New Roman"/>
                <w:color w:val="auto"/>
                <w:spacing w:val="6"/>
                <w:highlight w:val="none"/>
              </w:rPr>
              <w:t>企业对无组织产生</w:t>
            </w:r>
            <w:r>
              <w:rPr>
                <w:rFonts w:hint="eastAsia" w:ascii="Times New Roman" w:hAnsi="Times New Roman" w:cs="Times New Roman"/>
                <w:color w:val="auto"/>
                <w:spacing w:val="6"/>
                <w:highlight w:val="none"/>
                <w:lang w:val="en-US" w:eastAsia="zh-CN"/>
              </w:rPr>
              <w:t>堆场</w:t>
            </w:r>
            <w:r>
              <w:rPr>
                <w:rFonts w:hint="eastAsia" w:ascii="Times New Roman" w:hAnsi="Times New Roman" w:eastAsia="宋体" w:cs="Times New Roman"/>
                <w:color w:val="auto"/>
                <w:spacing w:val="6"/>
                <w:highlight w:val="none"/>
                <w:lang w:val="en-US" w:eastAsia="zh-CN"/>
              </w:rPr>
              <w:t>采用苫布覆盖</w:t>
            </w:r>
            <w:r>
              <w:rPr>
                <w:rFonts w:hint="eastAsia" w:ascii="Times New Roman" w:hAnsi="Times New Roman" w:eastAsia="宋体" w:cs="Times New Roman"/>
                <w:bCs w:val="0"/>
                <w:color w:val="auto"/>
                <w:spacing w:val="6"/>
                <w:szCs w:val="24"/>
                <w:highlight w:val="none"/>
                <w:lang w:val="en-US" w:eastAsia="zh-CN"/>
              </w:rPr>
              <w:t>，</w:t>
            </w:r>
            <w:r>
              <w:rPr>
                <w:rFonts w:hint="eastAsia"/>
                <w:bCs/>
                <w:color w:val="auto"/>
                <w:szCs w:val="21"/>
                <w:highlight w:val="none"/>
                <w:lang w:val="en-US" w:eastAsia="zh-CN"/>
              </w:rPr>
              <w:t>苫布裙角固定措施，实现有效覆盖</w:t>
            </w:r>
            <w:r>
              <w:rPr>
                <w:rFonts w:hint="default" w:ascii="Times New Roman" w:hAnsi="Times New Roman" w:cs="Times New Roman"/>
                <w:color w:val="auto"/>
                <w:spacing w:val="6"/>
                <w:highlight w:val="none"/>
              </w:rPr>
              <w:t>，</w:t>
            </w:r>
            <w:r>
              <w:rPr>
                <w:rFonts w:hint="eastAsia" w:ascii="Times New Roman" w:hAnsi="Times New Roman" w:cs="Times New Roman"/>
                <w:color w:val="auto"/>
                <w:spacing w:val="6"/>
                <w:highlight w:val="none"/>
                <w:lang w:val="en-US" w:eastAsia="zh-CN"/>
              </w:rPr>
              <w:t>装卸等生产</w:t>
            </w:r>
            <w:r>
              <w:rPr>
                <w:rFonts w:hint="default" w:ascii="Times New Roman" w:hAnsi="Times New Roman" w:cs="Times New Roman"/>
                <w:color w:val="auto"/>
                <w:spacing w:val="6"/>
                <w:highlight w:val="none"/>
              </w:rPr>
              <w:t>工序配套水喷淋装置</w:t>
            </w:r>
            <w:r>
              <w:rPr>
                <w:rFonts w:hint="eastAsia" w:ascii="Times New Roman" w:hAnsi="Times New Roman" w:cs="Times New Roman"/>
                <w:color w:val="auto"/>
                <w:spacing w:val="6"/>
                <w:highlight w:val="none"/>
                <w:lang w:eastAsia="zh-CN"/>
              </w:rPr>
              <w:t>、</w:t>
            </w:r>
            <w:r>
              <w:rPr>
                <w:rFonts w:hint="default" w:ascii="Times New Roman" w:hAnsi="Times New Roman" w:cs="Times New Roman"/>
                <w:color w:val="auto"/>
                <w:spacing w:val="6"/>
                <w:highlight w:val="none"/>
              </w:rPr>
              <w:t>定期喷水，保持表层湿润</w:t>
            </w:r>
            <w:r>
              <w:rPr>
                <w:rFonts w:hint="eastAsia" w:ascii="Times New Roman" w:hAnsi="Times New Roman" w:cs="Times New Roman"/>
                <w:color w:val="auto"/>
                <w:spacing w:val="6"/>
                <w:highlight w:val="none"/>
                <w:lang w:eastAsia="zh-CN"/>
              </w:rPr>
              <w:t>，</w:t>
            </w:r>
            <w:r>
              <w:rPr>
                <w:rFonts w:hint="default" w:ascii="Times New Roman" w:hAnsi="Times New Roman" w:cs="Times New Roman"/>
                <w:color w:val="auto"/>
                <w:spacing w:val="6"/>
                <w:highlight w:val="none"/>
              </w:rPr>
              <w:t>采取此措施后，可将扬尘量减</w:t>
            </w:r>
            <w:r>
              <w:rPr>
                <w:rFonts w:hint="default" w:ascii="Times New Roman" w:hAnsi="Times New Roman" w:eastAsia="宋体" w:cs="Times New Roman"/>
                <w:color w:val="auto"/>
                <w:spacing w:val="6"/>
                <w:highlight w:val="none"/>
              </w:rPr>
              <w:t>少8</w:t>
            </w:r>
            <w:r>
              <w:rPr>
                <w:rFonts w:hint="eastAsia" w:ascii="Times New Roman" w:hAnsi="Times New Roman" w:eastAsia="宋体" w:cs="Times New Roman"/>
                <w:color w:val="auto"/>
                <w:spacing w:val="6"/>
                <w:highlight w:val="none"/>
                <w:lang w:val="en-US" w:eastAsia="zh-CN"/>
              </w:rPr>
              <w:t>0</w:t>
            </w:r>
            <w:r>
              <w:rPr>
                <w:rFonts w:hint="default" w:ascii="Times New Roman" w:hAnsi="Times New Roman" w:eastAsia="宋体" w:cs="Times New Roman"/>
                <w:color w:val="auto"/>
                <w:spacing w:val="6"/>
                <w:highlight w:val="none"/>
              </w:rPr>
              <w:t>%以上，处理后无组织粉尘</w:t>
            </w:r>
            <w:r>
              <w:rPr>
                <w:rFonts w:hint="eastAsia" w:ascii="Times New Roman" w:hAnsi="Times New Roman" w:eastAsia="宋体" w:cs="Times New Roman"/>
                <w:color w:val="auto"/>
                <w:spacing w:val="6"/>
                <w:highlight w:val="none"/>
                <w:lang w:val="en-US" w:eastAsia="zh-CN"/>
              </w:rPr>
              <w:t>排放量</w:t>
            </w:r>
            <w:r>
              <w:rPr>
                <w:rFonts w:hint="default" w:ascii="Times New Roman" w:hAnsi="Times New Roman" w:eastAsia="宋体" w:cs="Times New Roman"/>
                <w:color w:val="auto"/>
                <w:spacing w:val="6"/>
                <w:highlight w:val="none"/>
              </w:rPr>
              <w:t>为</w:t>
            </w:r>
            <w:r>
              <w:rPr>
                <w:rFonts w:hint="eastAsia" w:ascii="Times New Roman" w:hAnsi="Times New Roman" w:eastAsia="宋体" w:cs="Times New Roman"/>
                <w:color w:val="auto"/>
                <w:spacing w:val="6"/>
                <w:highlight w:val="none"/>
                <w:lang w:val="en-US" w:eastAsia="zh-CN"/>
              </w:rPr>
              <w:t>1.086</w:t>
            </w:r>
            <w:r>
              <w:rPr>
                <w:rFonts w:hint="default" w:ascii="Times New Roman" w:hAnsi="Times New Roman" w:eastAsia="宋体" w:cs="Times New Roman"/>
                <w:color w:val="auto"/>
                <w:spacing w:val="6"/>
                <w:highlight w:val="none"/>
              </w:rPr>
              <w:t>t/a，</w:t>
            </w:r>
            <w:r>
              <w:rPr>
                <w:rFonts w:hint="eastAsia" w:ascii="Times New Roman" w:hAnsi="Times New Roman" w:eastAsia="宋体" w:cs="Times New Roman"/>
                <w:color w:val="auto"/>
                <w:spacing w:val="6"/>
                <w:highlight w:val="none"/>
                <w:lang w:val="en-US" w:eastAsia="zh-CN"/>
              </w:rPr>
              <w:t>排放</w:t>
            </w:r>
            <w:r>
              <w:rPr>
                <w:rFonts w:hint="default" w:ascii="Times New Roman" w:hAnsi="Times New Roman" w:eastAsia="宋体" w:cs="Times New Roman"/>
                <w:color w:val="auto"/>
                <w:spacing w:val="6"/>
                <w:highlight w:val="none"/>
              </w:rPr>
              <w:t>速率为</w:t>
            </w:r>
            <w:r>
              <w:rPr>
                <w:rFonts w:hint="eastAsia" w:ascii="Times New Roman" w:hAnsi="Times New Roman" w:eastAsia="宋体" w:cs="Times New Roman"/>
                <w:color w:val="auto"/>
                <w:spacing w:val="6"/>
                <w:highlight w:val="none"/>
                <w:lang w:val="en-US" w:eastAsia="zh-CN"/>
              </w:rPr>
              <w:t>0.0.591</w:t>
            </w:r>
            <w:r>
              <w:rPr>
                <w:rFonts w:hint="default" w:ascii="Times New Roman" w:hAnsi="Times New Roman" w:eastAsia="宋体" w:cs="Times New Roman"/>
                <w:color w:val="auto"/>
                <w:spacing w:val="6"/>
                <w:highlight w:val="none"/>
              </w:rPr>
              <w:t>kg/h。</w:t>
            </w:r>
          </w:p>
          <w:p>
            <w:pPr>
              <w:pStyle w:val="98"/>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经上述分析，项目排放废气均能达标排放。本项目区大气环境质量良好，SO</w:t>
            </w:r>
            <w:r>
              <w:rPr>
                <w:rFonts w:hint="default" w:ascii="Times New Roman" w:hAnsi="Times New Roman" w:cs="Times New Roman"/>
                <w:color w:val="auto"/>
                <w:highlight w:val="none"/>
                <w:vertAlign w:val="subscript"/>
              </w:rPr>
              <w:t>2</w:t>
            </w:r>
            <w:r>
              <w:rPr>
                <w:rFonts w:hint="default" w:ascii="Times New Roman" w:hAnsi="Times New Roman" w:cs="Times New Roman"/>
                <w:color w:val="auto"/>
                <w:highlight w:val="none"/>
              </w:rPr>
              <w:t>、NO</w:t>
            </w:r>
            <w:r>
              <w:rPr>
                <w:rFonts w:hint="default" w:ascii="Times New Roman" w:hAnsi="Times New Roman" w:cs="Times New Roman"/>
                <w:color w:val="auto"/>
                <w:highlight w:val="none"/>
                <w:vertAlign w:val="subscript"/>
              </w:rPr>
              <w:t>2</w:t>
            </w:r>
            <w:r>
              <w:rPr>
                <w:rFonts w:hint="default" w:ascii="Times New Roman" w:hAnsi="Times New Roman" w:cs="Times New Roman"/>
                <w:color w:val="auto"/>
                <w:highlight w:val="none"/>
              </w:rPr>
              <w:t>、PM</w:t>
            </w:r>
            <w:r>
              <w:rPr>
                <w:rFonts w:hint="default" w:ascii="Times New Roman" w:hAnsi="Times New Roman" w:cs="Times New Roman"/>
                <w:color w:val="auto"/>
                <w:highlight w:val="none"/>
                <w:vertAlign w:val="subscript"/>
              </w:rPr>
              <w:t>10</w:t>
            </w:r>
            <w:r>
              <w:rPr>
                <w:rFonts w:hint="default" w:ascii="Times New Roman" w:hAnsi="Times New Roman" w:cs="Times New Roman"/>
                <w:color w:val="auto"/>
                <w:highlight w:val="none"/>
              </w:rPr>
              <w:t>、PM</w:t>
            </w:r>
            <w:r>
              <w:rPr>
                <w:rFonts w:hint="default" w:ascii="Times New Roman" w:hAnsi="Times New Roman" w:cs="Times New Roman"/>
                <w:color w:val="auto"/>
                <w:highlight w:val="none"/>
                <w:vertAlign w:val="subscript"/>
              </w:rPr>
              <w:t>2.5</w:t>
            </w:r>
            <w:r>
              <w:rPr>
                <w:rFonts w:hint="default" w:ascii="Times New Roman" w:hAnsi="Times New Roman" w:cs="Times New Roman"/>
                <w:color w:val="auto"/>
                <w:highlight w:val="none"/>
              </w:rPr>
              <w:t>、CO、O</w:t>
            </w:r>
            <w:r>
              <w:rPr>
                <w:rFonts w:hint="default" w:ascii="Times New Roman" w:hAnsi="Times New Roman" w:cs="Times New Roman"/>
                <w:color w:val="auto"/>
                <w:highlight w:val="none"/>
                <w:vertAlign w:val="subscript"/>
              </w:rPr>
              <w:t>3</w:t>
            </w:r>
            <w:r>
              <w:rPr>
                <w:rFonts w:hint="default" w:ascii="Times New Roman" w:hAnsi="Times New Roman" w:cs="Times New Roman"/>
                <w:color w:val="auto"/>
                <w:highlight w:val="none"/>
              </w:rPr>
              <w:t>、TSP等污染物符合《环境空气质量标准》(GB3095-2012)中的二级标准要求</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因此本项目建设对大气环境影响较小。</w:t>
            </w:r>
          </w:p>
          <w:p>
            <w:pPr>
              <w:pStyle w:val="96"/>
              <w:rPr>
                <w:color w:val="auto"/>
                <w:highlight w:val="none"/>
              </w:rPr>
            </w:pPr>
            <w:r>
              <w:rPr>
                <w:color w:val="auto"/>
                <w:highlight w:val="none"/>
              </w:rPr>
              <w:t>1.3废气污染治理措施及可行性</w:t>
            </w:r>
          </w:p>
          <w:p>
            <w:pPr>
              <w:pStyle w:val="98"/>
              <w:ind w:firstLine="480"/>
              <w:rPr>
                <w:color w:val="auto"/>
                <w:highlight w:val="none"/>
              </w:rPr>
            </w:pPr>
            <w:r>
              <w:rPr>
                <w:color w:val="auto"/>
                <w:highlight w:val="none"/>
              </w:rPr>
              <w:t>本项目采取的废气污染防治措施见下表：</w:t>
            </w:r>
          </w:p>
          <w:p>
            <w:pPr>
              <w:pStyle w:val="57"/>
              <w:rPr>
                <w:color w:val="auto"/>
                <w:highlight w:val="none"/>
              </w:rPr>
            </w:pPr>
            <w:r>
              <w:rPr>
                <w:color w:val="auto"/>
                <w:highlight w:val="none"/>
              </w:rPr>
              <w:t>废气污染防治措施一览表</w:t>
            </w:r>
          </w:p>
          <w:tbl>
            <w:tblPr>
              <w:tblStyle w:val="25"/>
              <w:tblW w:w="0" w:type="auto"/>
              <w:jc w:val="center"/>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2019"/>
              <w:gridCol w:w="1479"/>
              <w:gridCol w:w="962"/>
              <w:gridCol w:w="2604"/>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231"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r>
                    <w:rPr>
                      <w:b w:val="0"/>
                      <w:bCs/>
                      <w:color w:val="auto"/>
                      <w:sz w:val="21"/>
                      <w:szCs w:val="21"/>
                      <w:highlight w:val="none"/>
                    </w:rPr>
                    <w:t>排放形式</w:t>
                  </w:r>
                </w:p>
              </w:tc>
              <w:tc>
                <w:tcPr>
                  <w:tcW w:w="2019"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r>
                    <w:rPr>
                      <w:b w:val="0"/>
                      <w:bCs/>
                      <w:color w:val="auto"/>
                      <w:sz w:val="21"/>
                      <w:szCs w:val="21"/>
                      <w:highlight w:val="none"/>
                    </w:rPr>
                    <w:t>工序</w:t>
                  </w:r>
                </w:p>
              </w:tc>
              <w:tc>
                <w:tcPr>
                  <w:tcW w:w="1479"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r>
                    <w:rPr>
                      <w:b w:val="0"/>
                      <w:bCs/>
                      <w:color w:val="auto"/>
                      <w:sz w:val="21"/>
                      <w:szCs w:val="21"/>
                      <w:highlight w:val="none"/>
                    </w:rPr>
                    <w:t>污染源</w:t>
                  </w:r>
                </w:p>
              </w:tc>
              <w:tc>
                <w:tcPr>
                  <w:tcW w:w="962"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r>
                    <w:rPr>
                      <w:b w:val="0"/>
                      <w:bCs/>
                      <w:color w:val="auto"/>
                      <w:sz w:val="21"/>
                      <w:szCs w:val="21"/>
                      <w:highlight w:val="none"/>
                    </w:rPr>
                    <w:t>污染物</w:t>
                  </w:r>
                </w:p>
              </w:tc>
              <w:tc>
                <w:tcPr>
                  <w:tcW w:w="2604"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b w:val="0"/>
                      <w:bCs/>
                      <w:color w:val="auto"/>
                      <w:sz w:val="21"/>
                      <w:szCs w:val="21"/>
                      <w:highlight w:val="none"/>
                      <w:lang w:val="en-US" w:eastAsia="zh-CN"/>
                    </w:rPr>
                  </w:pPr>
                  <w:r>
                    <w:rPr>
                      <w:rFonts w:hint="eastAsia"/>
                      <w:b w:val="0"/>
                      <w:bCs/>
                      <w:color w:val="auto"/>
                      <w:sz w:val="21"/>
                      <w:szCs w:val="21"/>
                      <w:highlight w:val="none"/>
                      <w:lang w:val="en-US" w:eastAsia="zh-CN"/>
                    </w:rPr>
                    <w:t>防治措施</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1"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Calibri" w:hAnsi="Calibri" w:eastAsia="宋体" w:cs="宋体"/>
                      <w:b w:val="0"/>
                      <w:bCs/>
                      <w:snapToGrid w:val="0"/>
                      <w:color w:val="auto"/>
                      <w:spacing w:val="4"/>
                      <w:kern w:val="0"/>
                      <w:sz w:val="21"/>
                      <w:szCs w:val="21"/>
                      <w:highlight w:val="none"/>
                      <w:lang w:val="en-US" w:eastAsia="zh-CN" w:bidi="ar-SA"/>
                    </w:rPr>
                  </w:pPr>
                  <w:r>
                    <w:rPr>
                      <w:rFonts w:hint="eastAsia" w:ascii="Times New Roman" w:hAnsi="Times New Roman" w:cs="Times New Roman"/>
                      <w:snapToGrid w:val="0"/>
                      <w:color w:val="auto"/>
                      <w:spacing w:val="4"/>
                      <w:kern w:val="0"/>
                      <w:sz w:val="21"/>
                      <w:szCs w:val="21"/>
                      <w:highlight w:val="none"/>
                      <w:vertAlign w:val="baseline"/>
                      <w:lang w:val="en-US" w:eastAsia="zh-CN" w:bidi="ar-SA"/>
                    </w:rPr>
                    <w:t>有组织</w:t>
                  </w:r>
                </w:p>
              </w:tc>
              <w:tc>
                <w:tcPr>
                  <w:tcW w:w="2019"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Calibri" w:hAnsi="Calibri" w:eastAsia="宋体" w:cs="宋体"/>
                      <w:b w:val="0"/>
                      <w:bCs/>
                      <w:snapToGrid w:val="0"/>
                      <w:color w:val="auto"/>
                      <w:spacing w:val="4"/>
                      <w:kern w:val="0"/>
                      <w:sz w:val="21"/>
                      <w:szCs w:val="21"/>
                      <w:highlight w:val="none"/>
                      <w:lang w:val="en-US" w:eastAsia="zh-CN" w:bidi="ar-SA"/>
                    </w:rPr>
                  </w:pPr>
                  <w:r>
                    <w:rPr>
                      <w:rFonts w:hint="eastAsia" w:ascii="Times New Roman" w:hAnsi="Times New Roman" w:cs="Times New Roman"/>
                      <w:color w:val="auto"/>
                      <w:sz w:val="21"/>
                      <w:szCs w:val="21"/>
                      <w:highlight w:val="none"/>
                      <w:vertAlign w:val="baseline"/>
                      <w:lang w:val="en-US" w:eastAsia="zh-CN"/>
                    </w:rPr>
                    <w:t>破碎、喂料、整形、筛分</w:t>
                  </w:r>
                </w:p>
              </w:tc>
              <w:tc>
                <w:tcPr>
                  <w:tcW w:w="1479"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Calibri" w:hAnsi="Calibri" w:eastAsia="宋体" w:cs="宋体"/>
                      <w:b w:val="0"/>
                      <w:bCs/>
                      <w:snapToGrid w:val="0"/>
                      <w:color w:val="auto"/>
                      <w:spacing w:val="4"/>
                      <w:kern w:val="0"/>
                      <w:sz w:val="21"/>
                      <w:szCs w:val="21"/>
                      <w:highlight w:val="none"/>
                      <w:lang w:val="en-US" w:eastAsia="zh-CN" w:bidi="ar-SA"/>
                    </w:rPr>
                  </w:pPr>
                  <w:r>
                    <w:rPr>
                      <w:rFonts w:hint="eastAsia" w:ascii="Times New Roman" w:hAnsi="Times New Roman" w:cs="Times New Roman"/>
                      <w:color w:val="auto"/>
                      <w:sz w:val="21"/>
                      <w:szCs w:val="21"/>
                      <w:highlight w:val="none"/>
                      <w:vertAlign w:val="baseline"/>
                      <w:lang w:val="en-US" w:eastAsia="zh-CN"/>
                    </w:rPr>
                    <w:t>生产车间</w:t>
                  </w:r>
                </w:p>
              </w:tc>
              <w:tc>
                <w:tcPr>
                  <w:tcW w:w="962"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Calibri" w:hAnsi="Calibri" w:eastAsia="宋体" w:cs="宋体"/>
                      <w:b w:val="0"/>
                      <w:bCs/>
                      <w:snapToGrid w:val="0"/>
                      <w:color w:val="auto"/>
                      <w:spacing w:val="4"/>
                      <w:kern w:val="0"/>
                      <w:sz w:val="21"/>
                      <w:szCs w:val="21"/>
                      <w:highlight w:val="none"/>
                      <w:lang w:val="en-US" w:eastAsia="zh-CN" w:bidi="ar-SA"/>
                    </w:rPr>
                  </w:pPr>
                  <w:r>
                    <w:rPr>
                      <w:rFonts w:hint="eastAsia" w:ascii="Times New Roman" w:hAnsi="Times New Roman" w:cs="Times New Roman"/>
                      <w:snapToGrid w:val="0"/>
                      <w:color w:val="auto"/>
                      <w:spacing w:val="4"/>
                      <w:kern w:val="0"/>
                      <w:sz w:val="21"/>
                      <w:szCs w:val="21"/>
                      <w:highlight w:val="none"/>
                      <w:vertAlign w:val="baseline"/>
                      <w:lang w:val="en-US" w:eastAsia="zh-CN" w:bidi="ar-SA"/>
                    </w:rPr>
                    <w:t>颗粒物</w:t>
                  </w:r>
                </w:p>
              </w:tc>
              <w:tc>
                <w:tcPr>
                  <w:tcW w:w="2604"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ascii="Calibri" w:hAnsi="Calibri" w:eastAsia="宋体" w:cs="宋体"/>
                      <w:b w:val="0"/>
                      <w:bCs/>
                      <w:snapToGrid w:val="0"/>
                      <w:color w:val="auto"/>
                      <w:spacing w:val="4"/>
                      <w:kern w:val="0"/>
                      <w:sz w:val="21"/>
                      <w:szCs w:val="21"/>
                      <w:highlight w:val="none"/>
                      <w:lang w:val="en-US" w:eastAsia="zh-CN" w:bidi="ar-SA"/>
                    </w:rPr>
                  </w:pPr>
                  <w:r>
                    <w:rPr>
                      <w:rFonts w:hint="eastAsia" w:ascii="Times New Roman" w:hAnsi="Times New Roman" w:cs="Times New Roman"/>
                      <w:snapToGrid w:val="0"/>
                      <w:color w:val="auto"/>
                      <w:spacing w:val="4"/>
                      <w:kern w:val="0"/>
                      <w:sz w:val="21"/>
                      <w:szCs w:val="21"/>
                      <w:highlight w:val="none"/>
                      <w:vertAlign w:val="baseline"/>
                      <w:lang w:val="en-US" w:eastAsia="zh-CN" w:bidi="ar-SA"/>
                    </w:rPr>
                    <w:t>设置密闭作业空间，顶部设施集气装置，收集率为90%，废气经过袋式除尘器处理后通过15m高排气筒高空排放。</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231" w:type="dxa"/>
                  <w:vMerge w:val="restart"/>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r>
                    <w:rPr>
                      <w:b w:val="0"/>
                      <w:bCs/>
                      <w:color w:val="auto"/>
                      <w:sz w:val="21"/>
                      <w:szCs w:val="21"/>
                      <w:highlight w:val="none"/>
                    </w:rPr>
                    <w:t>无组织</w:t>
                  </w:r>
                </w:p>
              </w:tc>
              <w:tc>
                <w:tcPr>
                  <w:tcW w:w="2019"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r>
                    <w:rPr>
                      <w:rFonts w:hint="eastAsia"/>
                      <w:b w:val="0"/>
                      <w:bCs/>
                      <w:color w:val="auto"/>
                      <w:sz w:val="21"/>
                      <w:szCs w:val="21"/>
                      <w:highlight w:val="none"/>
                      <w:lang w:val="en-US" w:eastAsia="zh-CN"/>
                    </w:rPr>
                    <w:t>生产过程</w:t>
                  </w:r>
                </w:p>
              </w:tc>
              <w:tc>
                <w:tcPr>
                  <w:tcW w:w="1479"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r>
                    <w:rPr>
                      <w:b w:val="0"/>
                      <w:bCs/>
                      <w:color w:val="auto"/>
                      <w:sz w:val="21"/>
                      <w:szCs w:val="21"/>
                      <w:highlight w:val="none"/>
                    </w:rPr>
                    <w:t>生产车间</w:t>
                  </w:r>
                </w:p>
              </w:tc>
              <w:tc>
                <w:tcPr>
                  <w:tcW w:w="962"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r>
                    <w:rPr>
                      <w:b w:val="0"/>
                      <w:bCs/>
                      <w:color w:val="auto"/>
                      <w:sz w:val="21"/>
                      <w:szCs w:val="21"/>
                      <w:highlight w:val="none"/>
                    </w:rPr>
                    <w:t>颗粒物</w:t>
                  </w:r>
                </w:p>
              </w:tc>
              <w:tc>
                <w:tcPr>
                  <w:tcW w:w="2604"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r>
                    <w:rPr>
                      <w:b w:val="0"/>
                      <w:bCs/>
                      <w:color w:val="auto"/>
                      <w:sz w:val="21"/>
                      <w:szCs w:val="21"/>
                      <w:highlight w:val="none"/>
                    </w:rPr>
                    <w:t>封闭性厂房、自然沉降车间阻隔，车间四周</w:t>
                  </w:r>
                  <w:r>
                    <w:rPr>
                      <w:b w:val="0"/>
                      <w:bCs/>
                      <w:color w:val="auto"/>
                      <w:sz w:val="21"/>
                      <w:szCs w:val="21"/>
                      <w:highlight w:val="none"/>
                      <w:lang w:val="zh-CN"/>
                    </w:rPr>
                    <w:t>水喷雾装置</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231" w:type="dxa"/>
                  <w:vMerge w:val="continue"/>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p>
              </w:tc>
              <w:tc>
                <w:tcPr>
                  <w:tcW w:w="2019" w:type="dxa"/>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输送带输送</w:t>
                  </w:r>
                </w:p>
              </w:tc>
              <w:tc>
                <w:tcPr>
                  <w:tcW w:w="14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napToGrid w:val="0"/>
                      <w:color w:val="auto"/>
                      <w:kern w:val="0"/>
                      <w:sz w:val="21"/>
                      <w:szCs w:val="21"/>
                      <w:highlight w:val="none"/>
                      <w:lang w:val="en-US" w:eastAsia="zh-CN" w:bidi="zh-CN"/>
                    </w:rPr>
                  </w:pPr>
                  <w:r>
                    <w:rPr>
                      <w:rFonts w:hint="eastAsia" w:ascii="Times New Roman" w:hAnsi="Times New Roman" w:eastAsia="宋体" w:cs="Times New Roman"/>
                      <w:snapToGrid w:val="0"/>
                      <w:color w:val="auto"/>
                      <w:kern w:val="0"/>
                      <w:sz w:val="21"/>
                      <w:szCs w:val="21"/>
                      <w:highlight w:val="none"/>
                      <w:lang w:val="en-US" w:eastAsia="zh-CN" w:bidi="zh-CN"/>
                    </w:rPr>
                    <w:t>输送带</w:t>
                  </w:r>
                  <w:r>
                    <w:rPr>
                      <w:rFonts w:hint="eastAsia" w:ascii="Times New Roman" w:hAnsi="Times New Roman" w:eastAsia="宋体" w:cs="Times New Roman"/>
                      <w:color w:val="auto"/>
                      <w:sz w:val="21"/>
                      <w:szCs w:val="21"/>
                      <w:highlight w:val="none"/>
                      <w:lang w:val="en-US" w:eastAsia="zh-CN"/>
                    </w:rPr>
                    <w:t>扬尘</w:t>
                  </w:r>
                </w:p>
              </w:tc>
              <w:tc>
                <w:tcPr>
                  <w:tcW w:w="9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r>
                    <w:rPr>
                      <w:b w:val="0"/>
                      <w:bCs/>
                      <w:color w:val="auto"/>
                      <w:sz w:val="21"/>
                      <w:szCs w:val="21"/>
                      <w:highlight w:val="none"/>
                    </w:rPr>
                    <w:t>颗粒物</w:t>
                  </w:r>
                </w:p>
              </w:tc>
              <w:tc>
                <w:tcPr>
                  <w:tcW w:w="2604" w:type="dxa"/>
                  <w:noWrap w:val="0"/>
                  <w:vAlign w:val="center"/>
                </w:tcPr>
                <w:p>
                  <w:pPr>
                    <w:pStyle w:val="9"/>
                    <w:jc w:val="center"/>
                    <w:rPr>
                      <w:b w:val="0"/>
                      <w:bCs/>
                      <w:color w:val="auto"/>
                      <w:sz w:val="21"/>
                      <w:szCs w:val="21"/>
                      <w:highlight w:val="none"/>
                    </w:rPr>
                  </w:pPr>
                  <w:r>
                    <w:rPr>
                      <w:rFonts w:hint="eastAsia"/>
                      <w:color w:val="auto"/>
                      <w:sz w:val="21"/>
                      <w:szCs w:val="21"/>
                      <w:highlight w:val="none"/>
                      <w:lang w:val="en-US" w:eastAsia="zh-CN"/>
                    </w:rPr>
                    <w:t>输送带</w:t>
                  </w:r>
                  <w:r>
                    <w:rPr>
                      <w:rFonts w:hint="eastAsia" w:ascii="Times New Roman" w:hAnsi="Times New Roman" w:cs="Times New Roman"/>
                      <w:snapToGrid w:val="0"/>
                      <w:color w:val="auto"/>
                      <w:spacing w:val="4"/>
                      <w:kern w:val="0"/>
                      <w:sz w:val="21"/>
                      <w:szCs w:val="21"/>
                      <w:vertAlign w:val="baseline"/>
                      <w:lang w:val="en-US" w:eastAsia="zh-CN" w:bidi="ar-SA"/>
                    </w:rPr>
                    <w:t>加盖密闭，</w:t>
                  </w:r>
                  <w:r>
                    <w:rPr>
                      <w:rFonts w:hint="eastAsia"/>
                      <w:color w:val="auto"/>
                      <w:sz w:val="21"/>
                      <w:szCs w:val="21"/>
                      <w:highlight w:val="none"/>
                      <w:lang w:val="en-US" w:eastAsia="zh-CN"/>
                    </w:rPr>
                    <w:t>落料点配备除尘设施</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231" w:type="dxa"/>
                  <w:vMerge w:val="continue"/>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p>
              </w:tc>
              <w:tc>
                <w:tcPr>
                  <w:tcW w:w="2019"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r>
                    <w:rPr>
                      <w:rFonts w:hint="eastAsia" w:ascii="Times New Roman" w:hAnsi="Times New Roman" w:cs="Times New Roman"/>
                      <w:color w:val="auto"/>
                      <w:sz w:val="21"/>
                      <w:szCs w:val="21"/>
                      <w:highlight w:val="none"/>
                      <w:vertAlign w:val="baseline"/>
                      <w:lang w:val="en-US" w:eastAsia="zh-CN"/>
                    </w:rPr>
                    <w:t>运输装卸过程</w:t>
                  </w:r>
                </w:p>
              </w:tc>
              <w:tc>
                <w:tcPr>
                  <w:tcW w:w="1479"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spacing w:val="4"/>
                      <w:kern w:val="0"/>
                      <w:sz w:val="21"/>
                      <w:szCs w:val="21"/>
                      <w:highlight w:val="none"/>
                      <w:lang w:val="en-US" w:eastAsia="zh-CN" w:bidi="ar-SA"/>
                    </w:rPr>
                  </w:pPr>
                  <w:r>
                    <w:rPr>
                      <w:rFonts w:hint="eastAsia" w:ascii="Times New Roman" w:hAnsi="Times New Roman" w:cs="Times New Roman"/>
                      <w:color w:val="auto"/>
                      <w:sz w:val="21"/>
                      <w:szCs w:val="21"/>
                      <w:highlight w:val="none"/>
                      <w:vertAlign w:val="baseline"/>
                      <w:lang w:val="en-US" w:eastAsia="zh-CN"/>
                    </w:rPr>
                    <w:t>运输装卸扬尘</w:t>
                  </w:r>
                </w:p>
              </w:tc>
              <w:tc>
                <w:tcPr>
                  <w:tcW w:w="962"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spacing w:val="4"/>
                      <w:kern w:val="0"/>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颗粒物</w:t>
                  </w:r>
                </w:p>
              </w:tc>
              <w:tc>
                <w:tcPr>
                  <w:tcW w:w="2604"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r>
                    <w:rPr>
                      <w:rFonts w:hint="eastAsia" w:ascii="Times New Roman" w:hAnsi="Times New Roman" w:cs="Times New Roman"/>
                      <w:b w:val="0"/>
                      <w:bCs/>
                      <w:snapToGrid w:val="0"/>
                      <w:color w:val="auto"/>
                      <w:spacing w:val="4"/>
                      <w:kern w:val="0"/>
                      <w:sz w:val="21"/>
                      <w:szCs w:val="21"/>
                      <w:highlight w:val="none"/>
                      <w:vertAlign w:val="baseline"/>
                      <w:lang w:val="en-US" w:eastAsia="zh-CN" w:bidi="ar-SA"/>
                    </w:rPr>
                    <w:t>定期洒水降尘</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231" w:type="dxa"/>
                  <w:vMerge w:val="continue"/>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p>
              </w:tc>
              <w:tc>
                <w:tcPr>
                  <w:tcW w:w="2019"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b w:val="0"/>
                      <w:bCs/>
                      <w:color w:val="auto"/>
                      <w:sz w:val="21"/>
                      <w:szCs w:val="21"/>
                      <w:highlight w:val="none"/>
                      <w:lang w:val="en-US"/>
                    </w:rPr>
                  </w:pPr>
                  <w:r>
                    <w:rPr>
                      <w:rFonts w:hint="eastAsia"/>
                      <w:b w:val="0"/>
                      <w:bCs/>
                      <w:color w:val="auto"/>
                      <w:sz w:val="21"/>
                      <w:szCs w:val="21"/>
                      <w:highlight w:val="none"/>
                      <w:lang w:val="en-US" w:eastAsia="zh-CN"/>
                    </w:rPr>
                    <w:t>堆场</w:t>
                  </w:r>
                </w:p>
              </w:tc>
              <w:tc>
                <w:tcPr>
                  <w:tcW w:w="1479"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r>
                    <w:rPr>
                      <w:b w:val="0"/>
                      <w:bCs/>
                      <w:color w:val="auto"/>
                      <w:sz w:val="21"/>
                      <w:szCs w:val="21"/>
                      <w:highlight w:val="none"/>
                    </w:rPr>
                    <w:t>堆场</w:t>
                  </w:r>
                  <w:r>
                    <w:rPr>
                      <w:rFonts w:hint="eastAsia"/>
                      <w:b w:val="0"/>
                      <w:bCs/>
                      <w:color w:val="auto"/>
                      <w:sz w:val="21"/>
                      <w:szCs w:val="21"/>
                      <w:highlight w:val="none"/>
                      <w:lang w:val="en-US" w:eastAsia="zh-CN"/>
                    </w:rPr>
                    <w:t>粉尘</w:t>
                  </w:r>
                </w:p>
              </w:tc>
              <w:tc>
                <w:tcPr>
                  <w:tcW w:w="962"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r>
                    <w:rPr>
                      <w:b w:val="0"/>
                      <w:bCs/>
                      <w:color w:val="auto"/>
                      <w:sz w:val="21"/>
                      <w:szCs w:val="21"/>
                      <w:highlight w:val="none"/>
                    </w:rPr>
                    <w:t>颗粒物</w:t>
                  </w:r>
                </w:p>
              </w:tc>
              <w:tc>
                <w:tcPr>
                  <w:tcW w:w="2604"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r>
                    <w:rPr>
                      <w:rFonts w:hint="eastAsia" w:ascii="Times New Roman" w:hAnsi="Times New Roman" w:eastAsia="宋体" w:cs="Times New Roman"/>
                      <w:b w:val="0"/>
                      <w:bCs/>
                      <w:color w:val="auto"/>
                      <w:kern w:val="2"/>
                      <w:sz w:val="21"/>
                      <w:szCs w:val="21"/>
                      <w:highlight w:val="none"/>
                      <w:lang w:val="en-US" w:eastAsia="zh-CN" w:bidi="zh-CN"/>
                    </w:rPr>
                    <w:t>采用苫布覆盖</w:t>
                  </w:r>
                  <w:r>
                    <w:rPr>
                      <w:rFonts w:hint="eastAsia" w:ascii="Times New Roman" w:hAnsi="Times New Roman" w:eastAsia="宋体" w:cs="Times New Roman"/>
                      <w:b w:val="0"/>
                      <w:bCs/>
                      <w:color w:val="auto"/>
                      <w:sz w:val="21"/>
                      <w:szCs w:val="21"/>
                      <w:highlight w:val="none"/>
                      <w:lang w:val="en-US" w:eastAsia="zh-CN" w:bidi="zh-CN"/>
                    </w:rPr>
                    <w:t>，苫布裙角固定措施，实现有效覆盖</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231" w:type="dxa"/>
                  <w:vMerge w:val="continue"/>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p>
              </w:tc>
              <w:tc>
                <w:tcPr>
                  <w:tcW w:w="2019"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b w:val="0"/>
                      <w:bCs/>
                      <w:color w:val="auto"/>
                      <w:sz w:val="21"/>
                      <w:szCs w:val="21"/>
                      <w:highlight w:val="none"/>
                      <w:lang w:val="en-US" w:eastAsia="zh-CN"/>
                    </w:rPr>
                  </w:pPr>
                  <w:r>
                    <w:rPr>
                      <w:rFonts w:hint="eastAsia"/>
                      <w:b w:val="0"/>
                      <w:bCs/>
                      <w:color w:val="auto"/>
                      <w:sz w:val="21"/>
                      <w:szCs w:val="21"/>
                      <w:highlight w:val="none"/>
                      <w:lang w:val="en-US" w:eastAsia="zh-CN"/>
                    </w:rPr>
                    <w:t>车辆进出厂</w:t>
                  </w:r>
                </w:p>
              </w:tc>
              <w:tc>
                <w:tcPr>
                  <w:tcW w:w="1479" w:type="dxa"/>
                  <w:noWrap w:val="0"/>
                  <w:vAlign w:val="center"/>
                </w:tcPr>
                <w:p>
                  <w:pPr>
                    <w:pStyle w:val="9"/>
                    <w:jc w:val="center"/>
                    <w:rPr>
                      <w:b w:val="0"/>
                      <w:bCs/>
                      <w:color w:val="auto"/>
                      <w:sz w:val="21"/>
                      <w:szCs w:val="21"/>
                      <w:highlight w:val="none"/>
                    </w:rPr>
                  </w:pPr>
                  <w:r>
                    <w:rPr>
                      <w:rFonts w:hint="eastAsia"/>
                      <w:color w:val="auto"/>
                      <w:sz w:val="21"/>
                      <w:szCs w:val="16"/>
                      <w:lang w:val="en-US" w:eastAsia="zh-CN"/>
                    </w:rPr>
                    <w:t>道路扬尘</w:t>
                  </w:r>
                </w:p>
              </w:tc>
              <w:tc>
                <w:tcPr>
                  <w:tcW w:w="962"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b w:val="0"/>
                      <w:bCs/>
                      <w:color w:val="auto"/>
                      <w:sz w:val="21"/>
                      <w:szCs w:val="21"/>
                      <w:highlight w:val="none"/>
                    </w:rPr>
                  </w:pPr>
                  <w:r>
                    <w:rPr>
                      <w:b w:val="0"/>
                      <w:bCs/>
                      <w:color w:val="auto"/>
                      <w:sz w:val="21"/>
                      <w:szCs w:val="21"/>
                      <w:highlight w:val="none"/>
                    </w:rPr>
                    <w:t>颗粒物</w:t>
                  </w:r>
                </w:p>
              </w:tc>
              <w:tc>
                <w:tcPr>
                  <w:tcW w:w="2604" w:type="dxa"/>
                  <w:noWrap w:val="0"/>
                  <w:vAlign w:val="center"/>
                </w:tcPr>
                <w:p>
                  <w:pPr>
                    <w:pStyle w:val="5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val="0"/>
                      <w:bCs/>
                      <w:color w:val="auto"/>
                      <w:kern w:val="2"/>
                      <w:sz w:val="21"/>
                      <w:szCs w:val="21"/>
                      <w:highlight w:val="none"/>
                      <w:lang w:val="en-US" w:eastAsia="zh-CN" w:bidi="zh-CN"/>
                    </w:rPr>
                  </w:pPr>
                  <w:r>
                    <w:rPr>
                      <w:rFonts w:hint="eastAsia"/>
                      <w:b w:val="0"/>
                      <w:bCs/>
                      <w:color w:val="auto"/>
                      <w:sz w:val="21"/>
                      <w:szCs w:val="21"/>
                      <w:lang w:val="en-US" w:eastAsia="zh-CN"/>
                    </w:rPr>
                    <w:t>道路硬化，</w:t>
                  </w:r>
                  <w:r>
                    <w:rPr>
                      <w:b w:val="0"/>
                      <w:bCs/>
                      <w:color w:val="auto"/>
                      <w:sz w:val="21"/>
                      <w:szCs w:val="21"/>
                    </w:rPr>
                    <w:t>洒水降尘</w:t>
                  </w:r>
                  <w:r>
                    <w:rPr>
                      <w:rFonts w:hint="eastAsia"/>
                      <w:b w:val="0"/>
                      <w:bCs/>
                      <w:color w:val="auto"/>
                      <w:sz w:val="21"/>
                      <w:szCs w:val="21"/>
                      <w:lang w:eastAsia="zh-CN"/>
                    </w:rPr>
                    <w:t>，</w:t>
                  </w:r>
                  <w:r>
                    <w:rPr>
                      <w:rFonts w:hint="default" w:ascii="Times New Roman" w:hAnsi="Times New Roman" w:eastAsia="宋体" w:cs="Times New Roman"/>
                      <w:b w:val="0"/>
                      <w:bCs/>
                      <w:color w:val="auto"/>
                      <w:sz w:val="21"/>
                      <w:szCs w:val="21"/>
                      <w:highlight w:val="none"/>
                      <w:lang w:val="en-US" w:eastAsia="zh-CN"/>
                    </w:rPr>
                    <w:t>车辆进出口设置</w:t>
                  </w:r>
                  <w:r>
                    <w:rPr>
                      <w:rFonts w:hint="eastAsia" w:ascii="Times New Roman" w:hAnsi="Times New Roman" w:eastAsia="宋体" w:cs="Times New Roman"/>
                      <w:b w:val="0"/>
                      <w:bCs/>
                      <w:color w:val="auto"/>
                      <w:sz w:val="21"/>
                      <w:szCs w:val="21"/>
                      <w:highlight w:val="none"/>
                      <w:lang w:val="en-US" w:eastAsia="zh-CN"/>
                    </w:rPr>
                    <w:t>洗车池</w:t>
                  </w:r>
                </w:p>
              </w:tc>
            </w:tr>
          </w:tbl>
          <w:p>
            <w:pPr>
              <w:pStyle w:val="99"/>
              <w:ind w:firstLine="440"/>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b w:val="0"/>
                <w:bCs/>
                <w:color w:val="auto"/>
                <w:sz w:val="24"/>
                <w:szCs w:val="24"/>
                <w:highlight w:val="none"/>
                <w:lang w:val="en-US" w:eastAsia="zh-CN"/>
              </w:rPr>
              <w:t>本项目营运后投料粉尘，破碎、筛分</w:t>
            </w:r>
            <w:r>
              <w:rPr>
                <w:rFonts w:hint="eastAsia" w:ascii="Times New Roman" w:hAnsi="Times New Roman" w:eastAsia="宋体" w:cs="Times New Roman"/>
                <w:b w:val="0"/>
                <w:bCs/>
                <w:color w:val="auto"/>
                <w:sz w:val="24"/>
                <w:szCs w:val="24"/>
                <w:highlight w:val="none"/>
                <w:lang w:val="en-US" w:eastAsia="zh-CN"/>
              </w:rPr>
              <w:t>等</w:t>
            </w:r>
            <w:r>
              <w:rPr>
                <w:rFonts w:hint="default" w:ascii="Times New Roman" w:hAnsi="Times New Roman" w:eastAsia="宋体" w:cs="Times New Roman"/>
                <w:b w:val="0"/>
                <w:bCs/>
                <w:color w:val="auto"/>
                <w:sz w:val="24"/>
                <w:szCs w:val="24"/>
                <w:highlight w:val="none"/>
                <w:lang w:val="en-US" w:eastAsia="zh-CN"/>
              </w:rPr>
              <w:t>制砂环节产生的粉尘</w:t>
            </w:r>
            <w:r>
              <w:rPr>
                <w:rFonts w:hint="eastAsia" w:ascii="Times New Roman" w:hAnsi="Times New Roman" w:eastAsia="宋体" w:cs="Times New Roman"/>
                <w:b w:val="0"/>
                <w:bCs/>
                <w:color w:val="auto"/>
                <w:sz w:val="24"/>
                <w:szCs w:val="24"/>
                <w:highlight w:val="none"/>
                <w:lang w:val="en-US" w:eastAsia="zh-CN"/>
              </w:rPr>
              <w:t>收集并经布袋除尘处理后达标排放</w:t>
            </w:r>
            <w:r>
              <w:rPr>
                <w:rFonts w:hint="default" w:ascii="Times New Roman" w:hAnsi="Times New Roman" w:eastAsia="宋体" w:cs="Times New Roman"/>
                <w:b w:val="0"/>
                <w:bCs/>
                <w:color w:val="auto"/>
                <w:sz w:val="24"/>
                <w:szCs w:val="24"/>
                <w:highlight w:val="none"/>
                <w:lang w:val="en-US" w:eastAsia="zh-CN"/>
              </w:rPr>
              <w:t>，</w:t>
            </w:r>
            <w:r>
              <w:rPr>
                <w:rFonts w:hint="eastAsia" w:ascii="Times New Roman" w:hAnsi="Times New Roman" w:eastAsia="宋体" w:cs="Times New Roman"/>
                <w:b w:val="0"/>
                <w:bCs/>
                <w:color w:val="auto"/>
                <w:sz w:val="24"/>
                <w:szCs w:val="24"/>
                <w:highlight w:val="none"/>
                <w:lang w:val="en-US" w:eastAsia="zh-CN"/>
              </w:rPr>
              <w:t>无组织排放采取如下控制措施：</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（1）本项目破碎筛分输送、制砂、产品转运均在封闭车间内进行，地面进行硬化，仅留车辆运输进出通道，满足人</w:t>
            </w:r>
            <w:r>
              <w:rPr>
                <w:rFonts w:hint="eastAsia" w:ascii="Times New Roman" w:hAnsi="Times New Roman" w:eastAsia="宋体" w:cs="Times New Roman"/>
                <w:color w:val="auto"/>
                <w:sz w:val="24"/>
                <w:szCs w:val="24"/>
                <w:highlight w:val="none"/>
                <w:lang w:val="en-US" w:eastAsia="zh-CN"/>
              </w:rPr>
              <w:t>员</w:t>
            </w:r>
            <w:r>
              <w:rPr>
                <w:rFonts w:hint="default" w:ascii="Times New Roman" w:hAnsi="Times New Roman" w:eastAsia="宋体" w:cs="Times New Roman"/>
                <w:color w:val="auto"/>
                <w:sz w:val="24"/>
                <w:szCs w:val="24"/>
                <w:highlight w:val="none"/>
                <w:lang w:val="en-US" w:eastAsia="zh-CN"/>
              </w:rPr>
              <w:t>和</w:t>
            </w:r>
            <w:r>
              <w:rPr>
                <w:rFonts w:hint="eastAsia" w:ascii="Times New Roman" w:hAnsi="Times New Roman" w:eastAsia="宋体" w:cs="Times New Roman"/>
                <w:color w:val="auto"/>
                <w:sz w:val="24"/>
                <w:szCs w:val="24"/>
                <w:highlight w:val="none"/>
                <w:lang w:val="en-US" w:eastAsia="zh-CN"/>
              </w:rPr>
              <w:t>物料</w:t>
            </w:r>
            <w:r>
              <w:rPr>
                <w:rFonts w:hint="default" w:ascii="Times New Roman" w:hAnsi="Times New Roman" w:eastAsia="宋体" w:cs="Times New Roman"/>
                <w:color w:val="auto"/>
                <w:sz w:val="24"/>
                <w:szCs w:val="24"/>
                <w:highlight w:val="none"/>
                <w:lang w:val="en-US" w:eastAsia="zh-CN"/>
              </w:rPr>
              <w:t>进出操作区域，进出口设置卷帘门，生产及转运过程中保持常闭状态。</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pacing w:val="-8"/>
                <w:sz w:val="24"/>
                <w:szCs w:val="24"/>
                <w:highlight w:val="none"/>
                <w:lang w:val="en-US" w:eastAsia="zh-CN"/>
              </w:rPr>
              <w:t>料场</w:t>
            </w:r>
            <w:r>
              <w:rPr>
                <w:rFonts w:hint="eastAsia" w:ascii="Times New Roman" w:hAnsi="Times New Roman" w:eastAsia="宋体" w:cs="Times New Roman"/>
                <w:color w:val="auto"/>
                <w:spacing w:val="-8"/>
                <w:sz w:val="24"/>
                <w:szCs w:val="24"/>
                <w:highlight w:val="none"/>
                <w:lang w:val="en-US" w:eastAsia="zh-CN"/>
              </w:rPr>
              <w:t>采取</w:t>
            </w:r>
            <w:r>
              <w:rPr>
                <w:rFonts w:hint="eastAsia" w:ascii="Times New Roman" w:hAnsi="Times New Roman" w:eastAsia="宋体" w:cs="Times New Roman"/>
                <w:color w:val="auto"/>
                <w:sz w:val="24"/>
                <w:szCs w:val="24"/>
                <w:highlight w:val="none"/>
                <w:lang w:val="en-US" w:eastAsia="zh-CN"/>
              </w:rPr>
              <w:t>苫布覆盖</w:t>
            </w:r>
            <w:r>
              <w:rPr>
                <w:rFonts w:hint="default" w:ascii="Times New Roman" w:hAnsi="Times New Roman" w:eastAsia="宋体" w:cs="Times New Roman"/>
                <w:bCs w:val="0"/>
                <w:color w:val="auto"/>
                <w:szCs w:val="24"/>
                <w:highlight w:val="none"/>
                <w:lang w:val="en-US" w:eastAsia="zh-CN"/>
              </w:rPr>
              <w:t>，苫布裙角固定措施，实现有效覆盖</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建议在物料装卸过程中降低物料落差，并采取洒水降尘措施。</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（3）对厂区道路、车间内部及成品储存区域进行硬化，且在厂区运输车辆进出口设置自动车辆冲洗装置和沉淀水池。</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highlight w:val="none"/>
                <w:lang w:val="en-US" w:eastAsia="zh-CN"/>
              </w:rPr>
            </w:pPr>
            <w:r>
              <w:rPr>
                <w:rFonts w:hint="default" w:ascii="Times New Roman" w:hAnsi="Times New Roman" w:eastAsia="宋体" w:cs="Times New Roman"/>
                <w:color w:val="auto"/>
                <w:sz w:val="24"/>
                <w:szCs w:val="24"/>
                <w:highlight w:val="none"/>
                <w:lang w:val="en-US" w:eastAsia="zh-CN"/>
              </w:rPr>
              <w:t>（4）</w:t>
            </w:r>
            <w:r>
              <w:rPr>
                <w:rFonts w:hint="eastAsia" w:ascii="Times New Roman" w:hAnsi="Times New Roman" w:eastAsia="宋体" w:cs="Times New Roman"/>
                <w:color w:val="auto"/>
                <w:sz w:val="24"/>
                <w:szCs w:val="24"/>
                <w:highlight w:val="none"/>
                <w:lang w:val="en-US" w:eastAsia="zh-CN"/>
              </w:rPr>
              <w:t>输送带</w:t>
            </w:r>
            <w:r>
              <w:rPr>
                <w:rFonts w:hint="default" w:ascii="Times New Roman" w:hAnsi="Times New Roman" w:eastAsia="宋体" w:cs="Times New Roman"/>
                <w:color w:val="auto"/>
                <w:sz w:val="24"/>
                <w:szCs w:val="24"/>
                <w:highlight w:val="none"/>
                <w:lang w:val="en-US" w:eastAsia="zh-CN"/>
              </w:rPr>
              <w:t>为密闭结构，</w:t>
            </w:r>
            <w:r>
              <w:rPr>
                <w:rFonts w:hint="eastAsia"/>
                <w:color w:val="auto"/>
                <w:highlight w:val="none"/>
                <w:lang w:val="en-US" w:eastAsia="zh-CN"/>
              </w:rPr>
              <w:t>输送带落料点设置密闭罩，并配备除尘设施。</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b w:val="0"/>
                <w:color w:val="auto"/>
                <w:kern w:val="2"/>
                <w:sz w:val="24"/>
                <w:szCs w:val="24"/>
                <w:highlight w:val="none"/>
                <w:lang w:val="en-US" w:eastAsia="zh-CN" w:bidi="ar-SA"/>
              </w:rPr>
              <w:t>综上所述，项目废气防治</w:t>
            </w:r>
            <w:r>
              <w:rPr>
                <w:rFonts w:hint="eastAsia" w:eastAsia="宋体"/>
                <w:b w:val="0"/>
                <w:bCs/>
                <w:color w:val="auto"/>
                <w:spacing w:val="-10"/>
                <w:highlight w:val="none"/>
                <w:lang w:val="en-US" w:eastAsia="zh-CN"/>
              </w:rPr>
              <w:t>措施满足</w:t>
            </w:r>
            <w:r>
              <w:rPr>
                <w:b w:val="0"/>
                <w:bCs/>
                <w:color w:val="auto"/>
                <w:spacing w:val="-10"/>
                <w:highlight w:val="none"/>
              </w:rPr>
              <w:t>《排污许可证申请与核发技术规范 陶瓷砖瓦工业》（HJ954-2018）</w:t>
            </w:r>
            <w:r>
              <w:rPr>
                <w:rFonts w:hint="eastAsia"/>
                <w:b w:val="0"/>
                <w:bCs/>
                <w:color w:val="auto"/>
                <w:spacing w:val="-10"/>
                <w:highlight w:val="none"/>
              </w:rPr>
              <w:t>控制要求</w:t>
            </w:r>
            <w:r>
              <w:rPr>
                <w:rFonts w:hint="eastAsia"/>
                <w:b w:val="0"/>
                <w:bCs/>
                <w:color w:val="auto"/>
                <w:spacing w:val="-10"/>
                <w:highlight w:val="none"/>
                <w:lang w:eastAsia="zh-CN"/>
              </w:rPr>
              <w:t>，</w:t>
            </w:r>
            <w:r>
              <w:rPr>
                <w:rFonts w:hint="eastAsia"/>
                <w:b w:val="0"/>
                <w:bCs/>
                <w:color w:val="auto"/>
                <w:spacing w:val="-10"/>
                <w:highlight w:val="none"/>
                <w:lang w:val="en-US" w:eastAsia="zh-CN"/>
              </w:rPr>
              <w:t>属于可行技术</w:t>
            </w:r>
            <w:r>
              <w:rPr>
                <w:rFonts w:hint="eastAsia"/>
                <w:b w:val="0"/>
                <w:bCs/>
                <w:color w:val="auto"/>
                <w:spacing w:val="-10"/>
                <w:highlight w:val="none"/>
                <w:lang w:eastAsia="zh-CN"/>
              </w:rPr>
              <w:t>，</w:t>
            </w:r>
            <w:r>
              <w:rPr>
                <w:rFonts w:hint="eastAsia" w:ascii="Times New Roman" w:hAnsi="Times New Roman" w:eastAsia="宋体" w:cs="Times New Roman"/>
                <w:b w:val="0"/>
                <w:color w:val="auto"/>
                <w:kern w:val="2"/>
                <w:sz w:val="24"/>
                <w:szCs w:val="24"/>
                <w:highlight w:val="none"/>
                <w:lang w:val="en-US" w:eastAsia="zh-CN" w:bidi="ar-SA"/>
              </w:rPr>
              <w:t>拟采取废气防治措施总体可行。</w:t>
            </w:r>
          </w:p>
          <w:p>
            <w:pPr>
              <w:pStyle w:val="68"/>
              <w:spacing w:before="48" w:after="48" w:line="360" w:lineRule="auto"/>
              <w:rPr>
                <w:rStyle w:val="67"/>
                <w:rFonts w:hint="default" w:ascii="Times New Roman" w:hAnsi="Times New Roman" w:cs="Times New Roman"/>
                <w:b/>
                <w:color w:val="auto"/>
                <w:kern w:val="2"/>
                <w:szCs w:val="24"/>
                <w:highlight w:val="none"/>
              </w:rPr>
            </w:pPr>
            <w:r>
              <w:rPr>
                <w:rStyle w:val="67"/>
                <w:rFonts w:hint="eastAsia" w:ascii="Times New Roman" w:hAnsi="Times New Roman" w:cs="Times New Roman"/>
                <w:b/>
                <w:color w:val="auto"/>
                <w:kern w:val="2"/>
                <w:szCs w:val="24"/>
                <w:highlight w:val="none"/>
                <w:lang w:val="en-US" w:eastAsia="zh-CN"/>
              </w:rPr>
              <w:t>1.4</w:t>
            </w:r>
            <w:r>
              <w:rPr>
                <w:rStyle w:val="67"/>
                <w:rFonts w:hint="default" w:ascii="Times New Roman" w:hAnsi="Times New Roman" w:cs="Times New Roman"/>
                <w:b/>
                <w:color w:val="auto"/>
                <w:kern w:val="2"/>
                <w:szCs w:val="24"/>
                <w:highlight w:val="none"/>
              </w:rPr>
              <w:t>环境防护距离</w:t>
            </w:r>
          </w:p>
          <w:p>
            <w:pPr>
              <w:pStyle w:val="82"/>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据《环境评价技术导则-大气环境》(HJ2.2-2018)中的有关规定，对无组织排放的有毒有害气体可通过设置大气防护距离来解决。根据大气环境防护距离采用环境保护部环境工程评估中心环境质量模拟重点实验室推荐的模式计算，本项目废气在厂界外无超标点，可不设置大气环境防护距离，但为加强管理，本项目根据《大气有害物质无组织排放卫生防护距离推导技术导则》(GB/T39499-2020)中计算公式核算环境防护距离，无组织排放所需的卫生防护距离计算如下：</w:t>
            </w:r>
          </w:p>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36" o:spt="75" type="#_x0000_t75" style="height:19pt;width:168pt;" o:ole="t" filled="f" o:preferrelative="t" stroked="f" coordsize="21600,21600">
                  <v:path/>
                  <v:fill on="f" focussize="0,0"/>
                  <v:stroke on="f"/>
                  <v:imagedata r:id="rId31" o:title=""/>
                  <o:lock v:ext="edit" grouping="f" rotation="f" text="f" aspectratio="t"/>
                  <w10:wrap type="none"/>
                  <w10:anchorlock/>
                </v:shape>
                <o:OLEObject Type="Embed" ProgID="Equation.3" ShapeID="_x0000_i1036" DrawAspect="Content" ObjectID="_1468075735" r:id="rId30">
                  <o:LockedField>false</o:LockedField>
                </o:OLEObject>
              </w:object>
            </w:r>
          </w:p>
          <w:p>
            <w:pPr>
              <w:pStyle w:val="82"/>
              <w:ind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式中：Qc—无组织排放量，kg/h；</w:t>
            </w:r>
          </w:p>
          <w:p>
            <w:pPr>
              <w:pStyle w:val="82"/>
              <w:ind w:firstLineChars="300"/>
              <w:rPr>
                <w:rFonts w:hint="default" w:ascii="Times New Roman" w:hAnsi="Times New Roman" w:cs="Times New Roman"/>
                <w:color w:val="auto"/>
                <w:highlight w:val="none"/>
              </w:rPr>
            </w:pPr>
            <w:r>
              <w:rPr>
                <w:rFonts w:hint="default" w:ascii="Times New Roman" w:hAnsi="Times New Roman" w:cs="Times New Roman"/>
                <w:color w:val="auto"/>
                <w:highlight w:val="none"/>
              </w:rPr>
              <w:t>Cm——标准浓度限值，mg/Nm</w:t>
            </w:r>
            <w:r>
              <w:rPr>
                <w:rFonts w:hint="default" w:ascii="Times New Roman" w:hAnsi="Times New Roman" w:cs="Times New Roman"/>
                <w:color w:val="auto"/>
                <w:highlight w:val="none"/>
                <w:vertAlign w:val="superscript"/>
              </w:rPr>
              <w:t>3</w:t>
            </w:r>
            <w:r>
              <w:rPr>
                <w:rFonts w:hint="default" w:ascii="Times New Roman" w:hAnsi="Times New Roman" w:cs="Times New Roman"/>
                <w:color w:val="auto"/>
                <w:highlight w:val="none"/>
              </w:rPr>
              <w:t>；</w:t>
            </w:r>
          </w:p>
          <w:p>
            <w:pPr>
              <w:pStyle w:val="82"/>
              <w:ind w:firstLineChars="300"/>
              <w:rPr>
                <w:rFonts w:hint="default" w:ascii="Times New Roman" w:hAnsi="Times New Roman" w:cs="Times New Roman"/>
                <w:color w:val="auto"/>
                <w:highlight w:val="none"/>
              </w:rPr>
            </w:pPr>
            <w:r>
              <w:rPr>
                <w:rFonts w:hint="default" w:ascii="Times New Roman" w:hAnsi="Times New Roman" w:cs="Times New Roman"/>
                <w:color w:val="auto"/>
                <w:highlight w:val="none"/>
              </w:rPr>
              <w:t>L——卫生防护带距离，m；</w:t>
            </w:r>
          </w:p>
          <w:p>
            <w:pPr>
              <w:pStyle w:val="82"/>
              <w:ind w:firstLineChars="300"/>
              <w:rPr>
                <w:rFonts w:hint="default" w:ascii="Times New Roman" w:hAnsi="Times New Roman" w:cs="Times New Roman"/>
                <w:color w:val="auto"/>
                <w:highlight w:val="none"/>
              </w:rPr>
            </w:pPr>
            <w:r>
              <w:rPr>
                <w:rFonts w:hint="default" w:ascii="Times New Roman" w:hAnsi="Times New Roman" w:cs="Times New Roman"/>
                <w:color w:val="auto"/>
                <w:highlight w:val="none"/>
              </w:rPr>
              <w:t>r——无组织排放源的等效半径，m。根据生产单元占地面积S(m</w:t>
            </w:r>
            <w:r>
              <w:rPr>
                <w:rFonts w:hint="default" w:ascii="Times New Roman" w:hAnsi="Times New Roman" w:cs="Times New Roman"/>
                <w:color w:val="auto"/>
                <w:highlight w:val="none"/>
                <w:vertAlign w:val="superscript"/>
              </w:rPr>
              <w:t>2</w:t>
            </w:r>
            <w:r>
              <w:rPr>
                <w:rFonts w:hint="default" w:ascii="Times New Roman" w:hAnsi="Times New Roman" w:cs="Times New Roman"/>
                <w:color w:val="auto"/>
                <w:highlight w:val="none"/>
              </w:rPr>
              <w:t>)计算，r=(S/π)</w:t>
            </w:r>
            <w:r>
              <w:rPr>
                <w:rFonts w:hint="default" w:ascii="Times New Roman" w:hAnsi="Times New Roman" w:cs="Times New Roman"/>
                <w:color w:val="auto"/>
                <w:highlight w:val="none"/>
                <w:vertAlign w:val="superscript"/>
              </w:rPr>
              <w:t>0.5</w:t>
            </w:r>
            <w:r>
              <w:rPr>
                <w:rFonts w:hint="default" w:ascii="Times New Roman" w:hAnsi="Times New Roman" w:cs="Times New Roman"/>
                <w:color w:val="auto"/>
                <w:highlight w:val="none"/>
              </w:rPr>
              <w:t>。</w:t>
            </w:r>
          </w:p>
          <w:p>
            <w:pPr>
              <w:pStyle w:val="82"/>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A、B、C、D—卫生防护距离计算系数，见下表。</w:t>
            </w:r>
          </w:p>
          <w:p>
            <w:pPr>
              <w:pStyle w:val="57"/>
              <w:rPr>
                <w:rFonts w:hint="default" w:ascii="Times New Roman" w:hAnsi="Times New Roman" w:cs="Times New Roman"/>
                <w:color w:val="auto"/>
                <w:highlight w:val="none"/>
              </w:rPr>
            </w:pPr>
            <w:r>
              <w:rPr>
                <w:rFonts w:hint="default" w:ascii="Times New Roman" w:hAnsi="Times New Roman" w:cs="Times New Roman"/>
                <w:color w:val="auto"/>
                <w:highlight w:val="none"/>
              </w:rPr>
              <w:t>计算参数的选择</w:t>
            </w:r>
          </w:p>
          <w:tbl>
            <w:tblPr>
              <w:tblStyle w:val="2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1281"/>
              <w:gridCol w:w="1664"/>
              <w:gridCol w:w="1410"/>
              <w:gridCol w:w="14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exact"/>
                <w:tblHeader/>
                <w:jc w:val="center"/>
              </w:trPr>
              <w:tc>
                <w:tcPr>
                  <w:tcW w:w="2529" w:type="dxa"/>
                  <w:tcBorders>
                    <w:tl2br w:val="nil"/>
                    <w:tr2bl w:val="nil"/>
                  </w:tcBorders>
                  <w:noWrap w:val="0"/>
                  <w:vAlign w:val="center"/>
                </w:tcPr>
                <w:p>
                  <w:pPr>
                    <w:pStyle w:val="101"/>
                    <w:rPr>
                      <w:rFonts w:hint="default" w:ascii="Times New Roman" w:hAnsi="Times New Roman" w:cs="Times New Roman"/>
                      <w:color w:val="auto"/>
                      <w:highlight w:val="none"/>
                    </w:rPr>
                  </w:pPr>
                  <w:r>
                    <w:rPr>
                      <w:rFonts w:hint="default" w:ascii="Times New Roman" w:hAnsi="Times New Roman" w:cs="Times New Roman"/>
                      <w:color w:val="auto"/>
                      <w:highlight w:val="none"/>
                    </w:rPr>
                    <w:t>参数名称</w:t>
                  </w:r>
                </w:p>
              </w:tc>
              <w:tc>
                <w:tcPr>
                  <w:tcW w:w="1281" w:type="dxa"/>
                  <w:tcBorders>
                    <w:tl2br w:val="nil"/>
                    <w:tr2bl w:val="nil"/>
                  </w:tcBorders>
                  <w:noWrap w:val="0"/>
                  <w:vAlign w:val="center"/>
                </w:tcPr>
                <w:p>
                  <w:pPr>
                    <w:pStyle w:val="101"/>
                    <w:rPr>
                      <w:rFonts w:hint="default" w:ascii="Times New Roman" w:hAnsi="Times New Roman" w:cs="Times New Roman"/>
                      <w:color w:val="auto"/>
                      <w:highlight w:val="none"/>
                    </w:rPr>
                  </w:pPr>
                  <w:r>
                    <w:rPr>
                      <w:rFonts w:hint="default" w:ascii="Times New Roman" w:hAnsi="Times New Roman" w:cs="Times New Roman"/>
                      <w:color w:val="auto"/>
                      <w:highlight w:val="none"/>
                    </w:rPr>
                    <w:t>A</w:t>
                  </w:r>
                </w:p>
              </w:tc>
              <w:tc>
                <w:tcPr>
                  <w:tcW w:w="1664" w:type="dxa"/>
                  <w:tcBorders>
                    <w:tl2br w:val="nil"/>
                    <w:tr2bl w:val="nil"/>
                  </w:tcBorders>
                  <w:noWrap w:val="0"/>
                  <w:vAlign w:val="center"/>
                </w:tcPr>
                <w:p>
                  <w:pPr>
                    <w:pStyle w:val="101"/>
                    <w:rPr>
                      <w:rFonts w:hint="default" w:ascii="Times New Roman" w:hAnsi="Times New Roman" w:cs="Times New Roman"/>
                      <w:color w:val="auto"/>
                      <w:highlight w:val="none"/>
                    </w:rPr>
                  </w:pPr>
                  <w:r>
                    <w:rPr>
                      <w:rFonts w:hint="default" w:ascii="Times New Roman" w:hAnsi="Times New Roman" w:cs="Times New Roman"/>
                      <w:color w:val="auto"/>
                      <w:highlight w:val="none"/>
                    </w:rPr>
                    <w:t>B</w:t>
                  </w:r>
                </w:p>
              </w:tc>
              <w:tc>
                <w:tcPr>
                  <w:tcW w:w="1410" w:type="dxa"/>
                  <w:tcBorders>
                    <w:tl2br w:val="nil"/>
                    <w:tr2bl w:val="nil"/>
                  </w:tcBorders>
                  <w:noWrap w:val="0"/>
                  <w:vAlign w:val="center"/>
                </w:tcPr>
                <w:p>
                  <w:pPr>
                    <w:pStyle w:val="101"/>
                    <w:rPr>
                      <w:rFonts w:hint="default" w:ascii="Times New Roman" w:hAnsi="Times New Roman" w:cs="Times New Roman"/>
                      <w:color w:val="auto"/>
                      <w:highlight w:val="none"/>
                    </w:rPr>
                  </w:pPr>
                  <w:r>
                    <w:rPr>
                      <w:rFonts w:hint="default" w:ascii="Times New Roman" w:hAnsi="Times New Roman" w:cs="Times New Roman"/>
                      <w:color w:val="auto"/>
                      <w:highlight w:val="none"/>
                    </w:rPr>
                    <w:t>C</w:t>
                  </w:r>
                </w:p>
              </w:tc>
              <w:tc>
                <w:tcPr>
                  <w:tcW w:w="1411" w:type="dxa"/>
                  <w:tcBorders>
                    <w:tl2br w:val="nil"/>
                    <w:tr2bl w:val="nil"/>
                  </w:tcBorders>
                  <w:noWrap w:val="0"/>
                  <w:vAlign w:val="center"/>
                </w:tcPr>
                <w:p>
                  <w:pPr>
                    <w:pStyle w:val="101"/>
                    <w:rPr>
                      <w:rFonts w:hint="default" w:ascii="Times New Roman" w:hAnsi="Times New Roman" w:cs="Times New Roman"/>
                      <w:color w:val="auto"/>
                      <w:highlight w:val="none"/>
                    </w:rPr>
                  </w:pPr>
                  <w:r>
                    <w:rPr>
                      <w:rFonts w:hint="default" w:ascii="Times New Roman" w:hAnsi="Times New Roman" w:cs="Times New Roman"/>
                      <w:color w:val="auto"/>
                      <w:highlight w:val="none"/>
                    </w:rPr>
                    <w:t>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2529" w:type="dxa"/>
                  <w:tcBorders>
                    <w:tl2br w:val="nil"/>
                    <w:tr2bl w:val="nil"/>
                  </w:tcBorders>
                  <w:noWrap w:val="0"/>
                  <w:vAlign w:val="center"/>
                </w:tcPr>
                <w:p>
                  <w:pPr>
                    <w:pStyle w:val="101"/>
                    <w:rPr>
                      <w:rFonts w:hint="default" w:ascii="Times New Roman" w:hAnsi="Times New Roman" w:cs="Times New Roman"/>
                      <w:color w:val="auto"/>
                      <w:highlight w:val="none"/>
                    </w:rPr>
                  </w:pPr>
                  <w:r>
                    <w:rPr>
                      <w:rFonts w:hint="default" w:ascii="Times New Roman" w:hAnsi="Times New Roman" w:cs="Times New Roman"/>
                      <w:color w:val="auto"/>
                      <w:highlight w:val="none"/>
                    </w:rPr>
                    <w:t>计算系数</w:t>
                  </w:r>
                </w:p>
              </w:tc>
              <w:tc>
                <w:tcPr>
                  <w:tcW w:w="1281" w:type="dxa"/>
                  <w:tcBorders>
                    <w:tl2br w:val="nil"/>
                    <w:tr2bl w:val="nil"/>
                  </w:tcBorders>
                  <w:noWrap w:val="0"/>
                  <w:vAlign w:val="center"/>
                </w:tcPr>
                <w:p>
                  <w:pPr>
                    <w:pStyle w:val="101"/>
                    <w:rPr>
                      <w:rFonts w:hint="default" w:ascii="Times New Roman" w:hAnsi="Times New Roman" w:cs="Times New Roman"/>
                      <w:color w:val="auto"/>
                      <w:highlight w:val="none"/>
                    </w:rPr>
                  </w:pPr>
                  <w:r>
                    <w:rPr>
                      <w:rFonts w:hint="default" w:ascii="Times New Roman" w:hAnsi="Times New Roman" w:cs="Times New Roman"/>
                      <w:color w:val="auto"/>
                      <w:highlight w:val="none"/>
                    </w:rPr>
                    <w:t>400</w:t>
                  </w:r>
                </w:p>
              </w:tc>
              <w:tc>
                <w:tcPr>
                  <w:tcW w:w="1664" w:type="dxa"/>
                  <w:tcBorders>
                    <w:tl2br w:val="nil"/>
                    <w:tr2bl w:val="nil"/>
                  </w:tcBorders>
                  <w:noWrap w:val="0"/>
                  <w:vAlign w:val="center"/>
                </w:tcPr>
                <w:p>
                  <w:pPr>
                    <w:pStyle w:val="101"/>
                    <w:rPr>
                      <w:rFonts w:hint="default" w:ascii="Times New Roman" w:hAnsi="Times New Roman" w:cs="Times New Roman"/>
                      <w:color w:val="auto"/>
                      <w:highlight w:val="none"/>
                    </w:rPr>
                  </w:pPr>
                  <w:r>
                    <w:rPr>
                      <w:rFonts w:hint="default" w:ascii="Times New Roman" w:hAnsi="Times New Roman" w:cs="Times New Roman"/>
                      <w:color w:val="auto"/>
                      <w:highlight w:val="none"/>
                    </w:rPr>
                    <w:t>0.010</w:t>
                  </w:r>
                </w:p>
              </w:tc>
              <w:tc>
                <w:tcPr>
                  <w:tcW w:w="1410" w:type="dxa"/>
                  <w:tcBorders>
                    <w:tl2br w:val="nil"/>
                    <w:tr2bl w:val="nil"/>
                  </w:tcBorders>
                  <w:noWrap w:val="0"/>
                  <w:vAlign w:val="center"/>
                </w:tcPr>
                <w:p>
                  <w:pPr>
                    <w:pStyle w:val="101"/>
                    <w:rPr>
                      <w:rFonts w:hint="default" w:ascii="Times New Roman" w:hAnsi="Times New Roman" w:cs="Times New Roman"/>
                      <w:color w:val="auto"/>
                      <w:highlight w:val="none"/>
                    </w:rPr>
                  </w:pPr>
                  <w:r>
                    <w:rPr>
                      <w:rFonts w:hint="default" w:ascii="Times New Roman" w:hAnsi="Times New Roman" w:cs="Times New Roman"/>
                      <w:color w:val="auto"/>
                      <w:highlight w:val="none"/>
                    </w:rPr>
                    <w:t>1.85</w:t>
                  </w:r>
                </w:p>
              </w:tc>
              <w:tc>
                <w:tcPr>
                  <w:tcW w:w="1411" w:type="dxa"/>
                  <w:tcBorders>
                    <w:tl2br w:val="nil"/>
                    <w:tr2bl w:val="nil"/>
                  </w:tcBorders>
                  <w:noWrap w:val="0"/>
                  <w:vAlign w:val="center"/>
                </w:tcPr>
                <w:p>
                  <w:pPr>
                    <w:pStyle w:val="101"/>
                    <w:rPr>
                      <w:rFonts w:hint="default" w:ascii="Times New Roman" w:hAnsi="Times New Roman" w:cs="Times New Roman"/>
                      <w:color w:val="auto"/>
                      <w:highlight w:val="none"/>
                    </w:rPr>
                  </w:pPr>
                  <w:r>
                    <w:rPr>
                      <w:rFonts w:hint="default" w:ascii="Times New Roman" w:hAnsi="Times New Roman" w:cs="Times New Roman"/>
                      <w:color w:val="auto"/>
                      <w:highlight w:val="none"/>
                    </w:rPr>
                    <w:t>0.78</w:t>
                  </w:r>
                </w:p>
              </w:tc>
            </w:tr>
          </w:tbl>
          <w:p>
            <w:pPr>
              <w:ind w:firstLine="420" w:firstLineChars="200"/>
              <w:rPr>
                <w:rFonts w:hint="default" w:ascii="Times New Roman" w:hAnsi="Times New Roman" w:cs="Times New Roman"/>
                <w:color w:val="auto"/>
                <w:highlight w:val="none"/>
              </w:rPr>
            </w:pPr>
          </w:p>
          <w:p>
            <w:pPr>
              <w:pStyle w:val="82"/>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rPr>
              <w:t>计算结果见下表。</w:t>
            </w:r>
          </w:p>
          <w:p>
            <w:pPr>
              <w:pStyle w:val="57"/>
              <w:rPr>
                <w:rFonts w:hint="default" w:ascii="Times New Roman" w:hAnsi="Times New Roman" w:cs="Times New Roman"/>
                <w:color w:val="auto"/>
                <w:highlight w:val="none"/>
              </w:rPr>
            </w:pPr>
            <w:r>
              <w:rPr>
                <w:rFonts w:hint="default" w:ascii="Times New Roman" w:hAnsi="Times New Roman" w:cs="Times New Roman"/>
                <w:color w:val="auto"/>
                <w:highlight w:val="none"/>
              </w:rPr>
              <w:t>本项目防护距离计算结果</w:t>
            </w:r>
          </w:p>
          <w:tbl>
            <w:tblPr>
              <w:tblStyle w:val="25"/>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54"/>
              <w:gridCol w:w="1542"/>
              <w:gridCol w:w="1165"/>
              <w:gridCol w:w="1517"/>
              <w:gridCol w:w="992"/>
              <w:gridCol w:w="9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6"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eastAsia" w:ascii="Times New Roman" w:hAnsi="Times New Roman" w:eastAsia="宋体" w:cs="Times New Roman"/>
                      <w:color w:val="auto"/>
                      <w:highlight w:val="none"/>
                      <w:lang w:eastAsia="zh-CN"/>
                    </w:rPr>
                  </w:pPr>
                  <w:r>
                    <w:rPr>
                      <w:rFonts w:hint="eastAsia" w:ascii="Times New Roman" w:hAnsi="Times New Roman" w:cs="Times New Roman"/>
                      <w:color w:val="auto"/>
                      <w:highlight w:val="none"/>
                      <w:lang w:val="en-US" w:eastAsia="zh-CN"/>
                    </w:rPr>
                    <w:t>区域</w:t>
                  </w:r>
                </w:p>
              </w:tc>
              <w:tc>
                <w:tcPr>
                  <w:tcW w:w="1254"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污染物</w:t>
                  </w:r>
                </w:p>
              </w:tc>
              <w:tc>
                <w:tcPr>
                  <w:tcW w:w="1542"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无组织排放速率kg/h</w:t>
                  </w:r>
                </w:p>
              </w:tc>
              <w:tc>
                <w:tcPr>
                  <w:tcW w:w="1165"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质量标准</w:t>
                  </w:r>
                </w:p>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(mg/m</w:t>
                  </w:r>
                  <w:r>
                    <w:rPr>
                      <w:rFonts w:hint="default" w:ascii="Times New Roman" w:hAnsi="Times New Roman" w:cs="Times New Roman"/>
                      <w:color w:val="auto"/>
                      <w:highlight w:val="none"/>
                      <w:vertAlign w:val="superscript"/>
                    </w:rPr>
                    <w:t>3</w:t>
                  </w:r>
                  <w:r>
                    <w:rPr>
                      <w:rFonts w:hint="default" w:ascii="Times New Roman" w:hAnsi="Times New Roman" w:cs="Times New Roman"/>
                      <w:color w:val="auto"/>
                      <w:highlight w:val="none"/>
                    </w:rPr>
                    <w:t>)</w:t>
                  </w:r>
                </w:p>
              </w:tc>
              <w:tc>
                <w:tcPr>
                  <w:tcW w:w="1517"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生产单元占地面积（m</w:t>
                  </w:r>
                  <w:r>
                    <w:rPr>
                      <w:rFonts w:hint="default" w:ascii="Times New Roman" w:hAnsi="Times New Roman" w:cs="Times New Roman"/>
                      <w:color w:val="auto"/>
                      <w:highlight w:val="none"/>
                      <w:vertAlign w:val="superscript"/>
                    </w:rPr>
                    <w:t>2</w:t>
                  </w:r>
                  <w:r>
                    <w:rPr>
                      <w:rFonts w:hint="default" w:ascii="Times New Roman" w:hAnsi="Times New Roman" w:cs="Times New Roman"/>
                      <w:color w:val="auto"/>
                      <w:highlight w:val="none"/>
                    </w:rPr>
                    <w:t>）</w:t>
                  </w:r>
                </w:p>
              </w:tc>
              <w:tc>
                <w:tcPr>
                  <w:tcW w:w="992"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计算值(m)</w:t>
                  </w:r>
                </w:p>
              </w:tc>
              <w:tc>
                <w:tcPr>
                  <w:tcW w:w="979"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提级值(m)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46"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砂石生产线</w:t>
                  </w:r>
                </w:p>
              </w:tc>
              <w:tc>
                <w:tcPr>
                  <w:tcW w:w="1254"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eastAsia" w:ascii="Times New Roman" w:hAnsi="Times New Roman" w:eastAsia="宋体" w:cs="Times New Roman"/>
                      <w:color w:val="auto"/>
                      <w:highlight w:val="none"/>
                      <w:lang w:eastAsia="zh-CN"/>
                    </w:rPr>
                  </w:pPr>
                  <w:r>
                    <w:rPr>
                      <w:rFonts w:hint="eastAsia" w:ascii="Times New Roman" w:hAnsi="Times New Roman" w:cs="Times New Roman"/>
                      <w:color w:val="auto"/>
                      <w:highlight w:val="none"/>
                      <w:lang w:val="en-US" w:eastAsia="zh-CN"/>
                    </w:rPr>
                    <w:t>颗粒物</w:t>
                  </w:r>
                </w:p>
              </w:tc>
              <w:tc>
                <w:tcPr>
                  <w:tcW w:w="1542" w:type="dxa"/>
                  <w:tcBorders>
                    <w:tl2br w:val="nil"/>
                    <w:tr2bl w:val="nil"/>
                  </w:tcBorders>
                  <w:noWrap w:val="0"/>
                  <w:vAlign w:val="center"/>
                </w:tcPr>
                <w:p>
                  <w:pPr>
                    <w:pStyle w:val="95"/>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0.1</w:t>
                  </w:r>
                </w:p>
              </w:tc>
              <w:tc>
                <w:tcPr>
                  <w:tcW w:w="1165"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spacing w:line="240" w:lineRule="auto"/>
                    <w:ind w:left="0" w:firstLine="0" w:firstLineChars="0"/>
                    <w:jc w:val="center"/>
                    <w:rPr>
                      <w:rFonts w:hint="eastAsia" w:ascii="Times New Roman" w:hAnsi="Times New Roman" w:eastAsia="宋体" w:cs="Times New Roman"/>
                      <w:color w:val="auto"/>
                      <w:sz w:val="21"/>
                      <w:highlight w:val="none"/>
                      <w:lang w:eastAsia="zh-CN"/>
                    </w:rPr>
                  </w:pPr>
                  <w:r>
                    <w:rPr>
                      <w:rFonts w:hint="eastAsia" w:ascii="Times New Roman" w:hAnsi="Times New Roman" w:cs="Times New Roman"/>
                      <w:color w:val="auto"/>
                      <w:sz w:val="21"/>
                      <w:highlight w:val="none"/>
                      <w:lang w:val="en-US" w:eastAsia="zh-CN"/>
                    </w:rPr>
                    <w:t>1</w:t>
                  </w:r>
                </w:p>
              </w:tc>
              <w:tc>
                <w:tcPr>
                  <w:tcW w:w="1517"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1000</w:t>
                  </w:r>
                </w:p>
              </w:tc>
              <w:tc>
                <w:tcPr>
                  <w:tcW w:w="992"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6.82</w:t>
                  </w:r>
                </w:p>
              </w:tc>
              <w:tc>
                <w:tcPr>
                  <w:tcW w:w="979"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846"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eastAsia"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装卸</w:t>
                  </w:r>
                  <w:r>
                    <w:rPr>
                      <w:rFonts w:hint="eastAsia" w:ascii="Times New Roman" w:hAnsi="Times New Roman" w:cs="Times New Roman"/>
                      <w:color w:val="auto"/>
                      <w:highlight w:val="none"/>
                      <w:lang w:val="en-US" w:eastAsia="zh-CN"/>
                    </w:rPr>
                    <w:t>区</w:t>
                  </w:r>
                </w:p>
              </w:tc>
              <w:tc>
                <w:tcPr>
                  <w:tcW w:w="1254"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颗粒物</w:t>
                  </w:r>
                </w:p>
              </w:tc>
              <w:tc>
                <w:tcPr>
                  <w:tcW w:w="1542" w:type="dxa"/>
                  <w:tcBorders>
                    <w:tl2br w:val="nil"/>
                    <w:tr2bl w:val="nil"/>
                  </w:tcBorders>
                  <w:noWrap w:val="0"/>
                  <w:vAlign w:val="center"/>
                </w:tcPr>
                <w:p>
                  <w:pPr>
                    <w:pStyle w:val="95"/>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0.485</w:t>
                  </w:r>
                </w:p>
              </w:tc>
              <w:tc>
                <w:tcPr>
                  <w:tcW w:w="1165"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spacing w:line="240" w:lineRule="auto"/>
                    <w:ind w:left="0" w:firstLine="0" w:firstLineChars="0"/>
                    <w:jc w:val="center"/>
                    <w:rPr>
                      <w:rFonts w:hint="eastAsia" w:ascii="Times New Roman" w:hAnsi="Times New Roman" w:eastAsia="宋体" w:cs="Times New Roman"/>
                      <w:color w:val="auto"/>
                      <w:sz w:val="21"/>
                      <w:highlight w:val="none"/>
                      <w:lang w:eastAsia="zh-CN"/>
                    </w:rPr>
                  </w:pPr>
                  <w:r>
                    <w:rPr>
                      <w:rFonts w:hint="eastAsia" w:ascii="Times New Roman" w:hAnsi="Times New Roman" w:cs="Times New Roman"/>
                      <w:color w:val="auto"/>
                      <w:sz w:val="21"/>
                      <w:highlight w:val="none"/>
                      <w:lang w:val="en-US" w:eastAsia="zh-CN"/>
                    </w:rPr>
                    <w:t>1</w:t>
                  </w:r>
                </w:p>
              </w:tc>
              <w:tc>
                <w:tcPr>
                  <w:tcW w:w="1517" w:type="dxa"/>
                  <w:vMerge w:val="restart"/>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2000</w:t>
                  </w:r>
                </w:p>
              </w:tc>
              <w:tc>
                <w:tcPr>
                  <w:tcW w:w="992" w:type="dxa"/>
                  <w:vMerge w:val="restart"/>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32.88</w:t>
                  </w:r>
                </w:p>
              </w:tc>
              <w:tc>
                <w:tcPr>
                  <w:tcW w:w="979" w:type="dxa"/>
                  <w:vMerge w:val="restart"/>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846"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堆场</w:t>
                  </w:r>
                </w:p>
              </w:tc>
              <w:tc>
                <w:tcPr>
                  <w:tcW w:w="1254" w:type="dxa"/>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颗粒物</w:t>
                  </w:r>
                </w:p>
              </w:tc>
              <w:tc>
                <w:tcPr>
                  <w:tcW w:w="1542" w:type="dxa"/>
                  <w:tcBorders>
                    <w:tl2br w:val="nil"/>
                    <w:tr2bl w:val="nil"/>
                  </w:tcBorders>
                  <w:noWrap w:val="0"/>
                  <w:vAlign w:val="center"/>
                </w:tcPr>
                <w:p>
                  <w:pPr>
                    <w:pStyle w:val="95"/>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0.006</w:t>
                  </w:r>
                </w:p>
              </w:tc>
              <w:tc>
                <w:tcPr>
                  <w:tcW w:w="1165"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spacing w:line="240" w:lineRule="auto"/>
                    <w:ind w:left="0" w:firstLine="0" w:firstLineChars="0"/>
                    <w:jc w:val="center"/>
                    <w:rPr>
                      <w:rFonts w:hint="eastAsia" w:ascii="Times New Roman" w:hAnsi="Times New Roman" w:eastAsia="宋体" w:cs="Times New Roman"/>
                      <w:color w:val="auto"/>
                      <w:sz w:val="21"/>
                      <w:highlight w:val="none"/>
                      <w:lang w:eastAsia="zh-CN"/>
                    </w:rPr>
                  </w:pPr>
                  <w:r>
                    <w:rPr>
                      <w:rFonts w:hint="eastAsia" w:ascii="Times New Roman" w:hAnsi="Times New Roman" w:cs="Times New Roman"/>
                      <w:color w:val="auto"/>
                      <w:sz w:val="21"/>
                      <w:highlight w:val="none"/>
                      <w:lang w:val="en-US" w:eastAsia="zh-CN"/>
                    </w:rPr>
                    <w:t>1</w:t>
                  </w:r>
                </w:p>
              </w:tc>
              <w:tc>
                <w:tcPr>
                  <w:tcW w:w="1517" w:type="dxa"/>
                  <w:vMerge w:val="continue"/>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cs="Times New Roman"/>
                      <w:color w:val="auto"/>
                      <w:highlight w:val="none"/>
                    </w:rPr>
                  </w:pPr>
                </w:p>
              </w:tc>
              <w:tc>
                <w:tcPr>
                  <w:tcW w:w="992" w:type="dxa"/>
                  <w:vMerge w:val="continue"/>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eastAsia="宋体" w:cs="Times New Roman"/>
                      <w:color w:val="auto"/>
                      <w:highlight w:val="none"/>
                      <w:lang w:val="en-US" w:eastAsia="zh-CN"/>
                    </w:rPr>
                  </w:pPr>
                </w:p>
              </w:tc>
              <w:tc>
                <w:tcPr>
                  <w:tcW w:w="979" w:type="dxa"/>
                  <w:vMerge w:val="continue"/>
                  <w:tcBorders>
                    <w:tl2br w:val="nil"/>
                    <w:tr2bl w:val="nil"/>
                  </w:tcBorders>
                  <w:noWrap w:val="0"/>
                  <w:vAlign w:val="center"/>
                </w:tcPr>
                <w:p>
                  <w:pPr>
                    <w:pStyle w:val="63"/>
                    <w:keepNext w:val="0"/>
                    <w:keepLines w:val="0"/>
                    <w:pageBreakBefore w:val="0"/>
                    <w:widowControl w:val="0"/>
                    <w:kinsoku/>
                    <w:wordWrap/>
                    <w:overflowPunct/>
                    <w:topLinePunct w:val="0"/>
                    <w:autoSpaceDE/>
                    <w:autoSpaceDN/>
                    <w:bidi w:val="0"/>
                    <w:ind w:left="0" w:firstLine="0" w:firstLineChars="0"/>
                    <w:rPr>
                      <w:rFonts w:hint="default" w:ascii="Times New Roman" w:hAnsi="Times New Roman" w:cs="Times New Roman"/>
                      <w:color w:val="auto"/>
                      <w:highlight w:val="none"/>
                    </w:rPr>
                  </w:pPr>
                </w:p>
              </w:tc>
            </w:tr>
          </w:tbl>
          <w:p>
            <w:pPr>
              <w:ind w:firstLine="420" w:firstLineChars="200"/>
              <w:rPr>
                <w:rFonts w:hint="default" w:ascii="Times New Roman" w:hAnsi="Times New Roman" w:cs="Times New Roman"/>
                <w:color w:val="auto"/>
                <w:highlight w:val="none"/>
              </w:rPr>
            </w:pPr>
          </w:p>
          <w:p>
            <w:pPr>
              <w:pStyle w:val="82"/>
              <w:ind w:firstLine="480"/>
              <w:rPr>
                <w:rFonts w:hint="default" w:ascii="Times New Roman" w:hAnsi="Times New Roman" w:eastAsia="宋体" w:cs="Times New Roman"/>
                <w:b w:val="0"/>
                <w:bCs w:val="0"/>
                <w:color w:val="auto"/>
                <w:highlight w:val="none"/>
                <w:lang w:val="en-US" w:eastAsia="zh-CN"/>
              </w:rPr>
            </w:pPr>
            <w:r>
              <w:rPr>
                <w:rFonts w:hint="default" w:ascii="Times New Roman" w:hAnsi="Times New Roman" w:cs="Times New Roman"/>
                <w:color w:val="auto"/>
                <w:highlight w:val="none"/>
              </w:rPr>
              <w:t>因此，本项目的大气环境防护距离为生产车间</w:t>
            </w:r>
            <w:r>
              <w:rPr>
                <w:rFonts w:hint="eastAsia" w:cs="Times New Roman"/>
                <w:color w:val="auto"/>
                <w:highlight w:val="none"/>
                <w:lang w:val="en-US" w:eastAsia="zh-CN"/>
              </w:rPr>
              <w:t>50</w:t>
            </w:r>
            <w:r>
              <w:rPr>
                <w:rFonts w:hint="default" w:ascii="Times New Roman" w:hAnsi="Times New Roman" w:cs="Times New Roman"/>
                <w:color w:val="auto"/>
                <w:highlight w:val="none"/>
              </w:rPr>
              <w:t>m范围内</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rPr>
              <w:t>本项目大气环境防护距离内不存在大气环境保护目标，能达到环境防护距离要求。</w:t>
            </w:r>
            <w:r>
              <w:rPr>
                <w:rFonts w:hint="eastAsia"/>
                <w:b w:val="0"/>
                <w:bCs w:val="0"/>
                <w:color w:val="auto"/>
                <w:kern w:val="44"/>
                <w:sz w:val="24"/>
                <w:highlight w:val="none"/>
              </w:rPr>
              <w:t>环境防护距离包络图</w:t>
            </w:r>
            <w:r>
              <w:rPr>
                <w:rFonts w:hint="eastAsia"/>
                <w:b w:val="0"/>
                <w:bCs w:val="0"/>
                <w:color w:val="auto"/>
                <w:kern w:val="44"/>
                <w:sz w:val="24"/>
                <w:highlight w:val="none"/>
                <w:lang w:val="en-US" w:eastAsia="zh-CN"/>
              </w:rPr>
              <w:t>见附图5。</w:t>
            </w:r>
          </w:p>
          <w:p>
            <w:pPr>
              <w:rPr>
                <w:rFonts w:hint="eastAsia"/>
                <w:color w:val="auto"/>
                <w:highlight w:val="none"/>
                <w:lang w:val="en-US" w:eastAsia="zh-CN"/>
              </w:rPr>
            </w:pPr>
          </w:p>
          <w:p>
            <w:pPr>
              <w:pStyle w:val="96"/>
              <w:rPr>
                <w:color w:val="auto"/>
                <w:highlight w:val="none"/>
              </w:rPr>
            </w:pPr>
            <w:r>
              <w:rPr>
                <w:color w:val="auto"/>
                <w:highlight w:val="none"/>
              </w:rPr>
              <w:t>1.</w:t>
            </w:r>
            <w:r>
              <w:rPr>
                <w:rFonts w:hint="eastAsia"/>
                <w:color w:val="auto"/>
                <w:highlight w:val="none"/>
                <w:lang w:val="en-US" w:eastAsia="zh-CN"/>
              </w:rPr>
              <w:t>5</w:t>
            </w:r>
            <w:r>
              <w:rPr>
                <w:color w:val="auto"/>
                <w:highlight w:val="none"/>
              </w:rPr>
              <w:t>污染源监测计划</w:t>
            </w:r>
          </w:p>
          <w:p>
            <w:pPr>
              <w:pStyle w:val="57"/>
              <w:rPr>
                <w:color w:val="auto"/>
                <w:highlight w:val="none"/>
              </w:rPr>
            </w:pPr>
            <w:r>
              <w:rPr>
                <w:color w:val="auto"/>
                <w:highlight w:val="none"/>
              </w:rPr>
              <w:t>废气污染源监测计划</w:t>
            </w:r>
          </w:p>
          <w:tbl>
            <w:tblPr>
              <w:tblStyle w:val="25"/>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29"/>
              <w:gridCol w:w="4146"/>
              <w:gridCol w:w="772"/>
              <w:gridCol w:w="16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869"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监测点位</w:t>
                  </w:r>
                </w:p>
              </w:tc>
              <w:tc>
                <w:tcPr>
                  <w:tcW w:w="829"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监测项目</w:t>
                  </w:r>
                </w:p>
              </w:tc>
              <w:tc>
                <w:tcPr>
                  <w:tcW w:w="414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执行标准</w:t>
                  </w:r>
                </w:p>
              </w:tc>
              <w:tc>
                <w:tcPr>
                  <w:tcW w:w="77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监测频率</w:t>
                  </w:r>
                </w:p>
              </w:tc>
              <w:tc>
                <w:tcPr>
                  <w:tcW w:w="167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hint="default" w:ascii="Times New Roman" w:hAnsi="Times New Roman" w:eastAsia="宋体" w:cs="Times New Roman"/>
                      <w:color w:val="auto"/>
                      <w:sz w:val="21"/>
                      <w:szCs w:val="21"/>
                      <w:highlight w:val="none"/>
                    </w:rPr>
                    <w:t>监测</w:t>
                  </w:r>
                  <w:r>
                    <w:rPr>
                      <w:rFonts w:hint="eastAsia" w:ascii="Times New Roman" w:hAnsi="Times New Roman" w:eastAsia="宋体" w:cs="Times New Roman"/>
                      <w:color w:val="auto"/>
                      <w:sz w:val="21"/>
                      <w:szCs w:val="21"/>
                      <w:highlight w:val="none"/>
                    </w:rPr>
                    <w:t>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869"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0" w:beforeLines="0"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DA001</w:t>
                  </w:r>
                </w:p>
              </w:tc>
              <w:tc>
                <w:tcPr>
                  <w:tcW w:w="829"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0" w:beforeLines="0"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颗粒物</w:t>
                  </w:r>
                </w:p>
              </w:tc>
              <w:tc>
                <w:tcPr>
                  <w:tcW w:w="4146"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0" w:beforeLines="0" w:line="240" w:lineRule="auto"/>
                    <w:ind w:firstLine="0" w:firstLineChars="0"/>
                    <w:jc w:val="center"/>
                    <w:textAlignment w:val="auto"/>
                    <w:rPr>
                      <w:rFonts w:hint="default" w:ascii="Times New Roman" w:hAnsi="Times New Roman" w:cs="Times New Roman"/>
                      <w:color w:val="auto"/>
                      <w:kern w:val="0"/>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《大气污染物综合排放标》（GB16297-1996）表2</w:t>
                  </w:r>
                  <w:r>
                    <w:rPr>
                      <w:rFonts w:hint="eastAsia" w:ascii="Times New Roman" w:hAnsi="Times New Roman" w:eastAsia="宋体" w:cs="Times New Roman"/>
                      <w:color w:val="auto"/>
                      <w:sz w:val="21"/>
                      <w:szCs w:val="21"/>
                      <w:highlight w:val="none"/>
                      <w:lang w:val="en-US" w:eastAsia="zh-CN"/>
                    </w:rPr>
                    <w:t>标准限值</w:t>
                  </w:r>
                </w:p>
              </w:tc>
              <w:tc>
                <w:tcPr>
                  <w:tcW w:w="772" w:type="dxa"/>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0" w:beforeLines="0" w:line="240" w:lineRule="auto"/>
                    <w:ind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1次/年</w:t>
                  </w:r>
                </w:p>
              </w:tc>
              <w:tc>
                <w:tcPr>
                  <w:tcW w:w="1676" w:type="dxa"/>
                  <w:vMerge w:val="restart"/>
                  <w:noWrap w:val="0"/>
                  <w:vAlign w:val="center"/>
                </w:tcPr>
                <w:p>
                  <w:pPr>
                    <w:pStyle w:val="8"/>
                    <w:keepNext w:val="0"/>
                    <w:keepLines w:val="0"/>
                    <w:pageBreakBefore w:val="0"/>
                    <w:widowControl w:val="0"/>
                    <w:kinsoku/>
                    <w:wordWrap/>
                    <w:overflowPunct/>
                    <w:topLinePunct w:val="0"/>
                    <w:autoSpaceDE/>
                    <w:autoSpaceDN/>
                    <w:bidi w:val="0"/>
                    <w:adjustRightInd/>
                    <w:snapToGrid w:val="0"/>
                    <w:spacing w:before="0" w:beforeLines="0" w:line="240" w:lineRule="auto"/>
                    <w:ind w:firstLine="0" w:firstLineChars="0"/>
                    <w:jc w:val="center"/>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排污许可证申请与核发技术规范 陶瓷砖瓦工业</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HJ954-2018</w:t>
                  </w:r>
                  <w:r>
                    <w:rPr>
                      <w:rFonts w:hint="eastAsia" w:ascii="Times New Roman" w:hAnsi="Times New Roman" w:cs="Times New Roman"/>
                      <w:color w:val="auto"/>
                      <w:sz w:val="21"/>
                      <w:szCs w:val="21"/>
                      <w:highlight w:val="non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869"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厂界</w:t>
                  </w:r>
                </w:p>
              </w:tc>
              <w:tc>
                <w:tcPr>
                  <w:tcW w:w="829"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颗粒物</w:t>
                  </w:r>
                </w:p>
              </w:tc>
              <w:tc>
                <w:tcPr>
                  <w:tcW w:w="414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《大气污染物综合排放标准》(GB16297-1996)中表2的标准限值</w:t>
                  </w:r>
                </w:p>
              </w:tc>
              <w:tc>
                <w:tcPr>
                  <w:tcW w:w="77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hint="eastAsia" w:ascii="Times New Roman" w:hAnsi="Times New Roman" w:cs="Times New Roman"/>
                      <w:color w:val="auto"/>
                      <w:sz w:val="21"/>
                      <w:szCs w:val="21"/>
                      <w:highlight w:val="none"/>
                      <w:lang w:val="en-US" w:eastAsia="zh-CN"/>
                    </w:rPr>
                    <w:t>1次/年</w:t>
                  </w:r>
                </w:p>
              </w:tc>
              <w:tc>
                <w:tcPr>
                  <w:tcW w:w="1676"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Times New Roman" w:hAnsi="Times New Roman" w:cs="Times New Roman"/>
                      <w:color w:val="auto"/>
                      <w:sz w:val="21"/>
                      <w:szCs w:val="21"/>
                      <w:highlight w:val="none"/>
                      <w:lang w:val="en-US" w:eastAsia="zh-CN"/>
                    </w:rPr>
                  </w:pPr>
                </w:p>
              </w:tc>
            </w:tr>
          </w:tbl>
          <w:p>
            <w:pPr>
              <w:pStyle w:val="96"/>
              <w:keepNext w:val="0"/>
              <w:keepLines w:val="0"/>
              <w:pageBreakBefore w:val="0"/>
              <w:widowControl w:val="0"/>
              <w:kinsoku/>
              <w:wordWrap/>
              <w:overflowPunct/>
              <w:topLinePunct w:val="0"/>
              <w:autoSpaceDE/>
              <w:autoSpaceDN/>
              <w:bidi w:val="0"/>
              <w:adjustRightInd/>
              <w:snapToGrid/>
              <w:spacing w:before="157" w:beforeLines="50"/>
              <w:textAlignment w:val="auto"/>
              <w:rPr>
                <w:color w:val="auto"/>
                <w:highlight w:val="none"/>
              </w:rPr>
            </w:pPr>
            <w:r>
              <w:rPr>
                <w:color w:val="auto"/>
                <w:highlight w:val="none"/>
              </w:rPr>
              <w:t>2、废水</w:t>
            </w:r>
          </w:p>
          <w:p>
            <w:pPr>
              <w:pStyle w:val="96"/>
              <w:rPr>
                <w:color w:val="auto"/>
                <w:highlight w:val="none"/>
              </w:rPr>
            </w:pPr>
            <w:r>
              <w:rPr>
                <w:color w:val="auto"/>
                <w:highlight w:val="none"/>
              </w:rPr>
              <w:t>2.1污染源强</w:t>
            </w:r>
          </w:p>
          <w:p>
            <w:pPr>
              <w:pStyle w:val="98"/>
              <w:ind w:firstLine="480"/>
              <w:rPr>
                <w:color w:val="auto"/>
                <w:highlight w:val="none"/>
              </w:rPr>
            </w:pPr>
            <w:r>
              <w:rPr>
                <w:color w:val="auto"/>
                <w:highlight w:val="none"/>
              </w:rPr>
              <w:t>本项目废水主要有生产废水、初期雨水，废水污染源情况如下表所示。</w:t>
            </w:r>
          </w:p>
          <w:p>
            <w:pPr>
              <w:pStyle w:val="57"/>
              <w:rPr>
                <w:color w:val="auto"/>
                <w:highlight w:val="none"/>
              </w:rPr>
            </w:pPr>
            <w:r>
              <w:rPr>
                <w:rFonts w:hint="eastAsia"/>
                <w:color w:val="auto"/>
                <w:highlight w:val="none"/>
                <w:lang w:val="en-US" w:eastAsia="zh-CN"/>
              </w:rPr>
              <w:t>项目废水治理设施一览表</w:t>
            </w:r>
          </w:p>
          <w:tbl>
            <w:tblPr>
              <w:tblStyle w:val="2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835"/>
              <w:gridCol w:w="835"/>
              <w:gridCol w:w="1657"/>
              <w:gridCol w:w="1066"/>
              <w:gridCol w:w="1209"/>
              <w:gridCol w:w="648"/>
              <w:gridCol w:w="1022"/>
              <w:gridCol w:w="10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835"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类别</w:t>
                  </w:r>
                </w:p>
              </w:tc>
              <w:tc>
                <w:tcPr>
                  <w:tcW w:w="835"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产污环节</w:t>
                  </w:r>
                </w:p>
              </w:tc>
              <w:tc>
                <w:tcPr>
                  <w:tcW w:w="1657"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废水排放量（t/a）</w:t>
                  </w:r>
                </w:p>
              </w:tc>
              <w:tc>
                <w:tcPr>
                  <w:tcW w:w="1066"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污染物种类</w:t>
                  </w:r>
                </w:p>
              </w:tc>
              <w:tc>
                <w:tcPr>
                  <w:tcW w:w="2879" w:type="dxa"/>
                  <w:gridSpan w:val="3"/>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治理措施</w:t>
                  </w:r>
                </w:p>
              </w:tc>
              <w:tc>
                <w:tcPr>
                  <w:tcW w:w="1023"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排放口信息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835"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835"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657"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066"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209"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处理工艺</w:t>
                  </w:r>
                </w:p>
              </w:tc>
              <w:tc>
                <w:tcPr>
                  <w:tcW w:w="648"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排放量</w:t>
                  </w:r>
                </w:p>
              </w:tc>
              <w:tc>
                <w:tcPr>
                  <w:tcW w:w="1022"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排放去向</w:t>
                  </w:r>
                </w:p>
              </w:tc>
              <w:tc>
                <w:tcPr>
                  <w:tcW w:w="1023"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35"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生产废水</w:t>
                  </w:r>
                </w:p>
              </w:tc>
              <w:tc>
                <w:tcPr>
                  <w:tcW w:w="835"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洗砂</w:t>
                  </w:r>
                </w:p>
              </w:tc>
              <w:tc>
                <w:tcPr>
                  <w:tcW w:w="1657"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251.76</w:t>
                  </w:r>
                </w:p>
              </w:tc>
              <w:tc>
                <w:tcPr>
                  <w:tcW w:w="1066"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pH</w:t>
                  </w:r>
                </w:p>
              </w:tc>
              <w:tc>
                <w:tcPr>
                  <w:tcW w:w="1209"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深锥浓缩处理</w:t>
                  </w:r>
                </w:p>
              </w:tc>
              <w:tc>
                <w:tcPr>
                  <w:tcW w:w="648"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0</w:t>
                  </w:r>
                </w:p>
              </w:tc>
              <w:tc>
                <w:tcPr>
                  <w:tcW w:w="102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r>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t>回用于生产</w:t>
                  </w:r>
                </w:p>
              </w:tc>
              <w:tc>
                <w:tcPr>
                  <w:tcW w:w="1023"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r>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35"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835"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657"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066"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SS</w:t>
                  </w:r>
                </w:p>
              </w:tc>
              <w:tc>
                <w:tcPr>
                  <w:tcW w:w="1209"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648"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02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p>
              </w:tc>
              <w:tc>
                <w:tcPr>
                  <w:tcW w:w="1023"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35"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初期雨水</w:t>
                  </w:r>
                </w:p>
              </w:tc>
              <w:tc>
                <w:tcPr>
                  <w:tcW w:w="835"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降雨</w:t>
                  </w:r>
                </w:p>
              </w:tc>
              <w:tc>
                <w:tcPr>
                  <w:tcW w:w="1657"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2407.59</w:t>
                  </w:r>
                  <w:r>
                    <w:rPr>
                      <w:rFonts w:hint="default" w:ascii="Times New Roman" w:hAnsi="Times New Roman" w:eastAsia="宋体" w:cs="Times New Roman"/>
                      <w:color w:val="auto"/>
                      <w:sz w:val="21"/>
                      <w:szCs w:val="21"/>
                      <w:highlight w:val="none"/>
                    </w:rPr>
                    <w:t xml:space="preserve"> </w:t>
                  </w:r>
                </w:p>
              </w:tc>
              <w:tc>
                <w:tcPr>
                  <w:tcW w:w="1066"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pH</w:t>
                  </w:r>
                </w:p>
              </w:tc>
              <w:tc>
                <w:tcPr>
                  <w:tcW w:w="1209"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沉淀</w:t>
                  </w:r>
                </w:p>
              </w:tc>
              <w:tc>
                <w:tcPr>
                  <w:tcW w:w="648"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0</w:t>
                  </w:r>
                </w:p>
              </w:tc>
              <w:tc>
                <w:tcPr>
                  <w:tcW w:w="102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r>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t>回用于生产</w:t>
                  </w:r>
                </w:p>
              </w:tc>
              <w:tc>
                <w:tcPr>
                  <w:tcW w:w="1023" w:type="dxa"/>
                  <w:vMerge w:val="restart"/>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r>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35"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835"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657"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066"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SS</w:t>
                  </w:r>
                </w:p>
              </w:tc>
              <w:tc>
                <w:tcPr>
                  <w:tcW w:w="1209"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648"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02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p>
              </w:tc>
              <w:tc>
                <w:tcPr>
                  <w:tcW w:w="1023"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35"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835"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657"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066"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BOD</w:t>
                  </w:r>
                  <w:r>
                    <w:rPr>
                      <w:rFonts w:hint="default" w:ascii="Times New Roman" w:hAnsi="Times New Roman" w:eastAsia="宋体" w:cs="Times New Roman"/>
                      <w:color w:val="auto"/>
                      <w:sz w:val="21"/>
                      <w:szCs w:val="21"/>
                      <w:highlight w:val="none"/>
                      <w:vertAlign w:val="subscript"/>
                      <w:lang w:val="en-US" w:eastAsia="zh-CN"/>
                    </w:rPr>
                    <w:t>5</w:t>
                  </w:r>
                </w:p>
              </w:tc>
              <w:tc>
                <w:tcPr>
                  <w:tcW w:w="1209"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648"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022"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p>
              </w:tc>
              <w:tc>
                <w:tcPr>
                  <w:tcW w:w="1023"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35"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835"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657"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066"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SS</w:t>
                  </w:r>
                </w:p>
              </w:tc>
              <w:tc>
                <w:tcPr>
                  <w:tcW w:w="1209"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648"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022"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p>
              </w:tc>
              <w:tc>
                <w:tcPr>
                  <w:tcW w:w="1023"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35"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835"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657"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066" w:type="dxa"/>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vertAlign w:val="baseline"/>
                      <w:lang w:val="en-US" w:eastAsia="zh-CN"/>
                    </w:rPr>
                    <w:t>氨氮</w:t>
                  </w:r>
                </w:p>
              </w:tc>
              <w:tc>
                <w:tcPr>
                  <w:tcW w:w="1209"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648"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c>
                <w:tcPr>
                  <w:tcW w:w="1022"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p>
              </w:tc>
              <w:tc>
                <w:tcPr>
                  <w:tcW w:w="1023" w:type="dxa"/>
                  <w:vMerge w:val="continue"/>
                  <w:tcBorders>
                    <w:tl2br w:val="nil"/>
                    <w:tr2bl w:val="nil"/>
                  </w:tcBorders>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color w:val="auto"/>
                      <w:sz w:val="21"/>
                      <w:szCs w:val="21"/>
                      <w:highlight w:val="none"/>
                      <w:vertAlign w:val="baseline"/>
                      <w:lang w:val="en-US" w:eastAsia="zh-CN"/>
                    </w:rPr>
                  </w:pPr>
                </w:p>
              </w:tc>
            </w:tr>
          </w:tbl>
          <w:p>
            <w:pPr>
              <w:pStyle w:val="63"/>
              <w:rPr>
                <w:color w:val="auto"/>
                <w:highlight w:val="none"/>
              </w:rPr>
            </w:pPr>
          </w:p>
          <w:p>
            <w:pPr>
              <w:bidi w:val="0"/>
              <w:spacing w:line="360" w:lineRule="auto"/>
              <w:ind w:firstLine="482" w:firstLineChars="200"/>
              <w:rPr>
                <w:rFonts w:hint="eastAsia"/>
                <w:b/>
                <w:bCs/>
                <w:color w:val="auto"/>
                <w:sz w:val="24"/>
                <w:szCs w:val="32"/>
                <w:highlight w:val="none"/>
                <w:lang w:val="en-US" w:eastAsia="zh-CN"/>
              </w:rPr>
            </w:pPr>
            <w:r>
              <w:rPr>
                <w:rFonts w:hint="eastAsia"/>
                <w:b/>
                <w:bCs/>
                <w:color w:val="auto"/>
                <w:sz w:val="24"/>
                <w:szCs w:val="32"/>
                <w:highlight w:val="none"/>
                <w:lang w:val="en-US" w:eastAsia="zh-CN"/>
              </w:rPr>
              <w:t>废水源强核算：</w:t>
            </w:r>
          </w:p>
          <w:p>
            <w:pPr>
              <w:numPr>
                <w:ilvl w:val="0"/>
                <w:numId w:val="4"/>
              </w:numPr>
              <w:bidi w:val="0"/>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color w:val="auto"/>
                <w:sz w:val="24"/>
                <w:szCs w:val="24"/>
                <w:highlight w:val="none"/>
                <w:lang w:val="en-US" w:eastAsia="zh-CN"/>
              </w:rPr>
              <w:t>生产废水：根据建设单位提供资料项目洗砂过程中，每吨用水量</w:t>
            </w:r>
            <w:r>
              <w:rPr>
                <w:rFonts w:hint="default" w:ascii="Times New Roman" w:hAnsi="Times New Roman" w:cs="Times New Roman"/>
                <w:color w:val="auto"/>
                <w:sz w:val="24"/>
                <w:szCs w:val="24"/>
                <w:highlight w:val="none"/>
                <w:lang w:val="en-US" w:eastAsia="zh-CN"/>
              </w:rPr>
              <w:t>约为0.</w:t>
            </w:r>
            <w:r>
              <w:rPr>
                <w:rFonts w:hint="eastAsia" w:cs="Times New Roman"/>
                <w:color w:val="auto"/>
                <w:sz w:val="24"/>
                <w:szCs w:val="24"/>
                <w:highlight w:val="none"/>
                <w:lang w:val="en-US" w:eastAsia="zh-CN"/>
              </w:rPr>
              <w:t>3</w:t>
            </w:r>
            <w:r>
              <w:rPr>
                <w:rFonts w:hint="default" w:ascii="Times New Roman" w:hAnsi="Times New Roman" w:cs="Times New Roman"/>
                <w:color w:val="auto"/>
                <w:sz w:val="24"/>
                <w:szCs w:val="24"/>
                <w:highlight w:val="none"/>
                <w:lang w:val="en-US" w:eastAsia="zh-CN"/>
              </w:rPr>
              <w:t>t，</w:t>
            </w:r>
            <w:r>
              <w:rPr>
                <w:rFonts w:hint="eastAsia" w:ascii="Times New Roman" w:hAnsi="Times New Roman" w:cs="Times New Roman"/>
                <w:color w:val="auto"/>
                <w:sz w:val="24"/>
                <w:szCs w:val="24"/>
                <w:highlight w:val="none"/>
                <w:lang w:val="en-US" w:eastAsia="zh-CN"/>
              </w:rPr>
              <w:t>项目需要水洗骨料约63.6万t/a，用水量约为</w:t>
            </w:r>
            <w:r>
              <w:rPr>
                <w:rFonts w:hint="eastAsia" w:cs="Times New Roman"/>
                <w:color w:val="auto"/>
                <w:sz w:val="24"/>
                <w:szCs w:val="24"/>
                <w:highlight w:val="none"/>
                <w:lang w:val="en-US" w:eastAsia="zh-CN"/>
              </w:rPr>
              <w:t>578.18</w:t>
            </w:r>
            <w:r>
              <w:rPr>
                <w:rFonts w:hint="eastAsia" w:ascii="Times New Roman" w:hAnsi="Times New Roman" w:cs="Times New Roman"/>
                <w:color w:val="auto"/>
                <w:sz w:val="24"/>
                <w:szCs w:val="24"/>
                <w:highlight w:val="none"/>
                <w:lang w:val="en-US" w:eastAsia="zh-CN"/>
              </w:rPr>
              <w:t>t/d（</w:t>
            </w:r>
            <w:r>
              <w:rPr>
                <w:rFonts w:hint="eastAsia" w:cs="Times New Roman"/>
                <w:color w:val="auto"/>
                <w:sz w:val="24"/>
                <w:szCs w:val="24"/>
                <w:highlight w:val="none"/>
                <w:lang w:val="en-US" w:eastAsia="zh-CN"/>
              </w:rPr>
              <w:t>19.08</w:t>
            </w:r>
            <w:r>
              <w:rPr>
                <w:rFonts w:hint="eastAsia" w:ascii="Times New Roman" w:hAnsi="Times New Roman" w:cs="Times New Roman"/>
                <w:color w:val="auto"/>
                <w:sz w:val="24"/>
                <w:szCs w:val="24"/>
                <w:highlight w:val="none"/>
                <w:lang w:val="en-US" w:eastAsia="zh-CN"/>
              </w:rPr>
              <w:t>万t/a），洗砂废水经深锥浓缩罐处理后循环使用，不外排。因随污泥带走量约48.48t/d（1.60万t/a）（污泥含水率约为40%），产品带走量约214.24t/d（7.07万t/a）（产品脱水后含水率约10%），水量蒸发损耗量约为29.19t/d（0.96万t/a）（占总水量的10%）。水量总损耗为291.91t/d（9.63万t/a）。</w:t>
            </w:r>
          </w:p>
          <w:p>
            <w:pPr>
              <w:numPr>
                <w:ilvl w:val="0"/>
                <w:numId w:val="0"/>
              </w:numPr>
              <w:bidi w:val="0"/>
              <w:spacing w:line="360" w:lineRule="auto"/>
              <w:ind w:firstLine="480" w:firstLineChars="200"/>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（2）初期雨水：本项目初期雨水量采用《室外排水设计规范》（GB50014-2006）中雨水设计流量</w:t>
            </w:r>
            <w:r>
              <w:rPr>
                <w:rFonts w:hint="eastAsia" w:cs="Times New Roman"/>
                <w:color w:val="auto"/>
                <w:sz w:val="24"/>
                <w:szCs w:val="24"/>
                <w:highlight w:val="none"/>
                <w:lang w:val="en-US" w:eastAsia="zh-CN"/>
              </w:rPr>
              <w:t>公式</w:t>
            </w:r>
            <w:r>
              <w:rPr>
                <w:rFonts w:hint="eastAsia" w:ascii="Times New Roman" w:hAnsi="Times New Roman" w:cs="Times New Roman"/>
                <w:color w:val="auto"/>
                <w:sz w:val="24"/>
                <w:szCs w:val="24"/>
                <w:highlight w:val="none"/>
                <w:lang w:val="en-US" w:eastAsia="zh-CN"/>
              </w:rPr>
              <w:t>进行计算，计算</w:t>
            </w:r>
            <w:r>
              <w:rPr>
                <w:rFonts w:hint="eastAsia" w:cs="Times New Roman"/>
                <w:color w:val="auto"/>
                <w:sz w:val="24"/>
                <w:szCs w:val="24"/>
                <w:highlight w:val="none"/>
                <w:lang w:val="en-US" w:eastAsia="zh-CN"/>
              </w:rPr>
              <w:t>公式</w:t>
            </w:r>
            <w:r>
              <w:rPr>
                <w:rFonts w:hint="eastAsia" w:ascii="Times New Roman" w:hAnsi="Times New Roman" w:cs="Times New Roman"/>
                <w:color w:val="auto"/>
                <w:sz w:val="24"/>
                <w:szCs w:val="24"/>
                <w:highlight w:val="none"/>
                <w:lang w:val="en-US" w:eastAsia="zh-CN"/>
              </w:rPr>
              <w:t>如下：</w:t>
            </w:r>
          </w:p>
          <w:p>
            <w:pPr>
              <w:spacing w:line="36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position w:val="-10"/>
                <w:sz w:val="24"/>
                <w:szCs w:val="24"/>
                <w:highlight w:val="none"/>
                <w:lang w:val="en-US" w:eastAsia="zh-CN"/>
              </w:rPr>
              <w:object>
                <v:shape id="_x0000_i1037" o:spt="75" type="#_x0000_t75" style="height:16pt;width:59pt;" o:ole="t" filled="f" o:preferrelative="t" stroked="f" coordsize="21600,21600">
                  <v:path/>
                  <v:fill on="f" focussize="0,0"/>
                  <v:stroke on="f"/>
                  <v:imagedata r:id="rId33" o:title=""/>
                  <o:lock v:ext="edit" aspectratio="t"/>
                  <w10:wrap type="none"/>
                  <w10:anchorlock/>
                </v:shape>
                <o:OLEObject Type="Embed" ProgID="Equation.KSEE3" ShapeID="_x0000_i1037" DrawAspect="Content" ObjectID="_1468075736" r:id="rId32">
                  <o:LockedField>false</o:LockedField>
                </o:OLEObject>
              </w:object>
            </w:r>
          </w:p>
          <w:p>
            <w:pPr>
              <w:bidi w:val="0"/>
              <w:spacing w:line="360"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式中：</w:t>
            </w:r>
            <w:r>
              <w:rPr>
                <w:rFonts w:hint="default" w:ascii="Times New Roman" w:hAnsi="Times New Roman" w:cs="Times New Roman"/>
                <w:color w:val="auto"/>
                <w:position w:val="-10"/>
                <w:sz w:val="24"/>
                <w:szCs w:val="24"/>
                <w:highlight w:val="none"/>
                <w:lang w:val="en-US" w:eastAsia="zh-CN"/>
              </w:rPr>
              <w:object>
                <v:shape id="_x0000_i1038" o:spt="75" type="#_x0000_t75" style="height:16pt;width:12pt;" o:ole="t" filled="f" o:preferrelative="t" stroked="f" coordsize="21600,21600">
                  <v:path/>
                  <v:fill on="f" focussize="0,0"/>
                  <v:stroke on="f"/>
                  <v:imagedata r:id="rId35" o:title=""/>
                  <o:lock v:ext="edit" aspectratio="t"/>
                  <w10:wrap type="none"/>
                  <w10:anchorlock/>
                </v:shape>
                <o:OLEObject Type="Embed" ProgID="Equation.KSEE3" ShapeID="_x0000_i1038" DrawAspect="Content" ObjectID="_1468075737" r:id="rId34">
                  <o:LockedField>false</o:LockedField>
                </o:OLEObject>
              </w:object>
            </w:r>
            <w:r>
              <w:rPr>
                <w:rFonts w:hint="default" w:ascii="Times New Roman" w:hAnsi="Times New Roman" w:cs="Times New Roman"/>
                <w:color w:val="auto"/>
                <w:sz w:val="24"/>
                <w:szCs w:val="24"/>
                <w:highlight w:val="none"/>
                <w:lang w:val="en-US" w:eastAsia="zh-CN"/>
              </w:rPr>
              <w:t>——雨水设计流量，L/s；</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position w:val="-10"/>
                <w:sz w:val="24"/>
                <w:szCs w:val="24"/>
                <w:highlight w:val="none"/>
                <w:lang w:val="en-US" w:eastAsia="zh-CN"/>
              </w:rPr>
              <w:object>
                <v:shape id="_x0000_i1039" o:spt="75" type="#_x0000_t75" style="height:13pt;width:10pt;" o:ole="t" filled="f" o:preferrelative="t" stroked="f" coordsize="21600,21600">
                  <v:path/>
                  <v:fill on="f" focussize="0,0"/>
                  <v:stroke on="f"/>
                  <v:imagedata r:id="rId37" o:title=""/>
                  <o:lock v:ext="edit" aspectratio="t"/>
                  <w10:wrap type="none"/>
                  <w10:anchorlock/>
                </v:shape>
                <o:OLEObject Type="Embed" ProgID="Equation.KSEE3" ShapeID="_x0000_i1039" DrawAspect="Content" ObjectID="_1468075738" r:id="rId36">
                  <o:LockedField>false</o:LockedField>
                </o:OLEObject>
              </w:object>
            </w:r>
            <w:r>
              <w:rPr>
                <w:rFonts w:hint="default" w:ascii="Times New Roman" w:hAnsi="Times New Roman" w:cs="Times New Roman"/>
                <w:color w:val="auto"/>
                <w:sz w:val="24"/>
                <w:szCs w:val="24"/>
                <w:highlight w:val="none"/>
                <w:lang w:val="en-US" w:eastAsia="zh-CN"/>
              </w:rPr>
              <w:t>——设计暴雨强度，L/（s·hm</w:t>
            </w:r>
            <w:r>
              <w:rPr>
                <w:rFonts w:hint="default" w:ascii="Times New Roman" w:hAnsi="Times New Roman" w:cs="Times New Roman"/>
                <w:color w:val="auto"/>
                <w:sz w:val="24"/>
                <w:szCs w:val="24"/>
                <w:highlight w:val="none"/>
                <w:vertAlign w:val="superscript"/>
                <w:lang w:val="en-US" w:eastAsia="zh-CN"/>
              </w:rPr>
              <w:t>2</w:t>
            </w:r>
            <w:r>
              <w:rPr>
                <w:rFonts w:hint="default" w:ascii="Times New Roman" w:hAnsi="Times New Roman"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position w:val="-10"/>
                <w:sz w:val="24"/>
                <w:szCs w:val="24"/>
                <w:highlight w:val="none"/>
                <w:lang w:val="en-US" w:eastAsia="zh-CN"/>
              </w:rPr>
              <w:object>
                <v:shape id="_x0000_i1040" o:spt="75" type="#_x0000_t75" style="height:13pt;width:11pt;" o:ole="t" filled="f" o:preferrelative="t" stroked="f" coordsize="21600,21600">
                  <v:path/>
                  <v:fill on="f" focussize="0,0"/>
                  <v:stroke on="f"/>
                  <v:imagedata r:id="rId39" o:title=""/>
                  <o:lock v:ext="edit" aspectratio="t"/>
                  <w10:wrap type="none"/>
                  <w10:anchorlock/>
                </v:shape>
                <o:OLEObject Type="Embed" ProgID="Equation.KSEE3" ShapeID="_x0000_i1040" DrawAspect="Content" ObjectID="_1468075739" r:id="rId38">
                  <o:LockedField>false</o:LockedField>
                </o:OLEObject>
              </w:object>
            </w:r>
            <w:r>
              <w:rPr>
                <w:rFonts w:hint="default" w:ascii="Times New Roman" w:hAnsi="Times New Roman" w:cs="Times New Roman"/>
                <w:color w:val="auto"/>
                <w:sz w:val="24"/>
                <w:szCs w:val="24"/>
                <w:highlight w:val="none"/>
                <w:lang w:val="en-US" w:eastAsia="zh-CN"/>
              </w:rPr>
              <w:t>——径流系数，本项目取0.</w:t>
            </w:r>
            <w:r>
              <w:rPr>
                <w:rFonts w:hint="eastAsia" w:cs="Times New Roman"/>
                <w:color w:val="auto"/>
                <w:sz w:val="24"/>
                <w:szCs w:val="24"/>
                <w:highlight w:val="none"/>
                <w:lang w:val="en-US" w:eastAsia="zh-CN"/>
              </w:rPr>
              <w:t>5；</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position w:val="-4"/>
                <w:sz w:val="24"/>
                <w:szCs w:val="24"/>
                <w:highlight w:val="none"/>
                <w:lang w:val="en-US" w:eastAsia="zh-CN"/>
              </w:rPr>
              <w:object>
                <v:shape id="_x0000_i1041" o:spt="75" type="#_x0000_t75" style="height:13pt;width:13pt;" o:ole="t" filled="f" o:preferrelative="t" stroked="f" coordsize="21600,21600">
                  <v:path/>
                  <v:fill on="f" focussize="0,0"/>
                  <v:stroke on="f"/>
                  <v:imagedata r:id="rId41" o:title=""/>
                  <o:lock v:ext="edit" aspectratio="t"/>
                  <w10:wrap type="none"/>
                  <w10:anchorlock/>
                </v:shape>
                <o:OLEObject Type="Embed" ProgID="Equation.KSEE3" ShapeID="_x0000_i1041" DrawAspect="Content" ObjectID="_1468075740" r:id="rId40">
                  <o:LockedField>false</o:LockedField>
                </o:OLEObject>
              </w:object>
            </w:r>
            <w:r>
              <w:rPr>
                <w:rFonts w:hint="default" w:ascii="Times New Roman" w:hAnsi="Times New Roman" w:cs="Times New Roman"/>
                <w:color w:val="auto"/>
                <w:sz w:val="24"/>
                <w:szCs w:val="24"/>
                <w:highlight w:val="none"/>
                <w:lang w:val="en-US" w:eastAsia="zh-CN"/>
              </w:rPr>
              <w:t>——汇水面积</w:t>
            </w:r>
            <w:r>
              <w:rPr>
                <w:rFonts w:hint="eastAsia" w:ascii="Times New Roman" w:hAnsi="Times New Roman" w:cs="Times New Roman"/>
                <w:color w:val="auto"/>
                <w:sz w:val="24"/>
                <w:szCs w:val="24"/>
                <w:highlight w:val="none"/>
                <w:lang w:val="en-US" w:eastAsia="zh-CN"/>
              </w:rPr>
              <w:t>（15亩）；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本项目所在区域暴雨强度计算公式为：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position w:val="-28"/>
                <w:sz w:val="24"/>
                <w:szCs w:val="24"/>
                <w:highlight w:val="none"/>
                <w:lang w:val="en-US" w:eastAsia="zh-CN"/>
              </w:rPr>
              <w:object>
                <v:shape id="_x0000_i1042" o:spt="75" type="#_x0000_t75" style="height:33pt;width:154pt;" o:ole="t" filled="f" o:preferrelative="t" stroked="f" coordsize="21600,21600">
                  <v:path/>
                  <v:fill on="f" focussize="0,0"/>
                  <v:stroke on="f"/>
                  <v:imagedata r:id="rId43" o:title=""/>
                  <o:lock v:ext="edit" aspectratio="t"/>
                  <w10:wrap type="none"/>
                  <w10:anchorlock/>
                </v:shape>
                <o:OLEObject Type="Embed" ProgID="Equation.KSEE3" ShapeID="_x0000_i1042" DrawAspect="Content" ObjectID="_1468075741" r:id="rId42">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式中：</w:t>
            </w:r>
            <w:r>
              <w:rPr>
                <w:rFonts w:hint="default" w:ascii="Times New Roman" w:hAnsi="Times New Roman" w:cs="Times New Roman"/>
                <w:color w:val="auto"/>
                <w:position w:val="-6"/>
                <w:sz w:val="24"/>
                <w:szCs w:val="24"/>
                <w:highlight w:val="none"/>
                <w:lang w:val="en-US" w:eastAsia="zh-CN"/>
              </w:rPr>
              <w:object>
                <v:shape id="_x0000_i1043" o:spt="75" type="#_x0000_t75" style="height:13.95pt;width:15pt;" o:ole="t" filled="f" o:preferrelative="t" stroked="f" coordsize="21600,21600">
                  <v:path/>
                  <v:fill on="f" focussize="0,0"/>
                  <v:stroke on="f"/>
                  <v:imagedata r:id="rId45" o:title=""/>
                  <o:lock v:ext="edit" aspectratio="t"/>
                  <w10:wrap type="none"/>
                  <w10:anchorlock/>
                </v:shape>
                <o:OLEObject Type="Embed" ProgID="Equation.KSEE3" ShapeID="_x0000_i1043" DrawAspect="Content" ObjectID="_1468075742" r:id="rId44">
                  <o:LockedField>false</o:LockedField>
                </o:OLEObject>
              </w:object>
            </w:r>
            <w:r>
              <w:rPr>
                <w:rFonts w:hint="default" w:ascii="Times New Roman" w:hAnsi="Times New Roman" w:cs="Times New Roman"/>
                <w:color w:val="auto"/>
                <w:sz w:val="24"/>
                <w:szCs w:val="24"/>
                <w:highlight w:val="none"/>
                <w:lang w:val="en-US" w:eastAsia="zh-CN"/>
              </w:rPr>
              <w:t>——室外道路降雨重现期，本项目取</w:t>
            </w:r>
            <w:r>
              <w:rPr>
                <w:rFonts w:hint="eastAsia" w:cs="Times New Roman"/>
                <w:color w:val="auto"/>
                <w:sz w:val="24"/>
                <w:szCs w:val="24"/>
                <w:highlight w:val="none"/>
                <w:lang w:val="en-US" w:eastAsia="zh-CN"/>
              </w:rPr>
              <w:t>1</w:t>
            </w:r>
            <w:r>
              <w:rPr>
                <w:rFonts w:hint="default" w:ascii="Times New Roman" w:hAnsi="Times New Roman" w:cs="Times New Roman"/>
                <w:color w:val="auto"/>
                <w:sz w:val="24"/>
                <w:szCs w:val="24"/>
                <w:highlight w:val="none"/>
                <w:lang w:val="en-US" w:eastAsia="zh-CN"/>
              </w:rPr>
              <w:t>年；</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position w:val="-6"/>
                <w:sz w:val="24"/>
                <w:szCs w:val="24"/>
                <w:highlight w:val="none"/>
                <w:lang w:val="en-US" w:eastAsia="zh-CN"/>
              </w:rPr>
              <w:object>
                <v:shape id="_x0000_i1044" o:spt="75" type="#_x0000_t75" style="height:12pt;width:6.95pt;" o:ole="t" filled="f" o:preferrelative="t" stroked="f" coordsize="21600,21600">
                  <v:path/>
                  <v:fill on="f" focussize="0,0"/>
                  <v:stroke on="f"/>
                  <v:imagedata r:id="rId47" o:title=""/>
                  <o:lock v:ext="edit" aspectratio="t"/>
                  <w10:wrap type="none"/>
                  <w10:anchorlock/>
                </v:shape>
                <o:OLEObject Type="Embed" ProgID="Equation.KSEE3" ShapeID="_x0000_i1044" DrawAspect="Content" ObjectID="_1468075743" r:id="rId46">
                  <o:LockedField>false</o:LockedField>
                </o:OLEObject>
              </w:object>
            </w:r>
            <w:r>
              <w:rPr>
                <w:rFonts w:hint="default" w:ascii="Times New Roman" w:hAnsi="Times New Roman" w:cs="Times New Roman"/>
                <w:color w:val="auto"/>
                <w:sz w:val="24"/>
                <w:szCs w:val="24"/>
                <w:highlight w:val="none"/>
                <w:lang w:val="en-US" w:eastAsia="zh-CN"/>
              </w:rPr>
              <w:t>——室外雨水管道设计降雨历时：t取15 min。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szCs w:val="24"/>
                <w:highlight w:val="none"/>
                <w:lang w:val="en-US" w:eastAsia="zh-CN"/>
              </w:rPr>
            </w:pPr>
            <w:r>
              <w:rPr>
                <w:color w:val="auto"/>
                <w:sz w:val="24"/>
                <w:szCs w:val="24"/>
                <w:highlight w:val="none"/>
              </w:rPr>
              <w:t>经计算，暴雨强度为</w:t>
            </w:r>
            <w:r>
              <w:rPr>
                <w:rFonts w:hint="eastAsia"/>
                <w:color w:val="auto"/>
                <w:sz w:val="24"/>
                <w:szCs w:val="24"/>
                <w:highlight w:val="none"/>
                <w:lang w:val="en-US" w:eastAsia="zh-CN"/>
              </w:rPr>
              <w:t>297.24</w:t>
            </w:r>
            <w:r>
              <w:rPr>
                <w:color w:val="auto"/>
                <w:sz w:val="24"/>
                <w:szCs w:val="24"/>
                <w:highlight w:val="none"/>
              </w:rPr>
              <w:t>L/s·hm</w:t>
            </w:r>
            <w:r>
              <w:rPr>
                <w:color w:val="auto"/>
                <w:sz w:val="24"/>
                <w:szCs w:val="24"/>
                <w:highlight w:val="none"/>
                <w:vertAlign w:val="superscript"/>
              </w:rPr>
              <w:t>2</w:t>
            </w:r>
            <w:r>
              <w:rPr>
                <w:color w:val="auto"/>
                <w:sz w:val="24"/>
                <w:szCs w:val="24"/>
                <w:highlight w:val="none"/>
              </w:rPr>
              <w:t>，雨水流量</w:t>
            </w:r>
            <w:r>
              <w:rPr>
                <w:rFonts w:hint="eastAsia"/>
                <w:color w:val="auto"/>
                <w:sz w:val="24"/>
                <w:szCs w:val="24"/>
                <w:highlight w:val="none"/>
                <w:lang w:val="en-US" w:eastAsia="zh-CN"/>
              </w:rPr>
              <w:t>178.34</w:t>
            </w:r>
            <w:r>
              <w:rPr>
                <w:color w:val="auto"/>
                <w:sz w:val="24"/>
                <w:szCs w:val="24"/>
                <w:highlight w:val="none"/>
              </w:rPr>
              <w:t>L/s，则15min内的初期雨水量为</w:t>
            </w:r>
            <w:r>
              <w:rPr>
                <w:rFonts w:hint="eastAsia"/>
                <w:color w:val="auto"/>
                <w:sz w:val="24"/>
                <w:szCs w:val="24"/>
                <w:highlight w:val="none"/>
                <w:lang w:val="en-US" w:eastAsia="zh-CN"/>
              </w:rPr>
              <w:t>160.51</w:t>
            </w:r>
            <w:r>
              <w:rPr>
                <w:color w:val="auto"/>
                <w:sz w:val="24"/>
                <w:szCs w:val="24"/>
                <w:highlight w:val="none"/>
              </w:rPr>
              <w:t>m</w:t>
            </w:r>
            <w:r>
              <w:rPr>
                <w:color w:val="auto"/>
                <w:sz w:val="24"/>
                <w:szCs w:val="24"/>
                <w:highlight w:val="none"/>
                <w:vertAlign w:val="superscript"/>
              </w:rPr>
              <w:t>3</w:t>
            </w:r>
            <w:r>
              <w:rPr>
                <w:color w:val="auto"/>
                <w:sz w:val="24"/>
                <w:szCs w:val="24"/>
                <w:highlight w:val="none"/>
              </w:rPr>
              <w:t>/次，每年降雨以15次计，则初期雨水量为</w:t>
            </w:r>
            <w:r>
              <w:rPr>
                <w:rFonts w:hint="eastAsia"/>
                <w:color w:val="auto"/>
                <w:sz w:val="24"/>
                <w:szCs w:val="24"/>
                <w:highlight w:val="none"/>
                <w:lang w:val="en-US" w:eastAsia="zh-CN"/>
              </w:rPr>
              <w:t>2407.59</w:t>
            </w:r>
            <w:r>
              <w:rPr>
                <w:color w:val="auto"/>
                <w:sz w:val="24"/>
                <w:szCs w:val="24"/>
                <w:highlight w:val="none"/>
              </w:rPr>
              <w:t xml:space="preserve"> m</w:t>
            </w:r>
            <w:r>
              <w:rPr>
                <w:color w:val="auto"/>
                <w:sz w:val="24"/>
                <w:szCs w:val="24"/>
                <w:highlight w:val="none"/>
                <w:vertAlign w:val="superscript"/>
              </w:rPr>
              <w:t>3</w:t>
            </w:r>
            <w:r>
              <w:rPr>
                <w:color w:val="auto"/>
                <w:sz w:val="24"/>
                <w:szCs w:val="24"/>
                <w:highlight w:val="none"/>
              </w:rPr>
              <w:t>/a(</w:t>
            </w:r>
            <w:r>
              <w:rPr>
                <w:rFonts w:hint="eastAsia"/>
                <w:color w:val="auto"/>
                <w:sz w:val="24"/>
                <w:szCs w:val="24"/>
                <w:highlight w:val="none"/>
                <w:lang w:val="en-US" w:eastAsia="zh-CN"/>
              </w:rPr>
              <w:t>7.30</w:t>
            </w:r>
            <w:r>
              <w:rPr>
                <w:color w:val="auto"/>
                <w:sz w:val="24"/>
                <w:szCs w:val="24"/>
                <w:highlight w:val="none"/>
              </w:rPr>
              <w:t>m</w:t>
            </w:r>
            <w:r>
              <w:rPr>
                <w:color w:val="auto"/>
                <w:sz w:val="24"/>
                <w:szCs w:val="24"/>
                <w:highlight w:val="none"/>
                <w:vertAlign w:val="superscript"/>
              </w:rPr>
              <w:t>3</w:t>
            </w:r>
            <w:r>
              <w:rPr>
                <w:color w:val="auto"/>
                <w:sz w:val="24"/>
                <w:szCs w:val="24"/>
                <w:highlight w:val="none"/>
              </w:rPr>
              <w:t>/d)，</w:t>
            </w:r>
            <w:r>
              <w:rPr>
                <w:rFonts w:hint="default" w:ascii="Times New Roman" w:hAnsi="Times New Roman" w:cs="Times New Roman"/>
                <w:color w:val="auto"/>
                <w:sz w:val="24"/>
                <w:szCs w:val="24"/>
                <w:highlight w:val="none"/>
                <w:lang w:val="en-US" w:eastAsia="zh-CN"/>
              </w:rPr>
              <w:t>初期雨水主要污染物为</w:t>
            </w:r>
            <w:r>
              <w:rPr>
                <w:rFonts w:hint="eastAsia" w:cs="Times New Roman"/>
                <w:color w:val="auto"/>
                <w:sz w:val="24"/>
                <w:szCs w:val="24"/>
                <w:highlight w:val="none"/>
                <w:lang w:val="en-US" w:eastAsia="zh-CN"/>
              </w:rPr>
              <w:t>pH</w:t>
            </w:r>
            <w:r>
              <w:rPr>
                <w:rFonts w:hint="default" w:ascii="Times New Roman" w:hAnsi="Times New Roman" w:cs="Times New Roman"/>
                <w:color w:val="auto"/>
                <w:sz w:val="24"/>
                <w:szCs w:val="24"/>
                <w:highlight w:val="none"/>
                <w:lang w:val="en-US" w:eastAsia="zh-CN"/>
              </w:rPr>
              <w:t>、SS。</w:t>
            </w:r>
          </w:p>
          <w:p>
            <w:pPr>
              <w:numPr>
                <w:ilvl w:val="0"/>
                <w:numId w:val="0"/>
              </w:numPr>
              <w:bidi w:val="0"/>
              <w:spacing w:line="360" w:lineRule="auto"/>
              <w:ind w:firstLine="480" w:firstLineChars="200"/>
              <w:rPr>
                <w:rFonts w:hint="eastAsia"/>
                <w:color w:val="auto"/>
                <w:sz w:val="24"/>
                <w:szCs w:val="24"/>
                <w:highlight w:val="none"/>
                <w:lang w:val="en-US" w:eastAsia="zh-CN"/>
              </w:rPr>
            </w:pPr>
            <w:r>
              <w:rPr>
                <w:rFonts w:hint="eastAsia"/>
                <w:color w:val="auto"/>
                <w:sz w:val="24"/>
                <w:szCs w:val="24"/>
                <w:highlight w:val="none"/>
                <w:lang w:val="en-US" w:eastAsia="zh-CN"/>
              </w:rPr>
              <w:t>（3）生活污水</w:t>
            </w:r>
          </w:p>
          <w:p>
            <w:pPr>
              <w:numPr>
                <w:ilvl w:val="0"/>
                <w:numId w:val="0"/>
              </w:numPr>
              <w:bidi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ascii="Times New Roman" w:hAnsi="Times New Roman" w:eastAsia="宋体" w:cs="Times New Roman"/>
                <w:color w:val="auto"/>
                <w:sz w:val="24"/>
                <w:szCs w:val="24"/>
                <w:highlight w:val="none"/>
              </w:rPr>
              <w:t>项目员工共</w:t>
            </w:r>
            <w:r>
              <w:rPr>
                <w:rFonts w:hint="eastAsia" w:ascii="Times New Roman" w:hAnsi="Times New Roman" w:eastAsia="宋体" w:cs="Times New Roman"/>
                <w:color w:val="auto"/>
                <w:sz w:val="24"/>
                <w:szCs w:val="24"/>
                <w:highlight w:val="none"/>
                <w:lang w:val="en-US" w:eastAsia="zh-CN"/>
              </w:rPr>
              <w:t>10</w:t>
            </w:r>
            <w:r>
              <w:rPr>
                <w:rFonts w:ascii="Times New Roman" w:hAnsi="Times New Roman" w:eastAsia="宋体" w:cs="Times New Roman"/>
                <w:color w:val="auto"/>
                <w:sz w:val="24"/>
                <w:szCs w:val="24"/>
                <w:highlight w:val="none"/>
              </w:rPr>
              <w:t>人</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两班制，每班人数5人</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居住在离项目约126m的鸡母岩村庄，村庄内配套有公共厕所、饭店，生活设施较为便捷，员工均不在厂内食宿，且根据相关文件，场地为临时加工点，为期18个月，因此本工程不设卫生间设施，厂区不产生生活污水</w:t>
            </w:r>
            <w:r>
              <w:rPr>
                <w:rFonts w:ascii="Times New Roman" w:hAnsi="Times New Roman" w:eastAsia="宋体" w:cs="Times New Roman"/>
                <w:color w:val="auto"/>
                <w:sz w:val="24"/>
                <w:szCs w:val="24"/>
                <w:highlight w:val="none"/>
              </w:rPr>
              <w:t>。</w:t>
            </w:r>
          </w:p>
          <w:p>
            <w:pPr>
              <w:pStyle w:val="96"/>
              <w:rPr>
                <w:color w:val="auto"/>
                <w:highlight w:val="none"/>
              </w:rPr>
            </w:pPr>
            <w:r>
              <w:rPr>
                <w:color w:val="auto"/>
                <w:highlight w:val="none"/>
              </w:rPr>
              <w:t>2.2影响分析</w:t>
            </w:r>
          </w:p>
          <w:p>
            <w:pPr>
              <w:numPr>
                <w:ilvl w:val="0"/>
                <w:numId w:val="0"/>
              </w:numPr>
              <w:bidi w:val="0"/>
              <w:spacing w:line="360" w:lineRule="auto"/>
              <w:ind w:firstLine="480" w:firstLineChars="200"/>
              <w:rPr>
                <w:color w:val="auto"/>
                <w:sz w:val="24"/>
                <w:szCs w:val="24"/>
                <w:highlight w:val="none"/>
              </w:rPr>
            </w:pPr>
            <w:r>
              <w:rPr>
                <w:color w:val="auto"/>
                <w:sz w:val="24"/>
                <w:szCs w:val="24"/>
                <w:highlight w:val="none"/>
              </w:rPr>
              <w:t>项目生产废水</w:t>
            </w:r>
            <w:r>
              <w:rPr>
                <w:rFonts w:hint="eastAsia"/>
                <w:color w:val="auto"/>
                <w:sz w:val="24"/>
                <w:szCs w:val="24"/>
                <w:highlight w:val="none"/>
                <w:lang w:val="en-US" w:eastAsia="zh-CN"/>
              </w:rPr>
              <w:t>和初期</w:t>
            </w:r>
            <w:r>
              <w:rPr>
                <w:color w:val="auto"/>
                <w:sz w:val="24"/>
                <w:szCs w:val="24"/>
                <w:highlight w:val="none"/>
              </w:rPr>
              <w:t>雨水经污水罐沉降处理后回用于生产。</w:t>
            </w:r>
          </w:p>
          <w:p>
            <w:pPr>
              <w:pStyle w:val="98"/>
              <w:ind w:firstLine="480"/>
              <w:rPr>
                <w:color w:val="auto"/>
                <w:highlight w:val="none"/>
              </w:rPr>
            </w:pPr>
            <w:r>
              <w:rPr>
                <w:color w:val="auto"/>
                <w:highlight w:val="none"/>
              </w:rPr>
              <w:t>(1)生产废水</w:t>
            </w:r>
          </w:p>
          <w:p>
            <w:pPr>
              <w:pStyle w:val="98"/>
              <w:ind w:firstLine="480"/>
              <w:rPr>
                <w:color w:val="auto"/>
                <w:highlight w:val="none"/>
              </w:rPr>
            </w:pPr>
            <w:r>
              <w:rPr>
                <w:color w:val="auto"/>
                <w:highlight w:val="none"/>
              </w:rPr>
              <w:t>项目筛分水洗废水经污水罐沉淀处理后，上清液储存于清水池中回用于生产，沉淀污泥经压滤机压滤，压滤后的水重新沉淀后回用于生产，生产废水不外排。</w:t>
            </w:r>
          </w:p>
          <w:p>
            <w:pPr>
              <w:pStyle w:val="98"/>
              <w:ind w:firstLine="480"/>
              <w:rPr>
                <w:color w:val="auto"/>
                <w:highlight w:val="none"/>
              </w:rPr>
            </w:pPr>
            <w:r>
              <w:rPr>
                <w:color w:val="auto"/>
                <w:highlight w:val="none"/>
              </w:rPr>
              <w:t>(</w:t>
            </w:r>
            <w:r>
              <w:rPr>
                <w:rFonts w:hint="eastAsia"/>
                <w:color w:val="auto"/>
                <w:highlight w:val="none"/>
                <w:lang w:val="en-US" w:eastAsia="zh-CN"/>
              </w:rPr>
              <w:t>2</w:t>
            </w:r>
            <w:r>
              <w:rPr>
                <w:color w:val="auto"/>
                <w:highlight w:val="none"/>
              </w:rPr>
              <w:t>)</w:t>
            </w:r>
            <w:r>
              <w:rPr>
                <w:rFonts w:hint="eastAsia"/>
                <w:color w:val="auto"/>
                <w:highlight w:val="none"/>
                <w:lang w:val="en-US" w:eastAsia="zh-CN"/>
              </w:rPr>
              <w:t>初期</w:t>
            </w:r>
            <w:r>
              <w:rPr>
                <w:color w:val="auto"/>
                <w:highlight w:val="none"/>
              </w:rPr>
              <w:t>雨水</w:t>
            </w:r>
          </w:p>
          <w:p>
            <w:pPr>
              <w:pStyle w:val="98"/>
              <w:ind w:firstLine="480"/>
              <w:rPr>
                <w:color w:val="auto"/>
                <w:highlight w:val="none"/>
              </w:rPr>
            </w:pPr>
            <w:r>
              <w:rPr>
                <w:color w:val="auto"/>
                <w:highlight w:val="none"/>
              </w:rPr>
              <w:t>厂区</w:t>
            </w:r>
            <w:r>
              <w:rPr>
                <w:rFonts w:hint="eastAsia"/>
                <w:color w:val="auto"/>
                <w:highlight w:val="none"/>
                <w:lang w:val="en-US" w:eastAsia="zh-CN"/>
              </w:rPr>
              <w:t>初期</w:t>
            </w:r>
            <w:r>
              <w:rPr>
                <w:color w:val="auto"/>
                <w:highlight w:val="none"/>
              </w:rPr>
              <w:t xml:space="preserve">雨水经污水罐沉降后回用于生产，不外排。 </w:t>
            </w:r>
          </w:p>
          <w:p>
            <w:pPr>
              <w:pStyle w:val="98"/>
              <w:ind w:firstLine="480"/>
              <w:rPr>
                <w:color w:val="auto"/>
                <w:highlight w:val="none"/>
              </w:rPr>
            </w:pPr>
            <w:r>
              <w:rPr>
                <w:color w:val="auto"/>
                <w:highlight w:val="none"/>
              </w:rPr>
              <w:t>综上所述，项目建成后全厂无废水排放到地表水环境中，对项目周边的地表水环境基本无影响。</w:t>
            </w:r>
          </w:p>
          <w:p>
            <w:pPr>
              <w:pStyle w:val="96"/>
              <w:rPr>
                <w:color w:val="auto"/>
                <w:highlight w:val="none"/>
              </w:rPr>
            </w:pPr>
            <w:r>
              <w:rPr>
                <w:color w:val="auto"/>
                <w:highlight w:val="none"/>
              </w:rPr>
              <w:t>2.3废水污染治理设施</w:t>
            </w:r>
          </w:p>
          <w:p>
            <w:pPr>
              <w:pStyle w:val="89"/>
              <w:spacing w:beforeAutospacing="0" w:afterAutospacing="0"/>
              <w:rPr>
                <w:rFonts w:hint="default" w:ascii="Times New Roman" w:hAnsi="Times New Roman" w:cs="Times New Roman"/>
                <w:color w:val="auto"/>
                <w:highlight w:val="none"/>
                <w:lang w:val="en-US" w:eastAsia="zh-CN"/>
              </w:rPr>
            </w:pPr>
            <w:r>
              <w:rPr>
                <w:rFonts w:hint="eastAsia" w:ascii="Times New Roman" w:hAnsi="Times New Roman" w:cs="Times New Roman"/>
                <w:color w:val="auto"/>
                <w:sz w:val="24"/>
                <w:highlight w:val="none"/>
                <w:lang w:val="en-US" w:eastAsia="zh-CN"/>
              </w:rPr>
              <w:t>（1）</w:t>
            </w:r>
            <w:r>
              <w:rPr>
                <w:rFonts w:hint="default" w:ascii="Times New Roman" w:hAnsi="Times New Roman" w:cs="Times New Roman"/>
                <w:color w:val="auto"/>
                <w:sz w:val="24"/>
                <w:highlight w:val="none"/>
                <w:lang w:val="en-US" w:eastAsia="zh-CN"/>
              </w:rPr>
              <w:t>废水处理工艺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生产废水处理设施处理工艺如下</w:t>
            </w:r>
            <w:r>
              <w:rPr>
                <w:rFonts w:hint="eastAsia" w:ascii="Times New Roman" w:hAnsi="Times New Roman" w:eastAsia="宋体" w:cs="Times New Roman"/>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lang w:eastAsia="zh-CN"/>
              </w:rPr>
              <w:t>①</w:t>
            </w:r>
            <w:r>
              <w:rPr>
                <w:rFonts w:hint="eastAsia" w:ascii="Times New Roman" w:hAnsi="Times New Roman" w:eastAsia="宋体" w:cs="Times New Roman"/>
                <w:color w:val="auto"/>
                <w:sz w:val="24"/>
                <w:highlight w:val="none"/>
                <w:lang w:val="en-US" w:eastAsia="zh-CN"/>
              </w:rPr>
              <w:t>深锥浓缩：深锥浓缩罐为上部圆筒形、下部圆锥形的罐体</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szCs w:val="24"/>
                <w:highlight w:val="none"/>
              </w:rPr>
              <w:t>废水进入浓</w:t>
            </w:r>
            <w:r>
              <w:rPr>
                <w:rFonts w:hint="eastAsia" w:ascii="Times New Roman" w:hAnsi="Times New Roman" w:eastAsia="宋体" w:cs="Times New Roman"/>
                <w:color w:val="auto"/>
                <w:sz w:val="24"/>
                <w:highlight w:val="none"/>
                <w:lang w:val="en-US" w:eastAsia="zh-CN"/>
              </w:rPr>
              <w:t>缩</w:t>
            </w:r>
            <w:r>
              <w:rPr>
                <w:rFonts w:hint="default" w:ascii="Times New Roman" w:hAnsi="Times New Roman" w:eastAsia="宋体" w:cs="Times New Roman"/>
                <w:color w:val="auto"/>
                <w:sz w:val="24"/>
                <w:szCs w:val="24"/>
                <w:highlight w:val="none"/>
              </w:rPr>
              <w:t>罐</w:t>
            </w:r>
            <w:r>
              <w:rPr>
                <w:rFonts w:hint="eastAsia" w:ascii="Times New Roman" w:hAnsi="Times New Roman" w:eastAsia="宋体" w:cs="Times New Roman"/>
                <w:color w:val="auto"/>
                <w:sz w:val="24"/>
                <w:szCs w:val="24"/>
                <w:highlight w:val="none"/>
                <w:lang w:val="en-US" w:eastAsia="zh-CN"/>
              </w:rPr>
              <w:t>顶部</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在重力沉淀作用下，</w:t>
            </w:r>
            <w:r>
              <w:rPr>
                <w:rFonts w:hint="default" w:ascii="Times New Roman" w:hAnsi="Times New Roman" w:eastAsia="宋体" w:cs="Times New Roman"/>
                <w:color w:val="auto"/>
                <w:sz w:val="24"/>
                <w:szCs w:val="24"/>
                <w:highlight w:val="none"/>
              </w:rPr>
              <w:t>初步实现泥水分离，上清液持续排出，浓缩后泥浆通过高度差进入</w:t>
            </w:r>
            <w:r>
              <w:rPr>
                <w:rFonts w:hint="eastAsia" w:ascii="Times New Roman" w:hAnsi="Times New Roman" w:eastAsia="宋体" w:cs="Times New Roman"/>
                <w:color w:val="auto"/>
                <w:sz w:val="24"/>
                <w:szCs w:val="24"/>
                <w:highlight w:val="none"/>
                <w:lang w:val="en-US" w:eastAsia="zh-CN"/>
              </w:rPr>
              <w:t>下半部分</w:t>
            </w:r>
            <w:r>
              <w:rPr>
                <w:rFonts w:hint="default" w:ascii="Times New Roman" w:hAnsi="Times New Roman" w:eastAsia="宋体" w:cs="Times New Roman"/>
                <w:color w:val="auto"/>
                <w:sz w:val="24"/>
                <w:szCs w:val="24"/>
                <w:highlight w:val="none"/>
              </w:rPr>
              <w:t>静态混合器</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在无轴螺旋和注药孔补充注</w:t>
            </w:r>
            <w:r>
              <w:rPr>
                <w:rFonts w:hint="eastAsia" w:ascii="Times New Roman" w:hAnsi="Times New Roman" w:eastAsia="宋体" w:cs="Times New Roman"/>
                <w:color w:val="auto"/>
                <w:sz w:val="24"/>
                <w:szCs w:val="24"/>
                <w:highlight w:val="none"/>
                <w:lang w:val="en-US" w:eastAsia="zh-CN"/>
              </w:rPr>
              <w:t>入混凝剂</w:t>
            </w:r>
            <w:r>
              <w:rPr>
                <w:rFonts w:hint="default" w:ascii="Times New Roman" w:hAnsi="Times New Roman" w:eastAsia="宋体" w:cs="Times New Roman"/>
                <w:color w:val="auto"/>
                <w:sz w:val="24"/>
                <w:szCs w:val="24"/>
                <w:highlight w:val="none"/>
              </w:rPr>
              <w:t>的双重作用下，污泥得到充分调理而成絮凝状。</w:t>
            </w:r>
            <w:r>
              <w:rPr>
                <w:rFonts w:hint="eastAsia" w:ascii="Times New Roman" w:hAnsi="Times New Roman" w:eastAsia="宋体" w:cs="Times New Roman"/>
                <w:color w:val="auto"/>
                <w:sz w:val="24"/>
                <w:highlight w:val="none"/>
                <w:lang w:val="en-US" w:eastAsia="zh-CN"/>
              </w:rPr>
              <w:t>水中的大部分水在浓缩机圆筒部分的澄清区内流向周边溢出，小部分在絮团沉降区内形成小涡流。在机体的圆锥部分即压缩区内，沉淀物在重力作用下进行压缩，由底流口放出或用泵抽出。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eastAsia="宋体" w:cs="Times New Roman"/>
                <w:color w:val="auto"/>
                <w:sz w:val="24"/>
                <w:szCs w:val="24"/>
                <w:highlight w:val="none"/>
                <w:lang w:val="en-US" w:eastAsia="zh-CN"/>
              </w:rPr>
            </w:pPr>
          </w:p>
          <w:p>
            <w:pPr>
              <w:keepNext/>
              <w:keepLines/>
              <w:widowControl w:val="0"/>
              <w:spacing w:before="50" w:beforeLines="50" w:beforeAutospacing="0" w:after="50" w:afterLines="50" w:afterAutospacing="0" w:line="240" w:lineRule="auto"/>
              <w:ind w:firstLine="0" w:firstLineChars="0"/>
              <w:jc w:val="center"/>
              <w:outlineLvl w:val="1"/>
              <w:rPr>
                <w:rFonts w:hint="default" w:ascii="Times New Roman" w:hAnsi="Times New Roman" w:eastAsia="宋体" w:cs="Times New Roman"/>
                <w:b/>
                <w:color w:val="auto"/>
                <w:kern w:val="2"/>
                <w:sz w:val="24"/>
                <w:szCs w:val="24"/>
                <w:highlight w:val="none"/>
                <w:lang w:val="en-US" w:eastAsia="zh-CN" w:bidi="ar-SA"/>
              </w:rPr>
            </w:pPr>
            <w:r>
              <w:rPr>
                <w:rFonts w:hint="eastAsia" w:ascii="Times New Roman" w:hAnsi="Times New Roman" w:eastAsia="宋体" w:cs="Times New Roman"/>
                <w:b/>
                <w:color w:val="auto"/>
                <w:kern w:val="2"/>
                <w:sz w:val="24"/>
                <w:szCs w:val="24"/>
                <w:highlight w:val="none"/>
                <w:lang w:val="en-US" w:eastAsia="zh-CN" w:bidi="ar-SA"/>
              </w:rPr>
              <w:t>图6 深锥浓缩罐示意图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szCs w:val="24"/>
                <w:highlight w:val="none"/>
                <w:lang w:val="en-US" w:eastAsia="zh-CN"/>
              </w:rPr>
              <w:t>②</w:t>
            </w:r>
            <w:r>
              <w:rPr>
                <w:rFonts w:hint="default" w:ascii="Times New Roman" w:hAnsi="Times New Roman" w:eastAsia="宋体" w:cs="Times New Roman"/>
                <w:color w:val="auto"/>
                <w:sz w:val="24"/>
                <w:szCs w:val="24"/>
                <w:highlight w:val="none"/>
              </w:rPr>
              <w:t>泥浆压滤：絮凝状态的泥浆直接进入</w:t>
            </w:r>
            <w:r>
              <w:rPr>
                <w:rFonts w:hint="eastAsia" w:ascii="Times New Roman" w:hAnsi="Times New Roman" w:eastAsia="宋体" w:cs="Times New Roman"/>
                <w:color w:val="auto"/>
                <w:sz w:val="24"/>
                <w:szCs w:val="24"/>
                <w:highlight w:val="none"/>
                <w:lang w:val="en-US" w:eastAsia="zh-CN"/>
              </w:rPr>
              <w:t>箱式</w:t>
            </w:r>
            <w:r>
              <w:rPr>
                <w:rFonts w:hint="default" w:ascii="Times New Roman" w:hAnsi="Times New Roman" w:eastAsia="宋体" w:cs="Times New Roman"/>
                <w:color w:val="auto"/>
                <w:sz w:val="24"/>
                <w:szCs w:val="24"/>
                <w:highlight w:val="none"/>
              </w:rPr>
              <w:t>压滤机进行压滤脱水。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szCs w:val="24"/>
                <w:highlight w:val="none"/>
                <w:lang w:val="en-US" w:eastAsia="zh-CN"/>
              </w:rPr>
              <w:t>③</w:t>
            </w:r>
            <w:r>
              <w:rPr>
                <w:rFonts w:hint="default" w:ascii="Times New Roman" w:hAnsi="Times New Roman" w:eastAsia="宋体" w:cs="Times New Roman"/>
                <w:color w:val="auto"/>
                <w:sz w:val="24"/>
                <w:szCs w:val="24"/>
                <w:highlight w:val="none"/>
              </w:rPr>
              <w:t>清水调节：上清液排放至清水池、储水池，零排放循环回用。该生产废水具</w:t>
            </w:r>
            <w:r>
              <w:rPr>
                <w:rFonts w:hint="eastAsia" w:ascii="Times New Roman" w:hAnsi="Times New Roman" w:eastAsia="宋体" w:cs="Times New Roman"/>
                <w:color w:val="auto"/>
                <w:sz w:val="24"/>
                <w:szCs w:val="24"/>
                <w:highlight w:val="none"/>
                <w:lang w:val="en-US" w:eastAsia="zh-CN"/>
              </w:rPr>
              <w:t>体处理工艺流程见下图：</w:t>
            </w:r>
          </w:p>
          <w:p>
            <w:pPr>
              <w:bidi w:val="0"/>
              <w:spacing w:line="360" w:lineRule="auto"/>
              <w:ind w:left="0" w:leftChars="0" w:firstLine="0" w:firstLineChars="0"/>
              <w:rPr>
                <w:rFonts w:ascii="Times New Roman" w:hAnsi="Times New Roman" w:eastAsia="宋体" w:cs="Times New Roman"/>
                <w:color w:val="auto"/>
                <w:sz w:val="24"/>
                <w:highlight w:val="none"/>
              </w:rPr>
            </w:pPr>
          </w:p>
          <w:p>
            <w:pPr>
              <w:keepNext/>
              <w:keepLines/>
              <w:widowControl w:val="0"/>
              <w:spacing w:before="50" w:beforeLines="50" w:beforeAutospacing="0" w:after="50" w:afterLines="50" w:afterAutospacing="0" w:line="240" w:lineRule="auto"/>
              <w:ind w:firstLine="0" w:firstLineChars="0"/>
              <w:jc w:val="center"/>
              <w:outlineLvl w:val="1"/>
              <w:rPr>
                <w:rFonts w:hint="default" w:ascii="Times New Roman" w:hAnsi="Times New Roman" w:eastAsia="宋体" w:cs="Times New Roman"/>
                <w:b/>
                <w:color w:val="auto"/>
                <w:kern w:val="2"/>
                <w:sz w:val="24"/>
                <w:szCs w:val="24"/>
                <w:highlight w:val="none"/>
                <w:lang w:val="en-US" w:eastAsia="zh-CN" w:bidi="ar-SA"/>
              </w:rPr>
            </w:pPr>
            <w:r>
              <w:rPr>
                <w:rFonts w:hint="eastAsia" w:ascii="Times New Roman" w:hAnsi="Times New Roman" w:eastAsia="宋体" w:cs="Times New Roman"/>
                <w:b/>
                <w:color w:val="auto"/>
                <w:kern w:val="2"/>
                <w:sz w:val="24"/>
                <w:szCs w:val="24"/>
                <w:highlight w:val="none"/>
                <w:lang w:val="en-US" w:eastAsia="zh-CN" w:bidi="ar-SA"/>
              </w:rPr>
              <w:t>图7 污水处理工艺流程图</w:t>
            </w:r>
          </w:p>
          <w:p>
            <w:pPr>
              <w:bidi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w:t>
            </w:r>
            <w:r>
              <w:rPr>
                <w:rFonts w:hint="eastAsia" w:ascii="Times New Roman" w:hAnsi="Times New Roman" w:eastAsia="宋体" w:cs="Times New Roman"/>
                <w:color w:val="auto"/>
                <w:sz w:val="24"/>
                <w:highlight w:val="none"/>
                <w:lang w:val="en-US" w:eastAsia="zh-CN"/>
              </w:rPr>
              <w:t>2）废水处理可行性分析</w:t>
            </w:r>
          </w:p>
          <w:p>
            <w:pPr>
              <w:bidi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①浓缩</w:t>
            </w:r>
            <w:r>
              <w:rPr>
                <w:rFonts w:hint="default" w:ascii="Times New Roman" w:hAnsi="Times New Roman" w:eastAsia="宋体" w:cs="Times New Roman"/>
                <w:color w:val="auto"/>
                <w:sz w:val="24"/>
                <w:highlight w:val="none"/>
                <w:lang w:val="en-US" w:eastAsia="zh-CN"/>
              </w:rPr>
              <w:t>罐：项目设置</w:t>
            </w:r>
            <w:r>
              <w:rPr>
                <w:rFonts w:hint="eastAsia" w:ascii="Times New Roman" w:hAnsi="Times New Roman" w:eastAsia="宋体" w:cs="Times New Roman"/>
                <w:color w:val="auto"/>
                <w:sz w:val="24"/>
                <w:highlight w:val="none"/>
                <w:lang w:val="en-US" w:eastAsia="zh-CN"/>
              </w:rPr>
              <w:t>4</w:t>
            </w:r>
            <w:r>
              <w:rPr>
                <w:rFonts w:hint="default" w:ascii="Times New Roman" w:hAnsi="Times New Roman" w:eastAsia="宋体" w:cs="Times New Roman"/>
                <w:color w:val="auto"/>
                <w:sz w:val="24"/>
                <w:highlight w:val="none"/>
                <w:lang w:val="en-US" w:eastAsia="zh-CN"/>
              </w:rPr>
              <w:t>个</w:t>
            </w:r>
            <w:r>
              <w:rPr>
                <w:rStyle w:val="72"/>
                <w:rFonts w:hint="eastAsia" w:ascii="Times New Roman" w:hAnsi="Times New Roman" w:eastAsia="宋体"/>
                <w:color w:val="auto"/>
                <w:sz w:val="24"/>
                <w:szCs w:val="32"/>
                <w:highlight w:val="none"/>
                <w:lang w:val="en-US" w:eastAsia="zh-CN"/>
              </w:rPr>
              <w:t>浓缩罐</w:t>
            </w:r>
            <w:r>
              <w:rPr>
                <w:rFonts w:hint="default" w:ascii="Times New Roman" w:hAnsi="Times New Roman" w:eastAsia="宋体" w:cs="Times New Roman"/>
                <w:color w:val="auto"/>
                <w:sz w:val="24"/>
                <w:highlight w:val="none"/>
                <w:lang w:val="en-US" w:eastAsia="zh-CN"/>
              </w:rPr>
              <w:t>，每个容积</w:t>
            </w:r>
            <w:r>
              <w:rPr>
                <w:rFonts w:hint="eastAsia" w:ascii="Times New Roman" w:hAnsi="Times New Roman" w:eastAsia="宋体" w:cs="Times New Roman"/>
                <w:color w:val="auto"/>
                <w:sz w:val="24"/>
                <w:highlight w:val="none"/>
                <w:lang w:val="en-US" w:eastAsia="zh-CN"/>
              </w:rPr>
              <w:t>100m</w:t>
            </w:r>
            <w:r>
              <w:rPr>
                <w:rFonts w:hint="eastAsia" w:ascii="Times New Roman" w:hAnsi="Times New Roman" w:eastAsia="宋体" w:cs="Times New Roman"/>
                <w:color w:val="auto"/>
                <w:sz w:val="24"/>
                <w:highlight w:val="none"/>
                <w:vertAlign w:val="superscript"/>
                <w:lang w:val="en-US" w:eastAsia="zh-CN"/>
              </w:rPr>
              <w:t>3</w:t>
            </w:r>
            <w:r>
              <w:rPr>
                <w:rFonts w:hint="default" w:ascii="Times New Roman" w:hAnsi="Times New Roman" w:eastAsia="宋体" w:cs="Times New Roman"/>
                <w:color w:val="auto"/>
                <w:sz w:val="24"/>
                <w:highlight w:val="none"/>
                <w:lang w:val="en-US" w:eastAsia="zh-CN"/>
              </w:rPr>
              <w:t>；</w:t>
            </w:r>
            <w:r>
              <w:rPr>
                <w:rFonts w:hint="default" w:ascii="Times New Roman" w:hAnsi="Times New Roman" w:eastAsia="宋体" w:cs="Times New Roman"/>
                <w:color w:val="auto"/>
                <w:sz w:val="24"/>
                <w:szCs w:val="24"/>
                <w:highlight w:val="none"/>
              </w:rPr>
              <w:t>主要通过重力作用分离泥浆 2~4次完成分离，为保证后续设备的稳定运行</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在重力分离的同时，底部</w:t>
            </w:r>
            <w:r>
              <w:rPr>
                <w:rFonts w:hint="default" w:ascii="Times New Roman" w:hAnsi="Times New Roman" w:eastAsia="宋体" w:cs="Times New Roman"/>
                <w:color w:val="auto"/>
                <w:sz w:val="24"/>
                <w:szCs w:val="24"/>
                <w:highlight w:val="none"/>
              </w:rPr>
              <w:t>浓泥浆在无轴螺旋和注药孔补充注药的双重作用下，污泥得到充分调理而成絮凝状</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通过</w:t>
            </w:r>
            <w:r>
              <w:rPr>
                <w:rFonts w:hint="default" w:ascii="Times New Roman" w:hAnsi="Times New Roman" w:eastAsia="宋体" w:cs="Times New Roman"/>
                <w:color w:val="auto"/>
                <w:sz w:val="24"/>
                <w:highlight w:val="none"/>
                <w:lang w:val="en-US" w:eastAsia="zh-CN"/>
              </w:rPr>
              <w:t>浓</w:t>
            </w:r>
            <w:r>
              <w:rPr>
                <w:rFonts w:hint="eastAsia" w:ascii="Times New Roman" w:hAnsi="Times New Roman" w:eastAsia="宋体" w:cs="Times New Roman"/>
                <w:color w:val="auto"/>
                <w:sz w:val="24"/>
                <w:highlight w:val="none"/>
                <w:lang w:val="en-US" w:eastAsia="zh-CN"/>
              </w:rPr>
              <w:t>缩</w:t>
            </w:r>
            <w:r>
              <w:rPr>
                <w:rFonts w:hint="default" w:ascii="Times New Roman" w:hAnsi="Times New Roman" w:eastAsia="宋体" w:cs="Times New Roman"/>
                <w:color w:val="auto"/>
                <w:sz w:val="24"/>
                <w:highlight w:val="none"/>
                <w:lang w:val="en-US" w:eastAsia="zh-CN"/>
              </w:rPr>
              <w:t>罐</w:t>
            </w:r>
            <w:r>
              <w:rPr>
                <w:rFonts w:hint="eastAsia" w:ascii="Times New Roman" w:hAnsi="Times New Roman" w:eastAsia="宋体" w:cs="Times New Roman"/>
                <w:color w:val="auto"/>
                <w:sz w:val="24"/>
                <w:highlight w:val="none"/>
                <w:lang w:val="en-US" w:eastAsia="zh-CN"/>
              </w:rPr>
              <w:t>重力作用与加药沉淀的作用，废水中SS去除效率可达95%</w:t>
            </w:r>
            <w:r>
              <w:rPr>
                <w:rFonts w:hint="default" w:ascii="Times New Roman" w:hAnsi="Times New Roman" w:eastAsia="宋体" w:cs="Times New Roman"/>
                <w:color w:val="auto"/>
                <w:sz w:val="24"/>
                <w:szCs w:val="24"/>
                <w:highlight w:val="none"/>
              </w:rPr>
              <w:t>。</w:t>
            </w:r>
          </w:p>
          <w:p>
            <w:pPr>
              <w:bidi w:val="0"/>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②</w:t>
            </w:r>
            <w:r>
              <w:rPr>
                <w:rFonts w:hint="default" w:ascii="Times New Roman" w:hAnsi="Times New Roman" w:eastAsia="宋体" w:cs="Times New Roman"/>
                <w:color w:val="auto"/>
                <w:sz w:val="24"/>
                <w:highlight w:val="none"/>
                <w:lang w:val="en-US" w:eastAsia="zh-CN"/>
              </w:rPr>
              <w:t>压滤：</w:t>
            </w:r>
            <w:r>
              <w:rPr>
                <w:rFonts w:hint="eastAsia" w:ascii="Times New Roman" w:hAnsi="Times New Roman" w:eastAsia="宋体" w:cs="Times New Roman"/>
                <w:color w:val="auto"/>
                <w:sz w:val="24"/>
                <w:highlight w:val="none"/>
                <w:lang w:val="en-US" w:eastAsia="zh-CN"/>
              </w:rPr>
              <w:t>项目设置一台厢式压滤机，</w:t>
            </w:r>
            <w:r>
              <w:rPr>
                <w:rFonts w:hint="default" w:ascii="Times New Roman" w:hAnsi="Times New Roman" w:eastAsia="宋体" w:cs="Times New Roman"/>
                <w:color w:val="auto"/>
                <w:sz w:val="24"/>
                <w:szCs w:val="24"/>
                <w:highlight w:val="none"/>
              </w:rPr>
              <w:t>经压滤设备压滤后，清水排入清水池中SS被压滤为淤泥，该淤泥含水率不高于</w:t>
            </w:r>
            <w:r>
              <w:rPr>
                <w:rFonts w:hint="eastAsia"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0%，</w:t>
            </w:r>
            <w:r>
              <w:rPr>
                <w:rFonts w:hint="eastAsia" w:ascii="Times New Roman" w:hAnsi="Times New Roman" w:eastAsia="宋体" w:cs="Times New Roman"/>
                <w:color w:val="auto"/>
                <w:sz w:val="24"/>
                <w:highlight w:val="none"/>
                <w:lang w:val="en-US" w:eastAsia="zh-CN"/>
              </w:rPr>
              <w:t>委托</w:t>
            </w:r>
            <w:r>
              <w:rPr>
                <w:rFonts w:hint="eastAsia" w:ascii="Times New Roman" w:hAnsi="Times New Roman" w:eastAsia="宋体" w:cs="Times New Roman"/>
                <w:color w:val="auto"/>
                <w:sz w:val="24"/>
                <w:highlight w:val="none"/>
              </w:rPr>
              <w:t>福鼎市利民城市建筑垃圾处理有限公司</w:t>
            </w:r>
            <w:r>
              <w:rPr>
                <w:rFonts w:hint="eastAsia" w:ascii="Times New Roman" w:hAnsi="Times New Roman" w:eastAsia="宋体" w:cs="Times New Roman"/>
                <w:color w:val="auto"/>
                <w:sz w:val="24"/>
                <w:highlight w:val="none"/>
                <w:lang w:val="en-US" w:eastAsia="zh-CN"/>
              </w:rPr>
              <w:t>处理</w:t>
            </w:r>
            <w:r>
              <w:rPr>
                <w:rFonts w:hint="default" w:ascii="Times New Roman" w:hAnsi="Times New Roman" w:eastAsia="宋体" w:cs="Times New Roman"/>
                <w:color w:val="auto"/>
                <w:sz w:val="24"/>
                <w:szCs w:val="24"/>
                <w:highlight w:val="none"/>
                <w:lang w:eastAsia="zh-CN"/>
              </w:rPr>
              <w:t>。</w:t>
            </w:r>
          </w:p>
          <w:p>
            <w:pPr>
              <w:bidi w:val="0"/>
              <w:spacing w:line="360" w:lineRule="auto"/>
              <w:ind w:firstLine="480" w:firstLineChars="200"/>
              <w:rPr>
                <w:rFonts w:hint="default" w:ascii="Times New Roman" w:hAnsi="Times New Roman" w:eastAsia="宋体" w:cs="Times New Roman"/>
                <w:color w:val="auto"/>
                <w:sz w:val="24"/>
                <w:szCs w:val="28"/>
                <w:highlight w:val="none"/>
                <w:lang w:val="en-US" w:eastAsia="zh-CN"/>
              </w:rPr>
            </w:pPr>
            <w:r>
              <w:rPr>
                <w:rFonts w:hint="eastAsia" w:ascii="Times New Roman" w:hAnsi="Times New Roman" w:eastAsia="宋体" w:cs="Times New Roman"/>
                <w:color w:val="auto"/>
                <w:sz w:val="24"/>
                <w:szCs w:val="28"/>
                <w:highlight w:val="none"/>
                <w:lang w:val="en-US" w:eastAsia="zh-CN"/>
              </w:rPr>
              <w:t>清</w:t>
            </w:r>
            <w:r>
              <w:rPr>
                <w:rFonts w:hint="default" w:ascii="Times New Roman" w:hAnsi="Times New Roman" w:eastAsia="宋体" w:cs="Times New Roman"/>
                <w:color w:val="auto"/>
                <w:sz w:val="24"/>
                <w:szCs w:val="28"/>
                <w:highlight w:val="none"/>
                <w:lang w:val="en-US" w:eastAsia="zh-CN"/>
              </w:rPr>
              <w:t>水池：项目设置一座</w:t>
            </w:r>
            <w:r>
              <w:rPr>
                <w:rFonts w:hint="eastAsia" w:ascii="Times New Roman" w:hAnsi="Times New Roman" w:eastAsia="宋体" w:cs="Times New Roman"/>
                <w:color w:val="auto"/>
                <w:sz w:val="24"/>
                <w:szCs w:val="28"/>
                <w:highlight w:val="none"/>
                <w:lang w:val="en-US" w:eastAsia="zh-CN"/>
              </w:rPr>
              <w:t>500m</w:t>
            </w:r>
            <w:r>
              <w:rPr>
                <w:rFonts w:hint="eastAsia" w:ascii="Times New Roman" w:hAnsi="Times New Roman" w:eastAsia="宋体" w:cs="Times New Roman"/>
                <w:color w:val="auto"/>
                <w:sz w:val="24"/>
                <w:szCs w:val="28"/>
                <w:highlight w:val="none"/>
                <w:vertAlign w:val="superscript"/>
                <w:lang w:val="en-US" w:eastAsia="zh-CN"/>
              </w:rPr>
              <w:t>3</w:t>
            </w:r>
            <w:r>
              <w:rPr>
                <w:rFonts w:hint="default" w:ascii="Times New Roman" w:hAnsi="Times New Roman" w:eastAsia="宋体" w:cs="Times New Roman"/>
                <w:color w:val="auto"/>
                <w:sz w:val="24"/>
                <w:szCs w:val="28"/>
                <w:highlight w:val="none"/>
                <w:lang w:val="en-US" w:eastAsia="zh-CN"/>
              </w:rPr>
              <w:t>清水池，</w:t>
            </w:r>
            <w:r>
              <w:rPr>
                <w:rFonts w:hint="eastAsia" w:ascii="Times New Roman" w:hAnsi="Times New Roman" w:eastAsia="宋体" w:cs="Times New Roman"/>
                <w:color w:val="auto"/>
                <w:sz w:val="24"/>
                <w:szCs w:val="28"/>
                <w:highlight w:val="none"/>
                <w:lang w:val="en-US" w:eastAsia="zh-CN"/>
              </w:rPr>
              <w:t>清水</w:t>
            </w:r>
            <w:r>
              <w:rPr>
                <w:rFonts w:hint="default" w:ascii="Times New Roman" w:hAnsi="Times New Roman" w:eastAsia="宋体" w:cs="Times New Roman"/>
                <w:color w:val="auto"/>
                <w:sz w:val="24"/>
                <w:szCs w:val="24"/>
                <w:highlight w:val="none"/>
              </w:rPr>
              <w:t>经水泵送至生产厂房进行回用。洗砂用水</w:t>
            </w:r>
            <w:r>
              <w:rPr>
                <w:rFonts w:hint="eastAsia" w:ascii="Times New Roman" w:hAnsi="Times New Roman" w:eastAsia="宋体" w:cs="Times New Roman"/>
                <w:color w:val="auto"/>
                <w:sz w:val="24"/>
                <w:szCs w:val="24"/>
                <w:highlight w:val="none"/>
                <w:lang w:val="en-US" w:eastAsia="zh-CN"/>
              </w:rPr>
              <w:t>对水质要求不高</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浓密罐加药处理为同类机制砂厂常用的成熟工艺，经处理后，</w:t>
            </w:r>
            <w:r>
              <w:rPr>
                <w:rFonts w:hint="default" w:ascii="Times New Roman" w:hAnsi="Times New Roman" w:eastAsia="宋体" w:cs="Times New Roman"/>
                <w:color w:val="auto"/>
                <w:sz w:val="24"/>
                <w:szCs w:val="24"/>
                <w:highlight w:val="none"/>
              </w:rPr>
              <w:t>可回用</w:t>
            </w:r>
            <w:r>
              <w:rPr>
                <w:rFonts w:hint="eastAsia" w:ascii="Times New Roman" w:hAnsi="Times New Roman" w:eastAsia="宋体" w:cs="Times New Roman"/>
                <w:color w:val="auto"/>
                <w:sz w:val="24"/>
                <w:szCs w:val="24"/>
                <w:highlight w:val="none"/>
                <w:lang w:val="en-US" w:eastAsia="zh-CN"/>
              </w:rPr>
              <w:t>至洗砂工艺</w:t>
            </w:r>
            <w:r>
              <w:rPr>
                <w:rFonts w:hint="default" w:ascii="Times New Roman" w:hAnsi="Times New Roman" w:eastAsia="宋体" w:cs="Times New Roman"/>
                <w:color w:val="auto"/>
                <w:sz w:val="24"/>
                <w:szCs w:val="24"/>
                <w:highlight w:val="none"/>
              </w:rPr>
              <w:t>。</w:t>
            </w:r>
          </w:p>
          <w:p>
            <w:pPr>
              <w:pStyle w:val="78"/>
              <w:spacing w:line="360" w:lineRule="auto"/>
              <w:ind w:firstLine="480"/>
              <w:rPr>
                <w:color w:val="auto"/>
                <w:highlight w:val="none"/>
              </w:rPr>
            </w:pPr>
            <w:r>
              <w:rPr>
                <w:rFonts w:hint="eastAsia" w:ascii="Times New Roman" w:hAnsi="Times New Roman" w:cs="Times New Roman"/>
                <w:color w:val="auto"/>
                <w:szCs w:val="22"/>
                <w:highlight w:val="none"/>
              </w:rPr>
              <w:t>（</w:t>
            </w:r>
            <w:r>
              <w:rPr>
                <w:rFonts w:hint="eastAsia" w:ascii="Times New Roman" w:hAnsi="Times New Roman" w:cs="Times New Roman"/>
                <w:color w:val="auto"/>
                <w:szCs w:val="22"/>
                <w:highlight w:val="none"/>
                <w:lang w:val="en-US" w:eastAsia="zh-CN"/>
              </w:rPr>
              <w:t>2</w:t>
            </w:r>
            <w:r>
              <w:rPr>
                <w:rFonts w:hint="eastAsia" w:ascii="Times New Roman" w:hAnsi="Times New Roman" w:cs="Times New Roman"/>
                <w:color w:val="auto"/>
                <w:szCs w:val="22"/>
                <w:highlight w:val="none"/>
              </w:rPr>
              <w:t>）初期雨水</w:t>
            </w:r>
          </w:p>
          <w:p>
            <w:pPr>
              <w:pStyle w:val="98"/>
              <w:spacing w:line="360" w:lineRule="auto"/>
              <w:ind w:firstLine="480"/>
              <w:rPr>
                <w:color w:val="auto"/>
                <w:highlight w:val="none"/>
              </w:rPr>
            </w:pPr>
            <w:r>
              <w:rPr>
                <w:rFonts w:hint="eastAsia" w:ascii="Times New Roman" w:hAnsi="Times New Roman" w:cs="Times New Roman"/>
                <w:color w:val="auto"/>
                <w:szCs w:val="22"/>
                <w:highlight w:val="none"/>
              </w:rPr>
              <w:t>工业场地初期雨水配套雨水收集池，根据初期雨水量技术，15分钟收集的初期雨水量为</w:t>
            </w:r>
            <w:r>
              <w:rPr>
                <w:rFonts w:hint="eastAsia" w:ascii="Times New Roman" w:hAnsi="Times New Roman" w:cs="Times New Roman"/>
                <w:color w:val="auto"/>
                <w:szCs w:val="22"/>
                <w:highlight w:val="none"/>
                <w:lang w:val="en-US" w:eastAsia="zh-CN"/>
              </w:rPr>
              <w:t>160.51</w:t>
            </w:r>
            <w:r>
              <w:rPr>
                <w:rFonts w:hint="eastAsia" w:ascii="Times New Roman" w:hAnsi="Times New Roman" w:cs="Times New Roman"/>
                <w:color w:val="auto"/>
                <w:szCs w:val="22"/>
                <w:highlight w:val="none"/>
              </w:rPr>
              <w:t>m</w:t>
            </w:r>
            <w:r>
              <w:rPr>
                <w:rFonts w:hint="eastAsia" w:ascii="Times New Roman" w:hAnsi="Times New Roman" w:cs="Times New Roman"/>
                <w:color w:val="auto"/>
                <w:szCs w:val="22"/>
                <w:highlight w:val="none"/>
                <w:vertAlign w:val="superscript"/>
              </w:rPr>
              <w:t>3</w:t>
            </w:r>
            <w:r>
              <w:rPr>
                <w:rFonts w:hint="eastAsia" w:ascii="Times New Roman" w:hAnsi="Times New Roman" w:cs="Times New Roman"/>
                <w:color w:val="auto"/>
                <w:szCs w:val="22"/>
                <w:highlight w:val="none"/>
              </w:rPr>
              <w:t>，</w:t>
            </w:r>
            <w:r>
              <w:rPr>
                <w:rFonts w:hint="eastAsia" w:ascii="Times New Roman" w:hAnsi="Times New Roman" w:cs="Times New Roman"/>
                <w:color w:val="auto"/>
                <w:szCs w:val="22"/>
                <w:highlight w:val="none"/>
                <w:lang w:val="en-US" w:eastAsia="zh-CN"/>
              </w:rPr>
              <w:t>初期雨水池容积为180m</w:t>
            </w:r>
            <w:r>
              <w:rPr>
                <w:rFonts w:hint="eastAsia" w:ascii="Times New Roman" w:hAnsi="Times New Roman" w:cs="Times New Roman"/>
                <w:color w:val="auto"/>
                <w:szCs w:val="22"/>
                <w:highlight w:val="none"/>
                <w:vertAlign w:val="superscript"/>
                <w:lang w:val="en-US" w:eastAsia="zh-CN"/>
              </w:rPr>
              <w:t>2</w:t>
            </w:r>
            <w:r>
              <w:rPr>
                <w:rFonts w:hint="eastAsia" w:ascii="Times New Roman" w:hAnsi="Times New Roman" w:cs="Times New Roman"/>
                <w:color w:val="auto"/>
                <w:szCs w:val="22"/>
                <w:highlight w:val="none"/>
              </w:rPr>
              <w:t>，可满足项目初期雨水收集。初期雨水主要污染物为SS，成分较为简单，经沉淀后均作为工业场地洗砂及抑尘用水，综合利用，不外排，措施可行。</w:t>
            </w:r>
          </w:p>
          <w:p>
            <w:pPr>
              <w:pStyle w:val="96"/>
              <w:rPr>
                <w:color w:val="auto"/>
                <w:highlight w:val="none"/>
              </w:rPr>
            </w:pPr>
            <w:r>
              <w:rPr>
                <w:color w:val="auto"/>
                <w:highlight w:val="none"/>
              </w:rPr>
              <w:t>3、噪声</w:t>
            </w:r>
          </w:p>
          <w:p>
            <w:pPr>
              <w:pStyle w:val="96"/>
              <w:rPr>
                <w:color w:val="auto"/>
                <w:highlight w:val="none"/>
              </w:rPr>
            </w:pPr>
            <w:r>
              <w:rPr>
                <w:color w:val="auto"/>
                <w:highlight w:val="none"/>
              </w:rPr>
              <w:t>3.1污染源强</w:t>
            </w:r>
          </w:p>
          <w:p>
            <w:pPr>
              <w:pStyle w:val="98"/>
              <w:ind w:firstLine="480"/>
              <w:rPr>
                <w:color w:val="auto"/>
                <w:highlight w:val="none"/>
              </w:rPr>
            </w:pPr>
            <w:r>
              <w:rPr>
                <w:color w:val="auto"/>
                <w:highlight w:val="none"/>
              </w:rPr>
              <w:t>项目生产过程中产生的噪声主要来源于颚式破碎机、圆锥破碎机、高压对辊成型机、</w:t>
            </w:r>
            <w:r>
              <w:rPr>
                <w:rFonts w:hint="eastAsia"/>
                <w:color w:val="auto"/>
                <w:highlight w:val="none"/>
                <w:lang w:val="en-US" w:eastAsia="zh-CN"/>
              </w:rPr>
              <w:t>振动筛</w:t>
            </w:r>
            <w:r>
              <w:rPr>
                <w:color w:val="auto"/>
                <w:highlight w:val="none"/>
              </w:rPr>
              <w:t>、</w:t>
            </w:r>
            <w:r>
              <w:rPr>
                <w:rFonts w:hint="eastAsia" w:ascii="Times New Roman" w:hAnsi="Times New Roman" w:eastAsia="宋体" w:cs="Times New Roman"/>
                <w:color w:val="auto"/>
                <w:highlight w:val="none"/>
                <w:lang w:val="en-US" w:eastAsia="zh-CN"/>
              </w:rPr>
              <w:t>压滤机</w:t>
            </w:r>
            <w:r>
              <w:rPr>
                <w:color w:val="auto"/>
                <w:highlight w:val="none"/>
              </w:rPr>
              <w:t>等，其声级在65～</w:t>
            </w:r>
            <w:r>
              <w:rPr>
                <w:rFonts w:hint="eastAsia"/>
                <w:color w:val="auto"/>
                <w:highlight w:val="none"/>
                <w:lang w:val="en-US" w:eastAsia="zh-CN"/>
              </w:rPr>
              <w:t>85</w:t>
            </w:r>
            <w:r>
              <w:rPr>
                <w:color w:val="auto"/>
                <w:highlight w:val="none"/>
              </w:rPr>
              <w:t xml:space="preserve"> dB(A)间(距声源1m处)，其主要设备噪声级</w:t>
            </w:r>
            <w:bookmarkStart w:id="7" w:name="_Ref452668272"/>
            <w:bookmarkEnd w:id="7"/>
            <w:r>
              <w:rPr>
                <w:color w:val="auto"/>
                <w:highlight w:val="none"/>
              </w:rPr>
              <w:t>见下表。</w:t>
            </w:r>
          </w:p>
          <w:p>
            <w:pPr>
              <w:pStyle w:val="57"/>
              <w:rPr>
                <w:color w:val="auto"/>
                <w:highlight w:val="none"/>
              </w:rPr>
            </w:pPr>
            <w:bookmarkStart w:id="8" w:name="_Ref65696059"/>
            <w:r>
              <w:rPr>
                <w:color w:val="auto"/>
                <w:highlight w:val="none"/>
              </w:rPr>
              <w:t>项目主要设备噪声一览表</w:t>
            </w:r>
            <w:bookmarkEnd w:id="8"/>
          </w:p>
          <w:tbl>
            <w:tblPr>
              <w:tblStyle w:val="25"/>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1233"/>
              <w:gridCol w:w="1882"/>
              <w:gridCol w:w="1144"/>
              <w:gridCol w:w="1301"/>
              <w:gridCol w:w="14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sz w:val="21"/>
                      <w:szCs w:val="21"/>
                      <w:highlight w:val="none"/>
                    </w:rPr>
                  </w:pPr>
                  <w:r>
                    <w:rPr>
                      <w:color w:val="auto"/>
                      <w:sz w:val="21"/>
                      <w:szCs w:val="21"/>
                      <w:highlight w:val="none"/>
                    </w:rPr>
                    <w:t>噪声源名称</w:t>
                  </w:r>
                </w:p>
              </w:tc>
              <w:tc>
                <w:tcPr>
                  <w:tcW w:w="123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sz w:val="21"/>
                      <w:szCs w:val="21"/>
                      <w:highlight w:val="none"/>
                    </w:rPr>
                  </w:pPr>
                  <w:r>
                    <w:rPr>
                      <w:color w:val="auto"/>
                      <w:sz w:val="21"/>
                      <w:szCs w:val="21"/>
                      <w:highlight w:val="none"/>
                    </w:rPr>
                    <w:t>治理前声级dB(A)</w:t>
                  </w:r>
                </w:p>
              </w:tc>
              <w:tc>
                <w:tcPr>
                  <w:tcW w:w="188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sz w:val="21"/>
                      <w:szCs w:val="21"/>
                      <w:highlight w:val="none"/>
                    </w:rPr>
                  </w:pPr>
                  <w:r>
                    <w:rPr>
                      <w:color w:val="auto"/>
                      <w:sz w:val="21"/>
                      <w:szCs w:val="21"/>
                      <w:highlight w:val="none"/>
                    </w:rPr>
                    <w:t>治理措施</w:t>
                  </w:r>
                </w:p>
              </w:tc>
              <w:tc>
                <w:tcPr>
                  <w:tcW w:w="1144"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sz w:val="21"/>
                      <w:szCs w:val="21"/>
                      <w:highlight w:val="none"/>
                    </w:rPr>
                  </w:pPr>
                  <w:r>
                    <w:rPr>
                      <w:color w:val="auto"/>
                      <w:sz w:val="21"/>
                      <w:szCs w:val="21"/>
                      <w:highlight w:val="none"/>
                    </w:rPr>
                    <w:t>降噪效果</w:t>
                  </w:r>
                </w:p>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sz w:val="21"/>
                      <w:szCs w:val="21"/>
                      <w:highlight w:val="none"/>
                    </w:rPr>
                  </w:pPr>
                  <w:r>
                    <w:rPr>
                      <w:color w:val="auto"/>
                      <w:sz w:val="21"/>
                      <w:szCs w:val="21"/>
                      <w:highlight w:val="none"/>
                    </w:rPr>
                    <w:t>dB(A)</w:t>
                  </w:r>
                </w:p>
              </w:tc>
              <w:tc>
                <w:tcPr>
                  <w:tcW w:w="13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sz w:val="21"/>
                      <w:szCs w:val="21"/>
                      <w:highlight w:val="none"/>
                    </w:rPr>
                  </w:pPr>
                  <w:r>
                    <w:rPr>
                      <w:color w:val="auto"/>
                      <w:sz w:val="21"/>
                      <w:szCs w:val="21"/>
                      <w:highlight w:val="none"/>
                    </w:rPr>
                    <w:t>治理后声级</w:t>
                  </w:r>
                </w:p>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sz w:val="21"/>
                      <w:szCs w:val="21"/>
                      <w:highlight w:val="none"/>
                    </w:rPr>
                  </w:pPr>
                  <w:r>
                    <w:rPr>
                      <w:color w:val="auto"/>
                      <w:sz w:val="21"/>
                      <w:szCs w:val="21"/>
                      <w:highlight w:val="none"/>
                    </w:rPr>
                    <w:t>dB(A)</w:t>
                  </w:r>
                </w:p>
              </w:tc>
              <w:tc>
                <w:tcPr>
                  <w:tcW w:w="14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sz w:val="21"/>
                      <w:szCs w:val="21"/>
                      <w:highlight w:val="none"/>
                    </w:rPr>
                  </w:pPr>
                  <w:r>
                    <w:rPr>
                      <w:color w:val="auto"/>
                      <w:sz w:val="21"/>
                      <w:szCs w:val="21"/>
                      <w:highlight w:val="none"/>
                    </w:rPr>
                    <w:t>持续时间(h/d)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color w:val="auto"/>
                      <w:sz w:val="21"/>
                      <w:szCs w:val="21"/>
                      <w:highlight w:val="none"/>
                      <w:lang w:val="en-US" w:eastAsia="zh-CN"/>
                    </w:rPr>
                  </w:pPr>
                  <w:r>
                    <w:rPr>
                      <w:rFonts w:hint="eastAsia"/>
                      <w:color w:val="auto"/>
                      <w:sz w:val="21"/>
                      <w:szCs w:val="21"/>
                      <w:highlight w:val="none"/>
                      <w:lang w:val="en-US" w:eastAsia="zh-CN"/>
                    </w:rPr>
                    <w:t>给料机</w:t>
                  </w:r>
                </w:p>
              </w:tc>
              <w:tc>
                <w:tcPr>
                  <w:tcW w:w="1233" w:type="dxa"/>
                  <w:noWrap w:val="0"/>
                  <w:vAlign w:val="center"/>
                </w:tcPr>
                <w:p>
                  <w:pPr>
                    <w:keepNext w:val="0"/>
                    <w:keepLines w:val="0"/>
                    <w:widowControl/>
                    <w:suppressLineNumbers w:val="0"/>
                    <w:jc w:val="center"/>
                    <w:textAlignment w:val="center"/>
                    <w:rPr>
                      <w:rFonts w:hint="default" w:eastAsia="宋体"/>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70</w:t>
                  </w:r>
                </w:p>
              </w:tc>
              <w:tc>
                <w:tcPr>
                  <w:tcW w:w="188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color w:val="auto"/>
                      <w:sz w:val="21"/>
                      <w:szCs w:val="21"/>
                      <w:highlight w:val="none"/>
                    </w:rPr>
                    <w:t>减振、隔声</w:t>
                  </w:r>
                </w:p>
              </w:tc>
              <w:tc>
                <w:tcPr>
                  <w:tcW w:w="1144"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15</w:t>
                  </w:r>
                </w:p>
              </w:tc>
              <w:tc>
                <w:tcPr>
                  <w:tcW w:w="1301" w:type="dxa"/>
                  <w:noWrap w:val="0"/>
                  <w:vAlign w:val="center"/>
                </w:tcPr>
                <w:p>
                  <w:pPr>
                    <w:keepNext w:val="0"/>
                    <w:keepLines w:val="0"/>
                    <w:widowControl/>
                    <w:suppressLineNumbers w:val="0"/>
                    <w:jc w:val="center"/>
                    <w:textAlignment w:val="center"/>
                    <w:rPr>
                      <w:rFonts w:hint="default" w:eastAsia="宋体"/>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55</w:t>
                  </w:r>
                </w:p>
              </w:tc>
              <w:tc>
                <w:tcPr>
                  <w:tcW w:w="14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auto"/>
                      <w:sz w:val="21"/>
                      <w:szCs w:val="21"/>
                      <w:highlight w:val="none"/>
                      <w:lang w:val="en-US" w:eastAsia="zh-CN"/>
                    </w:rPr>
                  </w:pPr>
                  <w:r>
                    <w:rPr>
                      <w:rFonts w:hint="eastAsia"/>
                      <w:color w:val="auto"/>
                      <w:sz w:val="21"/>
                      <w:szCs w:val="21"/>
                      <w:highlight w:val="no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color w:val="auto"/>
                      <w:sz w:val="21"/>
                      <w:szCs w:val="21"/>
                      <w:highlight w:val="none"/>
                    </w:rPr>
                    <w:t>颚式破碎机</w:t>
                  </w:r>
                </w:p>
              </w:tc>
              <w:tc>
                <w:tcPr>
                  <w:tcW w:w="1233" w:type="dxa"/>
                  <w:noWrap w:val="0"/>
                  <w:vAlign w:val="center"/>
                </w:tcPr>
                <w:p>
                  <w:pPr>
                    <w:keepNext w:val="0"/>
                    <w:keepLines w:val="0"/>
                    <w:widowControl/>
                    <w:suppressLineNumbers w:val="0"/>
                    <w:jc w:val="center"/>
                    <w:textAlignment w:val="center"/>
                    <w:rPr>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85</w:t>
                  </w:r>
                </w:p>
              </w:tc>
              <w:tc>
                <w:tcPr>
                  <w:tcW w:w="188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color w:val="auto"/>
                      <w:sz w:val="21"/>
                      <w:szCs w:val="21"/>
                      <w:highlight w:val="none"/>
                    </w:rPr>
                    <w:t>减振、隔声</w:t>
                  </w:r>
                </w:p>
              </w:tc>
              <w:tc>
                <w:tcPr>
                  <w:tcW w:w="1144"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color w:val="auto"/>
                      <w:sz w:val="21"/>
                      <w:szCs w:val="21"/>
                      <w:highlight w:val="none"/>
                    </w:rPr>
                    <w:t>15</w:t>
                  </w:r>
                </w:p>
              </w:tc>
              <w:tc>
                <w:tcPr>
                  <w:tcW w:w="1301" w:type="dxa"/>
                  <w:noWrap w:val="0"/>
                  <w:vAlign w:val="center"/>
                </w:tcPr>
                <w:p>
                  <w:pPr>
                    <w:keepNext w:val="0"/>
                    <w:keepLines w:val="0"/>
                    <w:widowControl/>
                    <w:suppressLineNumbers w:val="0"/>
                    <w:jc w:val="center"/>
                    <w:textAlignment w:val="center"/>
                    <w:rPr>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70</w:t>
                  </w:r>
                </w:p>
              </w:tc>
              <w:tc>
                <w:tcPr>
                  <w:tcW w:w="14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color w:val="auto"/>
                      <w:sz w:val="21"/>
                      <w:szCs w:val="21"/>
                      <w:highlight w:val="none"/>
                    </w:rPr>
                    <w:t>圆锥破碎机</w:t>
                  </w:r>
                </w:p>
              </w:tc>
              <w:tc>
                <w:tcPr>
                  <w:tcW w:w="1233" w:type="dxa"/>
                  <w:noWrap w:val="0"/>
                  <w:vAlign w:val="center"/>
                </w:tcPr>
                <w:p>
                  <w:pPr>
                    <w:keepNext w:val="0"/>
                    <w:keepLines w:val="0"/>
                    <w:widowControl/>
                    <w:suppressLineNumbers w:val="0"/>
                    <w:jc w:val="center"/>
                    <w:textAlignment w:val="center"/>
                    <w:rPr>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80</w:t>
                  </w:r>
                </w:p>
              </w:tc>
              <w:tc>
                <w:tcPr>
                  <w:tcW w:w="188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color w:val="auto"/>
                      <w:sz w:val="21"/>
                      <w:szCs w:val="21"/>
                      <w:highlight w:val="none"/>
                    </w:rPr>
                    <w:t>减振、隔声</w:t>
                  </w:r>
                </w:p>
              </w:tc>
              <w:tc>
                <w:tcPr>
                  <w:tcW w:w="1144"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color w:val="auto"/>
                      <w:sz w:val="21"/>
                      <w:szCs w:val="21"/>
                      <w:highlight w:val="none"/>
                    </w:rPr>
                    <w:t>15</w:t>
                  </w:r>
                </w:p>
              </w:tc>
              <w:tc>
                <w:tcPr>
                  <w:tcW w:w="1301" w:type="dxa"/>
                  <w:noWrap w:val="0"/>
                  <w:vAlign w:val="center"/>
                </w:tcPr>
                <w:p>
                  <w:pPr>
                    <w:keepNext w:val="0"/>
                    <w:keepLines w:val="0"/>
                    <w:widowControl/>
                    <w:suppressLineNumbers w:val="0"/>
                    <w:jc w:val="center"/>
                    <w:textAlignment w:val="center"/>
                    <w:rPr>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65</w:t>
                  </w:r>
                </w:p>
              </w:tc>
              <w:tc>
                <w:tcPr>
                  <w:tcW w:w="14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rFonts w:hint="eastAsia"/>
                      <w:color w:val="auto"/>
                      <w:sz w:val="21"/>
                      <w:szCs w:val="21"/>
                      <w:highlight w:val="no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color w:val="auto"/>
                      <w:sz w:val="21"/>
                      <w:szCs w:val="21"/>
                      <w:highlight w:val="none"/>
                    </w:rPr>
                    <w:t>高压对辊成型机</w:t>
                  </w:r>
                </w:p>
              </w:tc>
              <w:tc>
                <w:tcPr>
                  <w:tcW w:w="1233" w:type="dxa"/>
                  <w:noWrap w:val="0"/>
                  <w:vAlign w:val="center"/>
                </w:tcPr>
                <w:p>
                  <w:pPr>
                    <w:keepNext w:val="0"/>
                    <w:keepLines w:val="0"/>
                    <w:widowControl/>
                    <w:suppressLineNumbers w:val="0"/>
                    <w:jc w:val="center"/>
                    <w:textAlignment w:val="center"/>
                    <w:rPr>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75</w:t>
                  </w:r>
                </w:p>
              </w:tc>
              <w:tc>
                <w:tcPr>
                  <w:tcW w:w="188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color w:val="auto"/>
                      <w:sz w:val="21"/>
                      <w:szCs w:val="21"/>
                      <w:highlight w:val="none"/>
                    </w:rPr>
                    <w:t>减振、隔声</w:t>
                  </w:r>
                </w:p>
              </w:tc>
              <w:tc>
                <w:tcPr>
                  <w:tcW w:w="1144"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color w:val="auto"/>
                      <w:sz w:val="21"/>
                      <w:szCs w:val="21"/>
                      <w:highlight w:val="none"/>
                    </w:rPr>
                    <w:t>15</w:t>
                  </w:r>
                </w:p>
              </w:tc>
              <w:tc>
                <w:tcPr>
                  <w:tcW w:w="1301" w:type="dxa"/>
                  <w:noWrap w:val="0"/>
                  <w:vAlign w:val="center"/>
                </w:tcPr>
                <w:p>
                  <w:pPr>
                    <w:keepNext w:val="0"/>
                    <w:keepLines w:val="0"/>
                    <w:widowControl/>
                    <w:suppressLineNumbers w:val="0"/>
                    <w:jc w:val="center"/>
                    <w:textAlignment w:val="center"/>
                    <w:rPr>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60</w:t>
                  </w:r>
                </w:p>
              </w:tc>
              <w:tc>
                <w:tcPr>
                  <w:tcW w:w="14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rFonts w:hint="eastAsia"/>
                      <w:color w:val="auto"/>
                      <w:sz w:val="21"/>
                      <w:szCs w:val="21"/>
                      <w:highlight w:val="no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color w:val="auto"/>
                      <w:sz w:val="21"/>
                      <w:szCs w:val="21"/>
                      <w:highlight w:val="none"/>
                      <w:lang w:eastAsia="zh-CN"/>
                    </w:rPr>
                  </w:pPr>
                  <w:r>
                    <w:rPr>
                      <w:rFonts w:hint="eastAsia"/>
                      <w:color w:val="auto"/>
                      <w:sz w:val="21"/>
                      <w:szCs w:val="21"/>
                      <w:highlight w:val="none"/>
                      <w:lang w:val="en-US" w:eastAsia="zh-CN"/>
                    </w:rPr>
                    <w:t>振动筛</w:t>
                  </w:r>
                </w:p>
              </w:tc>
              <w:tc>
                <w:tcPr>
                  <w:tcW w:w="1233" w:type="dxa"/>
                  <w:noWrap w:val="0"/>
                  <w:vAlign w:val="center"/>
                </w:tcPr>
                <w:p>
                  <w:pPr>
                    <w:keepNext w:val="0"/>
                    <w:keepLines w:val="0"/>
                    <w:widowControl/>
                    <w:suppressLineNumbers w:val="0"/>
                    <w:jc w:val="center"/>
                    <w:textAlignment w:val="center"/>
                    <w:rPr>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65</w:t>
                  </w:r>
                </w:p>
              </w:tc>
              <w:tc>
                <w:tcPr>
                  <w:tcW w:w="188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color w:val="auto"/>
                      <w:sz w:val="21"/>
                      <w:szCs w:val="21"/>
                      <w:highlight w:val="none"/>
                    </w:rPr>
                    <w:t>减振、隔声</w:t>
                  </w:r>
                </w:p>
              </w:tc>
              <w:tc>
                <w:tcPr>
                  <w:tcW w:w="1144"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color w:val="auto"/>
                      <w:sz w:val="21"/>
                      <w:szCs w:val="21"/>
                      <w:highlight w:val="none"/>
                    </w:rPr>
                    <w:t>10</w:t>
                  </w:r>
                </w:p>
              </w:tc>
              <w:tc>
                <w:tcPr>
                  <w:tcW w:w="1301" w:type="dxa"/>
                  <w:noWrap w:val="0"/>
                  <w:vAlign w:val="center"/>
                </w:tcPr>
                <w:p>
                  <w:pPr>
                    <w:keepNext w:val="0"/>
                    <w:keepLines w:val="0"/>
                    <w:widowControl/>
                    <w:suppressLineNumbers w:val="0"/>
                    <w:jc w:val="center"/>
                    <w:textAlignment w:val="center"/>
                    <w:rPr>
                      <w:color w:val="auto"/>
                      <w:sz w:val="21"/>
                      <w:szCs w:val="21"/>
                      <w:highlight w:val="none"/>
                    </w:rPr>
                  </w:pPr>
                  <w:r>
                    <w:rPr>
                      <w:rFonts w:hint="default" w:ascii="Times New Roman" w:hAnsi="Times New Roman" w:eastAsia="宋体" w:cs="Times New Roman"/>
                      <w:i w:val="0"/>
                      <w:iCs w:val="0"/>
                      <w:color w:val="auto"/>
                      <w:kern w:val="0"/>
                      <w:sz w:val="21"/>
                      <w:szCs w:val="21"/>
                      <w:highlight w:val="none"/>
                      <w:u w:val="none"/>
                      <w:lang w:val="en-US" w:eastAsia="zh-CN" w:bidi="ar"/>
                    </w:rPr>
                    <w:t>55</w:t>
                  </w:r>
                </w:p>
              </w:tc>
              <w:tc>
                <w:tcPr>
                  <w:tcW w:w="14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rFonts w:hint="eastAsia"/>
                      <w:color w:val="auto"/>
                      <w:sz w:val="21"/>
                      <w:szCs w:val="21"/>
                      <w:highlight w:val="no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color w:val="auto"/>
                      <w:sz w:val="21"/>
                      <w:szCs w:val="21"/>
                      <w:highlight w:val="none"/>
                      <w:lang w:val="en-US" w:eastAsia="zh-CN"/>
                    </w:rPr>
                  </w:pPr>
                  <w:r>
                    <w:rPr>
                      <w:rFonts w:hint="eastAsia" w:cs="Times New Roman"/>
                      <w:color w:val="auto"/>
                      <w:sz w:val="21"/>
                      <w:szCs w:val="21"/>
                      <w:highlight w:val="none"/>
                      <w:lang w:val="en-US" w:eastAsia="zh-CN"/>
                    </w:rPr>
                    <w:t>整形机（立式破碎机）</w:t>
                  </w:r>
                </w:p>
              </w:tc>
              <w:tc>
                <w:tcPr>
                  <w:tcW w:w="1233" w:type="dxa"/>
                  <w:noWrap w:val="0"/>
                  <w:vAlign w:val="center"/>
                </w:tcPr>
                <w:p>
                  <w:pPr>
                    <w:keepNext w:val="0"/>
                    <w:keepLines w:val="0"/>
                    <w:widowControl/>
                    <w:suppressLineNumbers w:val="0"/>
                    <w:jc w:val="center"/>
                    <w:textAlignment w:val="center"/>
                    <w:rPr>
                      <w:rFonts w:hint="default" w:eastAsia="宋体"/>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75</w:t>
                  </w:r>
                </w:p>
              </w:tc>
              <w:tc>
                <w:tcPr>
                  <w:tcW w:w="188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color w:val="auto"/>
                      <w:sz w:val="21"/>
                      <w:szCs w:val="21"/>
                      <w:highlight w:val="none"/>
                    </w:rPr>
                    <w:t>减振、隔声</w:t>
                  </w:r>
                </w:p>
              </w:tc>
              <w:tc>
                <w:tcPr>
                  <w:tcW w:w="1144"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10</w:t>
                  </w:r>
                </w:p>
              </w:tc>
              <w:tc>
                <w:tcPr>
                  <w:tcW w:w="1301" w:type="dxa"/>
                  <w:noWrap w:val="0"/>
                  <w:vAlign w:val="center"/>
                </w:tcPr>
                <w:p>
                  <w:pPr>
                    <w:keepNext w:val="0"/>
                    <w:keepLines w:val="0"/>
                    <w:widowControl/>
                    <w:suppressLineNumbers w:val="0"/>
                    <w:jc w:val="center"/>
                    <w:textAlignment w:val="center"/>
                    <w:rPr>
                      <w:rFonts w:hint="default" w:eastAsia="宋体"/>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65</w:t>
                  </w:r>
                </w:p>
              </w:tc>
              <w:tc>
                <w:tcPr>
                  <w:tcW w:w="14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auto"/>
                      <w:sz w:val="21"/>
                      <w:szCs w:val="21"/>
                      <w:highlight w:val="none"/>
                      <w:lang w:val="en-US" w:eastAsia="zh-CN"/>
                    </w:rPr>
                  </w:pPr>
                  <w:r>
                    <w:rPr>
                      <w:rFonts w:hint="eastAsia"/>
                      <w:color w:val="auto"/>
                      <w:sz w:val="21"/>
                      <w:szCs w:val="21"/>
                      <w:highlight w:val="no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轮式洗砂机</w:t>
                  </w:r>
                </w:p>
              </w:tc>
              <w:tc>
                <w:tcPr>
                  <w:tcW w:w="1233" w:type="dxa"/>
                  <w:noWrap w:val="0"/>
                  <w:vAlign w:val="center"/>
                </w:tcPr>
                <w:p>
                  <w:pPr>
                    <w:keepNext w:val="0"/>
                    <w:keepLines w:val="0"/>
                    <w:widowControl/>
                    <w:suppressLineNumbers w:val="0"/>
                    <w:jc w:val="center"/>
                    <w:textAlignment w:val="center"/>
                    <w:rPr>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65</w:t>
                  </w:r>
                </w:p>
              </w:tc>
              <w:tc>
                <w:tcPr>
                  <w:tcW w:w="188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kern w:val="2"/>
                      <w:sz w:val="21"/>
                      <w:szCs w:val="21"/>
                      <w:highlight w:val="none"/>
                      <w:lang w:val="en-US" w:eastAsia="zh-CN" w:bidi="ar-SA"/>
                    </w:rPr>
                  </w:pPr>
                  <w:r>
                    <w:rPr>
                      <w:color w:val="auto"/>
                      <w:sz w:val="21"/>
                      <w:szCs w:val="21"/>
                      <w:highlight w:val="none"/>
                    </w:rPr>
                    <w:t>减振、隔声</w:t>
                  </w:r>
                </w:p>
              </w:tc>
              <w:tc>
                <w:tcPr>
                  <w:tcW w:w="1144"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kern w:val="2"/>
                      <w:sz w:val="21"/>
                      <w:szCs w:val="21"/>
                      <w:highlight w:val="none"/>
                      <w:lang w:val="en-US" w:eastAsia="zh-CN" w:bidi="ar-SA"/>
                    </w:rPr>
                  </w:pPr>
                  <w:r>
                    <w:rPr>
                      <w:color w:val="auto"/>
                      <w:sz w:val="21"/>
                      <w:szCs w:val="21"/>
                      <w:highlight w:val="none"/>
                    </w:rPr>
                    <w:t>15</w:t>
                  </w:r>
                </w:p>
              </w:tc>
              <w:tc>
                <w:tcPr>
                  <w:tcW w:w="1301" w:type="dxa"/>
                  <w:noWrap w:val="0"/>
                  <w:vAlign w:val="center"/>
                </w:tcPr>
                <w:p>
                  <w:pPr>
                    <w:keepNext w:val="0"/>
                    <w:keepLines w:val="0"/>
                    <w:widowControl/>
                    <w:suppressLineNumbers w:val="0"/>
                    <w:jc w:val="center"/>
                    <w:textAlignment w:val="center"/>
                    <w:rPr>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50</w:t>
                  </w:r>
                </w:p>
              </w:tc>
              <w:tc>
                <w:tcPr>
                  <w:tcW w:w="14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rFonts w:hint="eastAsia"/>
                      <w:color w:val="auto"/>
                      <w:sz w:val="21"/>
                      <w:szCs w:val="21"/>
                      <w:highlight w:val="no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宋体"/>
                      <w:color w:val="auto"/>
                      <w:sz w:val="21"/>
                      <w:szCs w:val="21"/>
                      <w:highlight w:val="none"/>
                      <w:lang w:val="en-US" w:eastAsia="zh-CN"/>
                    </w:rPr>
                  </w:pPr>
                  <w:r>
                    <w:rPr>
                      <w:rFonts w:hint="eastAsia"/>
                      <w:color w:val="auto"/>
                      <w:sz w:val="21"/>
                      <w:szCs w:val="21"/>
                      <w:highlight w:val="none"/>
                      <w:lang w:val="en-US" w:eastAsia="zh-CN"/>
                    </w:rPr>
                    <w:t>脱水筛</w:t>
                  </w:r>
                </w:p>
              </w:tc>
              <w:tc>
                <w:tcPr>
                  <w:tcW w:w="1233" w:type="dxa"/>
                  <w:noWrap w:val="0"/>
                  <w:vAlign w:val="center"/>
                </w:tcPr>
                <w:p>
                  <w:pPr>
                    <w:keepNext w:val="0"/>
                    <w:keepLines w:val="0"/>
                    <w:widowControl/>
                    <w:suppressLineNumbers w:val="0"/>
                    <w:jc w:val="center"/>
                    <w:textAlignment w:val="center"/>
                    <w:rPr>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70</w:t>
                  </w:r>
                </w:p>
              </w:tc>
              <w:tc>
                <w:tcPr>
                  <w:tcW w:w="188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kern w:val="2"/>
                      <w:sz w:val="21"/>
                      <w:szCs w:val="21"/>
                      <w:highlight w:val="none"/>
                      <w:lang w:val="en-US" w:eastAsia="zh-CN" w:bidi="ar-SA"/>
                    </w:rPr>
                  </w:pPr>
                  <w:r>
                    <w:rPr>
                      <w:color w:val="auto"/>
                      <w:sz w:val="21"/>
                      <w:szCs w:val="21"/>
                      <w:highlight w:val="none"/>
                    </w:rPr>
                    <w:t>减振、隔声</w:t>
                  </w:r>
                </w:p>
              </w:tc>
              <w:tc>
                <w:tcPr>
                  <w:tcW w:w="1144"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kern w:val="2"/>
                      <w:sz w:val="21"/>
                      <w:szCs w:val="21"/>
                      <w:highlight w:val="none"/>
                      <w:lang w:val="en-US" w:eastAsia="zh-CN" w:bidi="ar-SA"/>
                    </w:rPr>
                  </w:pPr>
                  <w:r>
                    <w:rPr>
                      <w:color w:val="auto"/>
                      <w:sz w:val="21"/>
                      <w:szCs w:val="21"/>
                      <w:highlight w:val="none"/>
                    </w:rPr>
                    <w:t>10</w:t>
                  </w:r>
                </w:p>
              </w:tc>
              <w:tc>
                <w:tcPr>
                  <w:tcW w:w="1301" w:type="dxa"/>
                  <w:noWrap w:val="0"/>
                  <w:vAlign w:val="center"/>
                </w:tcPr>
                <w:p>
                  <w:pPr>
                    <w:keepNext w:val="0"/>
                    <w:keepLines w:val="0"/>
                    <w:widowControl/>
                    <w:suppressLineNumbers w:val="0"/>
                    <w:jc w:val="center"/>
                    <w:textAlignment w:val="center"/>
                    <w:rPr>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60</w:t>
                  </w:r>
                </w:p>
              </w:tc>
              <w:tc>
                <w:tcPr>
                  <w:tcW w:w="14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sz w:val="21"/>
                      <w:szCs w:val="21"/>
                      <w:highlight w:val="none"/>
                    </w:rPr>
                  </w:pPr>
                  <w:r>
                    <w:rPr>
                      <w:rFonts w:hint="eastAsia"/>
                      <w:color w:val="auto"/>
                      <w:sz w:val="21"/>
                      <w:szCs w:val="21"/>
                      <w:highlight w:val="none"/>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2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kern w:val="2"/>
                      <w:sz w:val="21"/>
                      <w:szCs w:val="21"/>
                      <w:highlight w:val="none"/>
                      <w:lang w:val="en-US" w:eastAsia="zh-CN" w:bidi="ar-SA"/>
                    </w:rPr>
                  </w:pPr>
                  <w:r>
                    <w:rPr>
                      <w:rFonts w:hint="eastAsia"/>
                      <w:color w:val="auto"/>
                      <w:sz w:val="21"/>
                      <w:szCs w:val="21"/>
                      <w:highlight w:val="none"/>
                      <w:lang w:val="en-US" w:eastAsia="zh-CN"/>
                    </w:rPr>
                    <w:t>压滤机</w:t>
                  </w:r>
                </w:p>
              </w:tc>
              <w:tc>
                <w:tcPr>
                  <w:tcW w:w="1233" w:type="dxa"/>
                  <w:noWrap w:val="0"/>
                  <w:vAlign w:val="center"/>
                </w:tcPr>
                <w:p>
                  <w:pPr>
                    <w:keepNext w:val="0"/>
                    <w:keepLines w:val="0"/>
                    <w:widowControl/>
                    <w:suppressLineNumbers w:val="0"/>
                    <w:jc w:val="center"/>
                    <w:textAlignment w:val="center"/>
                    <w:rPr>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70</w:t>
                  </w:r>
                </w:p>
              </w:tc>
              <w:tc>
                <w:tcPr>
                  <w:tcW w:w="188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kern w:val="2"/>
                      <w:sz w:val="21"/>
                      <w:szCs w:val="21"/>
                      <w:highlight w:val="none"/>
                      <w:lang w:val="en-US" w:eastAsia="zh-CN" w:bidi="ar-SA"/>
                    </w:rPr>
                  </w:pPr>
                  <w:r>
                    <w:rPr>
                      <w:color w:val="auto"/>
                      <w:sz w:val="21"/>
                      <w:szCs w:val="21"/>
                      <w:highlight w:val="none"/>
                    </w:rPr>
                    <w:t>减振、隔声、消声</w:t>
                  </w:r>
                </w:p>
              </w:tc>
              <w:tc>
                <w:tcPr>
                  <w:tcW w:w="1144"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kern w:val="2"/>
                      <w:sz w:val="21"/>
                      <w:szCs w:val="21"/>
                      <w:highlight w:val="none"/>
                      <w:lang w:val="en-US" w:eastAsia="zh-CN" w:bidi="ar-SA"/>
                    </w:rPr>
                  </w:pPr>
                  <w:r>
                    <w:rPr>
                      <w:color w:val="auto"/>
                      <w:sz w:val="21"/>
                      <w:szCs w:val="21"/>
                      <w:highlight w:val="none"/>
                    </w:rPr>
                    <w:t>10</w:t>
                  </w:r>
                </w:p>
              </w:tc>
              <w:tc>
                <w:tcPr>
                  <w:tcW w:w="1301" w:type="dxa"/>
                  <w:noWrap w:val="0"/>
                  <w:vAlign w:val="center"/>
                </w:tcPr>
                <w:p>
                  <w:pPr>
                    <w:keepNext w:val="0"/>
                    <w:keepLines w:val="0"/>
                    <w:widowControl/>
                    <w:suppressLineNumbers w:val="0"/>
                    <w:jc w:val="center"/>
                    <w:textAlignment w:val="center"/>
                    <w:rPr>
                      <w:color w:val="auto"/>
                      <w:kern w:val="2"/>
                      <w:sz w:val="21"/>
                      <w:szCs w:val="21"/>
                      <w:highlight w:val="none"/>
                      <w:lang w:val="en-US" w:eastAsia="zh-CN" w:bidi="ar-SA"/>
                    </w:rPr>
                  </w:pPr>
                  <w:r>
                    <w:rPr>
                      <w:rFonts w:hint="default" w:ascii="Times New Roman" w:hAnsi="Times New Roman" w:eastAsia="宋体" w:cs="Times New Roman"/>
                      <w:i w:val="0"/>
                      <w:iCs w:val="0"/>
                      <w:color w:val="auto"/>
                      <w:kern w:val="0"/>
                      <w:sz w:val="21"/>
                      <w:szCs w:val="21"/>
                      <w:highlight w:val="none"/>
                      <w:u w:val="none"/>
                      <w:lang w:val="en-US" w:eastAsia="zh-CN" w:bidi="ar"/>
                    </w:rPr>
                    <w:t>60</w:t>
                  </w:r>
                </w:p>
              </w:tc>
              <w:tc>
                <w:tcPr>
                  <w:tcW w:w="14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color w:val="auto"/>
                      <w:kern w:val="2"/>
                      <w:sz w:val="21"/>
                      <w:szCs w:val="21"/>
                      <w:highlight w:val="none"/>
                      <w:lang w:val="en-US" w:eastAsia="zh-CN" w:bidi="ar-SA"/>
                    </w:rPr>
                  </w:pPr>
                  <w:r>
                    <w:rPr>
                      <w:rFonts w:hint="eastAsia"/>
                      <w:color w:val="auto"/>
                      <w:sz w:val="21"/>
                      <w:szCs w:val="21"/>
                      <w:highlight w:val="none"/>
                      <w:lang w:val="en-US" w:eastAsia="zh-CN"/>
                    </w:rPr>
                    <w:t>20</w:t>
                  </w:r>
                </w:p>
              </w:tc>
            </w:tr>
          </w:tbl>
          <w:p>
            <w:pPr>
              <w:pStyle w:val="96"/>
              <w:keepNext w:val="0"/>
              <w:keepLines w:val="0"/>
              <w:pageBreakBefore w:val="0"/>
              <w:widowControl w:val="0"/>
              <w:kinsoku/>
              <w:wordWrap/>
              <w:overflowPunct/>
              <w:topLinePunct w:val="0"/>
              <w:autoSpaceDE/>
              <w:autoSpaceDN/>
              <w:bidi w:val="0"/>
              <w:adjustRightInd/>
              <w:snapToGrid/>
              <w:spacing w:before="251" w:beforeLines="80"/>
              <w:textAlignment w:val="auto"/>
              <w:rPr>
                <w:color w:val="auto"/>
                <w:highlight w:val="none"/>
              </w:rPr>
            </w:pPr>
            <w:r>
              <w:rPr>
                <w:color w:val="auto"/>
                <w:highlight w:val="none"/>
              </w:rPr>
              <w:t>3.2噪声达标情况</w:t>
            </w:r>
          </w:p>
          <w:p>
            <w:pPr>
              <w:pStyle w:val="98"/>
              <w:ind w:firstLine="480"/>
              <w:rPr>
                <w:color w:val="auto"/>
                <w:highlight w:val="none"/>
              </w:rPr>
            </w:pPr>
            <w:r>
              <w:rPr>
                <w:color w:val="auto"/>
                <w:highlight w:val="none"/>
              </w:rPr>
              <w:t>(1)噪声点源距离衰减公式</w:t>
            </w:r>
          </w:p>
          <w:p>
            <w:pPr>
              <w:pStyle w:val="98"/>
              <w:ind w:firstLine="480"/>
              <w:rPr>
                <w:color w:val="auto"/>
                <w:highlight w:val="none"/>
              </w:rPr>
            </w:pPr>
            <w:r>
              <w:rPr>
                <w:color w:val="auto"/>
                <w:highlight w:val="none"/>
              </w:rPr>
              <w:t>根据工业噪声源的特点，本次评价采用无指向性点源的集几何可近似认为是半发散衰减公式进行预测：</w:t>
            </w:r>
          </w:p>
          <w:p>
            <w:pPr>
              <w:pStyle w:val="98"/>
              <w:ind w:firstLine="480"/>
              <w:jc w:val="center"/>
              <w:rPr>
                <w:color w:val="auto"/>
                <w:highlight w:val="none"/>
              </w:rPr>
            </w:pPr>
            <w:r>
              <w:rPr>
                <w:color w:val="auto"/>
                <w:position w:val="-32"/>
                <w:highlight w:val="none"/>
              </w:rPr>
              <w:object>
                <v:shape id="_x0000_i1045" o:spt="75" type="#_x0000_t75" style="height:38.05pt;width:154.15pt;" o:ole="t" filled="f" o:preferrelative="t" stroked="f" coordsize="21600,21600">
                  <v:path/>
                  <v:fill on="f" focussize="0,0"/>
                  <v:stroke on="f"/>
                  <v:imagedata r:id="rId49" o:title=""/>
                  <o:lock v:ext="edit" aspectratio="t"/>
                  <w10:wrap type="none"/>
                  <w10:anchorlock/>
                </v:shape>
                <o:OLEObject Type="Embed" ProgID="Equation.3" ShapeID="_x0000_i1045" DrawAspect="Content" ObjectID="_1468075744" r:id="rId48">
                  <o:LockedField>false</o:LockedField>
                </o:OLEObject>
              </w:object>
            </w:r>
          </w:p>
          <w:p>
            <w:pPr>
              <w:pStyle w:val="98"/>
              <w:ind w:firstLine="480"/>
              <w:rPr>
                <w:color w:val="auto"/>
                <w:highlight w:val="none"/>
              </w:rPr>
            </w:pPr>
            <w:r>
              <w:rPr>
                <w:color w:val="auto"/>
                <w:highlight w:val="none"/>
              </w:rPr>
              <w:t>式中：L</w:t>
            </w:r>
            <w:r>
              <w:rPr>
                <w:color w:val="auto"/>
                <w:highlight w:val="none"/>
                <w:vertAlign w:val="subscript"/>
              </w:rPr>
              <w:t>A(r)</w:t>
            </w:r>
            <w:r>
              <w:rPr>
                <w:color w:val="auto"/>
                <w:highlight w:val="none"/>
              </w:rPr>
              <w:t>——距声源r处的A声级，dB；</w:t>
            </w:r>
          </w:p>
          <w:p>
            <w:pPr>
              <w:pStyle w:val="98"/>
              <w:ind w:firstLine="1200" w:firstLineChars="500"/>
              <w:rPr>
                <w:color w:val="auto"/>
                <w:highlight w:val="none"/>
              </w:rPr>
            </w:pPr>
            <w:r>
              <w:rPr>
                <w:color w:val="auto"/>
                <w:highlight w:val="none"/>
              </w:rPr>
              <w:t>L</w:t>
            </w:r>
            <w:r>
              <w:rPr>
                <w:color w:val="auto"/>
                <w:highlight w:val="none"/>
                <w:vertAlign w:val="subscript"/>
              </w:rPr>
              <w:t>A(r0)</w:t>
            </w:r>
            <w:r>
              <w:rPr>
                <w:color w:val="auto"/>
                <w:highlight w:val="none"/>
              </w:rPr>
              <w:t>——参考位置r</w:t>
            </w:r>
            <w:r>
              <w:rPr>
                <w:color w:val="auto"/>
                <w:highlight w:val="none"/>
                <w:vertAlign w:val="subscript"/>
              </w:rPr>
              <w:t>0</w:t>
            </w:r>
            <w:r>
              <w:rPr>
                <w:color w:val="auto"/>
                <w:highlight w:val="none"/>
              </w:rPr>
              <w:t>处的A声级，dB；</w:t>
            </w:r>
          </w:p>
          <w:p>
            <w:pPr>
              <w:pStyle w:val="98"/>
              <w:ind w:firstLine="1200" w:firstLineChars="500"/>
              <w:rPr>
                <w:color w:val="auto"/>
                <w:highlight w:val="none"/>
              </w:rPr>
            </w:pPr>
            <w:r>
              <w:rPr>
                <w:color w:val="auto"/>
                <w:highlight w:val="none"/>
              </w:rPr>
              <w:t>r——预测点距声源的距离，m；</w:t>
            </w:r>
          </w:p>
          <w:p>
            <w:pPr>
              <w:pStyle w:val="98"/>
              <w:ind w:firstLine="1200" w:firstLineChars="500"/>
              <w:rPr>
                <w:color w:val="auto"/>
                <w:highlight w:val="none"/>
              </w:rPr>
            </w:pPr>
            <w:r>
              <w:rPr>
                <w:color w:val="auto"/>
                <w:highlight w:val="none"/>
              </w:rPr>
              <w:t>r</w:t>
            </w:r>
            <w:r>
              <w:rPr>
                <w:color w:val="auto"/>
                <w:highlight w:val="none"/>
                <w:vertAlign w:val="subscript"/>
              </w:rPr>
              <w:t>0</w:t>
            </w:r>
            <w:r>
              <w:rPr>
                <w:color w:val="auto"/>
                <w:highlight w:val="none"/>
              </w:rPr>
              <w:t>——参考位置距声源的距离，m；</w:t>
            </w:r>
          </w:p>
          <w:p>
            <w:pPr>
              <w:pStyle w:val="98"/>
              <w:ind w:firstLine="1200" w:firstLineChars="500"/>
              <w:rPr>
                <w:color w:val="auto"/>
                <w:highlight w:val="none"/>
              </w:rPr>
            </w:pPr>
            <w:r>
              <w:rPr>
                <w:color w:val="auto"/>
                <w:highlight w:val="none"/>
              </w:rPr>
              <w:t>ΔL</w:t>
            </w:r>
            <w:r>
              <w:rPr>
                <w:color w:val="auto"/>
                <w:highlight w:val="none"/>
                <w:vertAlign w:val="subscript"/>
              </w:rPr>
              <w:t>A</w:t>
            </w:r>
            <w:r>
              <w:rPr>
                <w:color w:val="auto"/>
                <w:highlight w:val="none"/>
              </w:rPr>
              <w:t>——因各种因素引起的衰减量，dB。</w:t>
            </w:r>
          </w:p>
          <w:p>
            <w:pPr>
              <w:pStyle w:val="98"/>
              <w:ind w:firstLine="480"/>
              <w:rPr>
                <w:color w:val="auto"/>
                <w:highlight w:val="none"/>
              </w:rPr>
            </w:pPr>
            <w:r>
              <w:rPr>
                <w:color w:val="auto"/>
                <w:highlight w:val="none"/>
              </w:rPr>
              <w:t>(2)多声源叠加公式</w:t>
            </w:r>
          </w:p>
          <w:p>
            <w:pPr>
              <w:pStyle w:val="98"/>
              <w:ind w:firstLine="480"/>
              <w:jc w:val="center"/>
              <w:rPr>
                <w:color w:val="auto"/>
                <w:highlight w:val="none"/>
              </w:rPr>
            </w:pPr>
            <w:r>
              <w:rPr>
                <w:color w:val="auto"/>
                <w:highlight w:val="none"/>
              </w:rPr>
              <w:object>
                <v:shape id="_x0000_i1046" o:spt="75" type="#_x0000_t75" style="height:36pt;width:116.15pt;" o:ole="t" fillcolor="#000011" filled="f" o:preferrelative="t" stroked="f" coordsize="21600,21600">
                  <v:path/>
                  <v:fill on="f" focussize="0,0"/>
                  <v:stroke on="f"/>
                  <v:imagedata r:id="rId51" o:title=""/>
                  <o:lock v:ext="edit" aspectratio="t"/>
                  <w10:wrap type="none"/>
                  <w10:anchorlock/>
                </v:shape>
                <o:OLEObject Type="Embed" ProgID="Equation.3" ShapeID="_x0000_i1046" DrawAspect="Content" ObjectID="_1468075745" r:id="rId50">
                  <o:LockedField>false</o:LockedField>
                </o:OLEObject>
              </w:object>
            </w:r>
          </w:p>
          <w:p>
            <w:pPr>
              <w:pStyle w:val="98"/>
              <w:ind w:firstLine="480"/>
              <w:rPr>
                <w:color w:val="auto"/>
                <w:highlight w:val="none"/>
              </w:rPr>
            </w:pPr>
            <w:r>
              <w:rPr>
                <w:color w:val="auto"/>
                <w:highlight w:val="none"/>
              </w:rPr>
              <w:t>式中：Leq——预测点的总声压级，dB(A)；</w:t>
            </w:r>
          </w:p>
          <w:p>
            <w:pPr>
              <w:pStyle w:val="98"/>
              <w:ind w:firstLine="1200" w:firstLineChars="500"/>
              <w:rPr>
                <w:color w:val="auto"/>
                <w:highlight w:val="none"/>
              </w:rPr>
            </w:pPr>
            <w:r>
              <w:rPr>
                <w:color w:val="auto"/>
                <w:highlight w:val="none"/>
              </w:rPr>
              <w:t>L</w:t>
            </w:r>
            <w:r>
              <w:rPr>
                <w:color w:val="auto"/>
                <w:highlight w:val="none"/>
                <w:vertAlign w:val="subscript"/>
              </w:rPr>
              <w:t>A,i</w:t>
            </w:r>
            <w:r>
              <w:rPr>
                <w:color w:val="auto"/>
                <w:highlight w:val="none"/>
              </w:rPr>
              <w:t>——第i个声源对预测点的影响值，dB(A)；</w:t>
            </w:r>
          </w:p>
          <w:p>
            <w:pPr>
              <w:pStyle w:val="98"/>
              <w:ind w:firstLine="1200" w:firstLineChars="500"/>
              <w:rPr>
                <w:color w:val="auto"/>
                <w:highlight w:val="none"/>
              </w:rPr>
            </w:pPr>
            <w:r>
              <w:rPr>
                <w:color w:val="auto"/>
                <w:highlight w:val="none"/>
              </w:rPr>
              <w:t>N——声源个数。</w:t>
            </w:r>
          </w:p>
          <w:p>
            <w:pPr>
              <w:pStyle w:val="98"/>
              <w:ind w:firstLine="480"/>
              <w:rPr>
                <w:color w:val="auto"/>
                <w:highlight w:val="none"/>
              </w:rPr>
            </w:pPr>
            <w:r>
              <w:rPr>
                <w:color w:val="auto"/>
                <w:highlight w:val="none"/>
              </w:rPr>
              <w:t>(3)建筑围护结构的隔声量</w:t>
            </w:r>
          </w:p>
          <w:p>
            <w:pPr>
              <w:pStyle w:val="98"/>
              <w:ind w:firstLine="480"/>
              <w:rPr>
                <w:color w:val="auto"/>
                <w:highlight w:val="none"/>
              </w:rPr>
            </w:pPr>
            <w:r>
              <w:rPr>
                <w:color w:val="auto"/>
                <w:highlight w:val="none"/>
              </w:rPr>
              <w:t>建筑围护结构的隔声量取决于墙体、门窗所占面积及其透声系数。根据经验和计算，建筑围护结构的隔声量一般为</w:t>
            </w:r>
            <w:r>
              <w:rPr>
                <w:rFonts w:hint="eastAsia"/>
                <w:color w:val="auto"/>
                <w:highlight w:val="none"/>
                <w:lang w:eastAsia="zh-CN"/>
              </w:rPr>
              <w:t>（</w:t>
            </w:r>
            <w:r>
              <w:rPr>
                <w:rFonts w:hint="eastAsia"/>
                <w:color w:val="auto"/>
                <w:highlight w:val="none"/>
                <w:lang w:val="en-US" w:eastAsia="zh-CN"/>
              </w:rPr>
              <w:t>10~</w:t>
            </w:r>
            <w:r>
              <w:rPr>
                <w:color w:val="auto"/>
                <w:highlight w:val="none"/>
              </w:rPr>
              <w:t>15</w:t>
            </w:r>
            <w:r>
              <w:rPr>
                <w:rFonts w:hint="eastAsia"/>
                <w:color w:val="auto"/>
                <w:highlight w:val="none"/>
                <w:lang w:eastAsia="zh-CN"/>
              </w:rPr>
              <w:t>）</w:t>
            </w:r>
            <w:r>
              <w:rPr>
                <w:color w:val="auto"/>
                <w:highlight w:val="none"/>
              </w:rPr>
              <w:t>dB(A)。</w:t>
            </w:r>
          </w:p>
          <w:p>
            <w:pPr>
              <w:pStyle w:val="98"/>
              <w:ind w:firstLine="480"/>
              <w:rPr>
                <w:color w:val="auto"/>
                <w:highlight w:val="none"/>
              </w:rPr>
            </w:pPr>
            <w:r>
              <w:rPr>
                <w:color w:val="auto"/>
                <w:highlight w:val="none"/>
              </w:rPr>
              <w:t>采用上述预测模式计算厂界处的噪声排放声级及其对周边声环境的影响，预测结果见</w:t>
            </w:r>
            <w:r>
              <w:rPr>
                <w:color w:val="auto"/>
                <w:highlight w:val="none"/>
              </w:rPr>
              <w:fldChar w:fldCharType="begin"/>
            </w:r>
            <w:r>
              <w:rPr>
                <w:color w:val="auto"/>
                <w:highlight w:val="none"/>
              </w:rPr>
              <w:instrText xml:space="preserve"> REF _Ref65696317 \r \h  \* MERGEFORMAT </w:instrText>
            </w:r>
            <w:r>
              <w:rPr>
                <w:color w:val="auto"/>
                <w:highlight w:val="none"/>
              </w:rPr>
              <w:fldChar w:fldCharType="separate"/>
            </w:r>
            <w:r>
              <w:rPr>
                <w:rFonts w:hint="eastAsia"/>
                <w:color w:val="auto"/>
                <w:highlight w:val="none"/>
              </w:rPr>
              <w:t>表2</w:t>
            </w:r>
            <w:r>
              <w:rPr>
                <w:rFonts w:hint="eastAsia"/>
                <w:color w:val="auto"/>
                <w:highlight w:val="none"/>
                <w:lang w:val="en-US" w:eastAsia="zh-CN"/>
              </w:rPr>
              <w:t>5</w:t>
            </w:r>
            <w:r>
              <w:rPr>
                <w:color w:val="auto"/>
                <w:highlight w:val="none"/>
              </w:rPr>
              <w:fldChar w:fldCharType="end"/>
            </w:r>
            <w:r>
              <w:rPr>
                <w:color w:val="auto"/>
                <w:highlight w:val="none"/>
              </w:rPr>
              <w:t>。</w:t>
            </w:r>
          </w:p>
          <w:p>
            <w:pPr>
              <w:pStyle w:val="57"/>
              <w:bidi w:val="0"/>
              <w:rPr>
                <w:color w:val="auto"/>
                <w:highlight w:val="none"/>
              </w:rPr>
            </w:pPr>
            <w:r>
              <w:rPr>
                <w:color w:val="auto"/>
                <w:highlight w:val="none"/>
              </w:rPr>
              <w:t>噪声预测结果一览表</w:t>
            </w:r>
          </w:p>
          <w:tbl>
            <w:tblPr>
              <w:tblStyle w:val="2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51"/>
              <w:gridCol w:w="2591"/>
              <w:gridCol w:w="943"/>
              <w:gridCol w:w="802"/>
              <w:gridCol w:w="875"/>
              <w:gridCol w:w="8"/>
              <w:gridCol w:w="822"/>
              <w:gridCol w:w="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7" w:type="pct"/>
                <w:cantSplit/>
                <w:trHeight w:val="340" w:hRule="atLeast"/>
                <w:jc w:val="center"/>
              </w:trPr>
              <w:tc>
                <w:tcPr>
                  <w:tcW w:w="69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sz w:val="21"/>
                      <w:szCs w:val="21"/>
                      <w:highlight w:val="none"/>
                    </w:rPr>
                  </w:pPr>
                  <w:r>
                    <w:rPr>
                      <w:rFonts w:hint="default"/>
                      <w:color w:val="auto"/>
                      <w:sz w:val="21"/>
                      <w:szCs w:val="21"/>
                      <w:highlight w:val="none"/>
                    </w:rPr>
                    <w:t>噪声源</w:t>
                  </w:r>
                </w:p>
              </w:tc>
              <w:tc>
                <w:tcPr>
                  <w:tcW w:w="155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sz w:val="21"/>
                      <w:szCs w:val="21"/>
                      <w:highlight w:val="none"/>
                    </w:rPr>
                  </w:pPr>
                  <w:r>
                    <w:rPr>
                      <w:rFonts w:hint="default"/>
                      <w:color w:val="auto"/>
                      <w:sz w:val="21"/>
                      <w:szCs w:val="21"/>
                      <w:highlight w:val="none"/>
                    </w:rPr>
                    <w:t>隔声</w:t>
                  </w:r>
                  <w:r>
                    <w:rPr>
                      <w:rFonts w:hint="eastAsia"/>
                      <w:color w:val="auto"/>
                      <w:sz w:val="21"/>
                      <w:szCs w:val="21"/>
                      <w:highlight w:val="none"/>
                      <w:lang w:eastAsia="zh-CN"/>
                    </w:rPr>
                    <w:t>、</w:t>
                  </w:r>
                  <w:r>
                    <w:rPr>
                      <w:rFonts w:hint="default"/>
                      <w:color w:val="auto"/>
                      <w:sz w:val="21"/>
                      <w:szCs w:val="21"/>
                      <w:highlight w:val="none"/>
                    </w:rPr>
                    <w:t>减震</w:t>
                  </w:r>
                  <w:r>
                    <w:rPr>
                      <w:rFonts w:hint="eastAsia"/>
                      <w:color w:val="auto"/>
                      <w:sz w:val="21"/>
                      <w:szCs w:val="21"/>
                      <w:highlight w:val="none"/>
                      <w:lang w:eastAsia="zh-CN"/>
                    </w:rPr>
                    <w:t>、</w:t>
                  </w:r>
                  <w:r>
                    <w:rPr>
                      <w:rFonts w:hint="eastAsia"/>
                      <w:color w:val="auto"/>
                      <w:sz w:val="21"/>
                      <w:szCs w:val="21"/>
                      <w:highlight w:val="none"/>
                      <w:lang w:val="en-US" w:eastAsia="zh-CN"/>
                    </w:rPr>
                    <w:t>消声</w:t>
                  </w:r>
                  <w:r>
                    <w:rPr>
                      <w:rFonts w:hint="default"/>
                      <w:color w:val="auto"/>
                      <w:sz w:val="21"/>
                      <w:szCs w:val="21"/>
                      <w:highlight w:val="none"/>
                    </w:rPr>
                    <w:t>后dB(A)</w:t>
                  </w:r>
                </w:p>
              </w:tc>
              <w:tc>
                <w:tcPr>
                  <w:tcW w:w="259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sz w:val="21"/>
                      <w:szCs w:val="21"/>
                      <w:highlight w:val="none"/>
                    </w:rPr>
                  </w:pPr>
                  <w:r>
                    <w:rPr>
                      <w:rFonts w:hint="default"/>
                      <w:color w:val="auto"/>
                      <w:sz w:val="21"/>
                      <w:szCs w:val="21"/>
                      <w:highlight w:val="none"/>
                    </w:rPr>
                    <w:t>方位</w:t>
                  </w:r>
                </w:p>
              </w:tc>
              <w:tc>
                <w:tcPr>
                  <w:tcW w:w="94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sz w:val="21"/>
                      <w:szCs w:val="21"/>
                      <w:highlight w:val="none"/>
                    </w:rPr>
                  </w:pPr>
                  <w:r>
                    <w:rPr>
                      <w:rFonts w:hint="default"/>
                      <w:color w:val="auto"/>
                      <w:sz w:val="21"/>
                      <w:szCs w:val="21"/>
                      <w:highlight w:val="none"/>
                    </w:rPr>
                    <w:t>东</w:t>
                  </w:r>
                </w:p>
              </w:tc>
              <w:tc>
                <w:tcPr>
                  <w:tcW w:w="80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sz w:val="21"/>
                      <w:szCs w:val="21"/>
                      <w:highlight w:val="none"/>
                    </w:rPr>
                  </w:pPr>
                  <w:r>
                    <w:rPr>
                      <w:rFonts w:hint="default"/>
                      <w:color w:val="auto"/>
                      <w:sz w:val="21"/>
                      <w:szCs w:val="21"/>
                      <w:highlight w:val="none"/>
                    </w:rPr>
                    <w:t>西</w:t>
                  </w:r>
                </w:p>
              </w:tc>
              <w:tc>
                <w:tcPr>
                  <w:tcW w:w="875"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sz w:val="21"/>
                      <w:szCs w:val="21"/>
                      <w:highlight w:val="none"/>
                    </w:rPr>
                  </w:pPr>
                  <w:r>
                    <w:rPr>
                      <w:rFonts w:hint="default"/>
                      <w:color w:val="auto"/>
                      <w:sz w:val="21"/>
                      <w:szCs w:val="21"/>
                      <w:highlight w:val="none"/>
                    </w:rPr>
                    <w:t>南</w:t>
                  </w:r>
                </w:p>
              </w:tc>
              <w:tc>
                <w:tcPr>
                  <w:tcW w:w="830" w:type="dxa"/>
                  <w:gridSpan w:val="2"/>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sz w:val="21"/>
                      <w:szCs w:val="21"/>
                      <w:highlight w:val="none"/>
                    </w:rPr>
                  </w:pPr>
                  <w:r>
                    <w:rPr>
                      <w:rFonts w:hint="default"/>
                      <w:color w:val="auto"/>
                      <w:sz w:val="21"/>
                      <w:szCs w:val="21"/>
                      <w:highlight w:val="none"/>
                    </w:rPr>
                    <w:t>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7" w:type="pct"/>
                <w:cantSplit/>
                <w:trHeight w:val="340" w:hRule="atLeast"/>
                <w:jc w:val="center"/>
              </w:trPr>
              <w:tc>
                <w:tcPr>
                  <w:tcW w:w="69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sz w:val="21"/>
                      <w:szCs w:val="21"/>
                      <w:highlight w:val="none"/>
                      <w:lang w:val="en-US" w:eastAsia="zh-CN"/>
                    </w:rPr>
                  </w:pPr>
                  <w:r>
                    <w:rPr>
                      <w:rFonts w:hint="eastAsia"/>
                      <w:color w:val="auto"/>
                      <w:sz w:val="21"/>
                      <w:szCs w:val="21"/>
                      <w:highlight w:val="none"/>
                      <w:lang w:val="en-US" w:eastAsia="zh-CN"/>
                    </w:rPr>
                    <w:t>车间</w:t>
                  </w:r>
                </w:p>
              </w:tc>
              <w:tc>
                <w:tcPr>
                  <w:tcW w:w="155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73</w:t>
                  </w:r>
                </w:p>
              </w:tc>
              <w:tc>
                <w:tcPr>
                  <w:tcW w:w="259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color w:val="auto"/>
                      <w:sz w:val="21"/>
                      <w:szCs w:val="21"/>
                      <w:highlight w:val="none"/>
                    </w:rPr>
                  </w:pPr>
                  <w:r>
                    <w:rPr>
                      <w:rFonts w:hint="default"/>
                      <w:color w:val="auto"/>
                      <w:sz w:val="21"/>
                      <w:szCs w:val="21"/>
                      <w:highlight w:val="none"/>
                    </w:rPr>
                    <w:t>车间与厂界的距离（m）</w:t>
                  </w:r>
                </w:p>
              </w:tc>
              <w:tc>
                <w:tcPr>
                  <w:tcW w:w="943" w:type="dxa"/>
                  <w:noWrap w:val="0"/>
                  <w:vAlign w:val="center"/>
                </w:tcPr>
                <w:p>
                  <w:pPr>
                    <w:keepNext w:val="0"/>
                    <w:keepLines w:val="0"/>
                    <w:widowControl/>
                    <w:suppressLineNumbers w:val="0"/>
                    <w:jc w:val="center"/>
                    <w:textAlignment w:val="center"/>
                    <w:rPr>
                      <w:rFonts w:hint="default" w:eastAsia="宋体"/>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75</w:t>
                  </w:r>
                </w:p>
              </w:tc>
              <w:tc>
                <w:tcPr>
                  <w:tcW w:w="802" w:type="dxa"/>
                  <w:noWrap w:val="0"/>
                  <w:vAlign w:val="center"/>
                </w:tcPr>
                <w:p>
                  <w:pPr>
                    <w:keepNext w:val="0"/>
                    <w:keepLines w:val="0"/>
                    <w:widowControl/>
                    <w:suppressLineNumbers w:val="0"/>
                    <w:jc w:val="center"/>
                    <w:textAlignment w:val="center"/>
                    <w:rPr>
                      <w:rFonts w:hint="default" w:eastAsia="宋体"/>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5</w:t>
                  </w:r>
                </w:p>
              </w:tc>
              <w:tc>
                <w:tcPr>
                  <w:tcW w:w="875" w:type="dxa"/>
                  <w:noWrap w:val="0"/>
                  <w:vAlign w:val="center"/>
                </w:tcPr>
                <w:p>
                  <w:pPr>
                    <w:keepNext w:val="0"/>
                    <w:keepLines w:val="0"/>
                    <w:widowControl/>
                    <w:suppressLineNumbers w:val="0"/>
                    <w:jc w:val="center"/>
                    <w:textAlignment w:val="center"/>
                    <w:rPr>
                      <w:rFonts w:hint="default" w:eastAsia="宋体"/>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40</w:t>
                  </w:r>
                </w:p>
              </w:tc>
              <w:tc>
                <w:tcPr>
                  <w:tcW w:w="830" w:type="dxa"/>
                  <w:gridSpan w:val="2"/>
                  <w:noWrap w:val="0"/>
                  <w:vAlign w:val="center"/>
                </w:tcPr>
                <w:p>
                  <w:pPr>
                    <w:keepNext w:val="0"/>
                    <w:keepLines w:val="0"/>
                    <w:widowControl/>
                    <w:suppressLineNumbers w:val="0"/>
                    <w:jc w:val="center"/>
                    <w:textAlignment w:val="center"/>
                    <w:rPr>
                      <w:rFonts w:hint="default" w:eastAsia="宋体"/>
                      <w:color w:val="auto"/>
                      <w:sz w:val="21"/>
                      <w:szCs w:val="21"/>
                      <w:highlight w:val="none"/>
                      <w:lang w:val="en-US" w:eastAsia="zh-CN"/>
                    </w:rPr>
                  </w:pPr>
                  <w:r>
                    <w:rPr>
                      <w:rFonts w:hint="eastAsia" w:ascii="Times New Roman" w:hAnsi="Times New Roman" w:eastAsia="宋体" w:cs="Times New Roman"/>
                      <w:i w:val="0"/>
                      <w:iCs w:val="0"/>
                      <w:color w:val="auto"/>
                      <w:kern w:val="0"/>
                      <w:sz w:val="21"/>
                      <w:szCs w:val="21"/>
                      <w:highlight w:val="none"/>
                      <w:u w:val="none"/>
                      <w:lang w:val="en-US" w:eastAsia="zh-CN" w:bidi="ar"/>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833" w:type="dxa"/>
                  <w:gridSpan w:val="3"/>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贡献值dB(A)</w:t>
                  </w:r>
                </w:p>
              </w:tc>
              <w:tc>
                <w:tcPr>
                  <w:tcW w:w="94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35.5</w:t>
                  </w:r>
                </w:p>
              </w:tc>
              <w:tc>
                <w:tcPr>
                  <w:tcW w:w="80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49.5</w:t>
                  </w:r>
                </w:p>
              </w:tc>
              <w:tc>
                <w:tcPr>
                  <w:tcW w:w="883" w:type="dxa"/>
                  <w:gridSpan w:val="2"/>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41.0</w:t>
                  </w:r>
                </w:p>
              </w:tc>
              <w:tc>
                <w:tcPr>
                  <w:tcW w:w="834" w:type="dxa"/>
                  <w:gridSpan w:val="2"/>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53.9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833" w:type="dxa"/>
                  <w:gridSpan w:val="3"/>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b w:val="0"/>
                      <w:bCs/>
                      <w:color w:val="auto"/>
                      <w:sz w:val="21"/>
                      <w:szCs w:val="21"/>
                      <w:highlight w:val="none"/>
                    </w:rPr>
                    <w:t>昼间环境噪声限值</w:t>
                  </w:r>
                  <w:r>
                    <w:rPr>
                      <w:rFonts w:hint="default" w:ascii="Times New Roman" w:hAnsi="Times New Roman" w:eastAsia="宋体" w:cs="Times New Roman"/>
                      <w:color w:val="auto"/>
                      <w:sz w:val="21"/>
                      <w:szCs w:val="21"/>
                      <w:highlight w:val="none"/>
                    </w:rPr>
                    <w:t>dB(A)</w:t>
                  </w:r>
                </w:p>
              </w:tc>
              <w:tc>
                <w:tcPr>
                  <w:tcW w:w="94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60</w:t>
                  </w:r>
                </w:p>
              </w:tc>
              <w:tc>
                <w:tcPr>
                  <w:tcW w:w="80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60</w:t>
                  </w:r>
                </w:p>
              </w:tc>
              <w:tc>
                <w:tcPr>
                  <w:tcW w:w="883" w:type="dxa"/>
                  <w:gridSpan w:val="2"/>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60</w:t>
                  </w:r>
                </w:p>
              </w:tc>
              <w:tc>
                <w:tcPr>
                  <w:tcW w:w="834" w:type="dxa"/>
                  <w:gridSpan w:val="2"/>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833" w:type="dxa"/>
                  <w:gridSpan w:val="3"/>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b w:val="0"/>
                      <w:bCs/>
                      <w:color w:val="auto"/>
                      <w:sz w:val="21"/>
                      <w:szCs w:val="21"/>
                      <w:highlight w:val="none"/>
                    </w:rPr>
                    <w:t>夜间环境噪声限值</w:t>
                  </w:r>
                  <w:r>
                    <w:rPr>
                      <w:rFonts w:hint="default" w:ascii="Times New Roman" w:hAnsi="Times New Roman" w:eastAsia="宋体" w:cs="Times New Roman"/>
                      <w:color w:val="auto"/>
                      <w:sz w:val="21"/>
                      <w:szCs w:val="21"/>
                      <w:highlight w:val="none"/>
                    </w:rPr>
                    <w:t>dB(A)</w:t>
                  </w:r>
                </w:p>
              </w:tc>
              <w:tc>
                <w:tcPr>
                  <w:tcW w:w="94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50</w:t>
                  </w:r>
                </w:p>
              </w:tc>
              <w:tc>
                <w:tcPr>
                  <w:tcW w:w="80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50</w:t>
                  </w:r>
                </w:p>
              </w:tc>
              <w:tc>
                <w:tcPr>
                  <w:tcW w:w="883" w:type="dxa"/>
                  <w:gridSpan w:val="2"/>
                  <w:noWrap w:val="0"/>
                  <w:vAlign w:val="center"/>
                </w:tcPr>
                <w:p>
                  <w:pPr>
                    <w:pStyle w:val="63"/>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50</w:t>
                  </w:r>
                </w:p>
              </w:tc>
              <w:tc>
                <w:tcPr>
                  <w:tcW w:w="834" w:type="dxa"/>
                  <w:gridSpan w:val="2"/>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55</w:t>
                  </w:r>
                </w:p>
              </w:tc>
            </w:tr>
          </w:tbl>
          <w:p>
            <w:pPr>
              <w:pStyle w:val="63"/>
              <w:rPr>
                <w:rFonts w:hint="default"/>
                <w:color w:val="auto"/>
                <w:highlight w:val="none"/>
              </w:rPr>
            </w:pPr>
          </w:p>
          <w:p>
            <w:pPr>
              <w:pStyle w:val="98"/>
              <w:ind w:firstLine="480"/>
              <w:rPr>
                <w:color w:val="auto"/>
                <w:highlight w:val="none"/>
              </w:rPr>
            </w:pPr>
            <w:r>
              <w:rPr>
                <w:color w:val="auto"/>
                <w:highlight w:val="none"/>
              </w:rPr>
              <w:t>由上表可知，通过采取隔声措施后，</w:t>
            </w:r>
            <w:r>
              <w:rPr>
                <w:rFonts w:hint="eastAsia"/>
                <w:color w:val="auto"/>
                <w:highlight w:val="none"/>
                <w:lang w:val="en-US" w:eastAsia="zh-CN"/>
              </w:rPr>
              <w:t>北侧厂界满足</w:t>
            </w:r>
            <w:r>
              <w:rPr>
                <w:color w:val="auto"/>
                <w:highlight w:val="none"/>
              </w:rPr>
              <w:t>《工业企业厂界环境噪声标准》(GB12348-2008)中</w:t>
            </w:r>
            <w:r>
              <w:rPr>
                <w:rFonts w:hint="eastAsia"/>
                <w:color w:val="auto"/>
                <w:highlight w:val="none"/>
                <w:lang w:val="en-US" w:eastAsia="zh-CN"/>
              </w:rPr>
              <w:t>的4a类标准限值，其他厂界</w:t>
            </w:r>
            <w:r>
              <w:rPr>
                <w:color w:val="auto"/>
                <w:highlight w:val="none"/>
              </w:rPr>
              <w:t>噪声均可满足</w:t>
            </w:r>
            <w:r>
              <w:rPr>
                <w:rFonts w:hint="eastAsia"/>
                <w:color w:val="auto"/>
                <w:highlight w:val="none"/>
                <w:lang w:val="en-US" w:eastAsia="zh-CN"/>
              </w:rPr>
              <w:t>2</w:t>
            </w:r>
            <w:r>
              <w:rPr>
                <w:color w:val="auto"/>
                <w:highlight w:val="none"/>
              </w:rPr>
              <w:t>类标准限值</w:t>
            </w:r>
            <w:r>
              <w:rPr>
                <w:rFonts w:hint="eastAsia"/>
                <w:color w:val="auto"/>
                <w:highlight w:val="none"/>
                <w:lang w:eastAsia="zh-CN"/>
              </w:rPr>
              <w:t>，</w:t>
            </w:r>
            <w:r>
              <w:rPr>
                <w:color w:val="auto"/>
                <w:highlight w:val="none"/>
              </w:rPr>
              <w:t>因此，项目运营期对周围声环境影响较小。</w:t>
            </w:r>
          </w:p>
          <w:p>
            <w:pPr>
              <w:pStyle w:val="96"/>
              <w:rPr>
                <w:color w:val="auto"/>
                <w:highlight w:val="none"/>
              </w:rPr>
            </w:pPr>
            <w:r>
              <w:rPr>
                <w:color w:val="auto"/>
                <w:highlight w:val="none"/>
              </w:rPr>
              <w:t>3.3监测计划</w:t>
            </w:r>
          </w:p>
          <w:p>
            <w:pPr>
              <w:pStyle w:val="57"/>
              <w:rPr>
                <w:color w:val="auto"/>
                <w:highlight w:val="none"/>
              </w:rPr>
            </w:pPr>
            <w:r>
              <w:rPr>
                <w:color w:val="auto"/>
                <w:highlight w:val="none"/>
              </w:rPr>
              <w:t>噪声监测计划</w:t>
            </w:r>
          </w:p>
          <w:tbl>
            <w:tblPr>
              <w:tblStyle w:val="25"/>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1111"/>
              <w:gridCol w:w="4337"/>
              <w:gridCol w:w="16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5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监测点位</w:t>
                  </w:r>
                </w:p>
              </w:tc>
              <w:tc>
                <w:tcPr>
                  <w:tcW w:w="111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监测项目</w:t>
                  </w:r>
                </w:p>
              </w:tc>
              <w:tc>
                <w:tcPr>
                  <w:tcW w:w="4337"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执行标准</w:t>
                  </w:r>
                </w:p>
              </w:tc>
              <w:tc>
                <w:tcPr>
                  <w:tcW w:w="169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5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厂界四周</w:t>
                  </w:r>
                </w:p>
              </w:tc>
              <w:tc>
                <w:tcPr>
                  <w:tcW w:w="111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Leq(A)</w:t>
                  </w:r>
                </w:p>
              </w:tc>
              <w:tc>
                <w:tcPr>
                  <w:tcW w:w="4337"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r>
                    <w:rPr>
                      <w:rFonts w:hint="eastAsia"/>
                      <w:color w:val="auto"/>
                      <w:highlight w:val="none"/>
                      <w:lang w:val="en-US" w:eastAsia="zh-CN"/>
                    </w:rPr>
                    <w:t>北侧厂界执行</w:t>
                  </w:r>
                  <w:r>
                    <w:rPr>
                      <w:color w:val="auto"/>
                      <w:highlight w:val="none"/>
                    </w:rPr>
                    <w:t>《工业企业厂界环境噪声排放标准》(GB12348-2008)</w:t>
                  </w:r>
                  <w:r>
                    <w:rPr>
                      <w:rFonts w:hint="eastAsia"/>
                      <w:color w:val="auto"/>
                      <w:highlight w:val="none"/>
                      <w:lang w:val="en-US" w:eastAsia="zh-CN"/>
                    </w:rPr>
                    <w:t>执行4a类，其他厂界执行2类</w:t>
                  </w:r>
                </w:p>
              </w:tc>
              <w:tc>
                <w:tcPr>
                  <w:tcW w:w="169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每季度一次，每次2d</w:t>
                  </w:r>
                </w:p>
              </w:tc>
            </w:tr>
          </w:tbl>
          <w:p>
            <w:pPr>
              <w:pStyle w:val="96"/>
              <w:keepNext w:val="0"/>
              <w:keepLines w:val="0"/>
              <w:pageBreakBefore w:val="0"/>
              <w:widowControl w:val="0"/>
              <w:kinsoku/>
              <w:wordWrap/>
              <w:overflowPunct/>
              <w:topLinePunct w:val="0"/>
              <w:autoSpaceDE/>
              <w:autoSpaceDN/>
              <w:bidi w:val="0"/>
              <w:adjustRightInd/>
              <w:snapToGrid/>
              <w:spacing w:before="251" w:beforeLines="80"/>
              <w:textAlignment w:val="auto"/>
              <w:rPr>
                <w:color w:val="auto"/>
                <w:highlight w:val="none"/>
              </w:rPr>
            </w:pPr>
            <w:r>
              <w:rPr>
                <w:color w:val="auto"/>
                <w:highlight w:val="none"/>
              </w:rPr>
              <w:t>4、固体废物</w:t>
            </w:r>
          </w:p>
          <w:p>
            <w:pPr>
              <w:pStyle w:val="96"/>
              <w:rPr>
                <w:color w:val="auto"/>
                <w:highlight w:val="none"/>
              </w:rPr>
            </w:pPr>
            <w:r>
              <w:rPr>
                <w:color w:val="auto"/>
                <w:highlight w:val="none"/>
              </w:rPr>
              <w:t>4.1污染源强</w:t>
            </w:r>
          </w:p>
          <w:p>
            <w:pPr>
              <w:pStyle w:val="98"/>
              <w:ind w:firstLine="480"/>
              <w:rPr>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color w:val="auto"/>
                <w:highlight w:val="none"/>
              </w:rPr>
              <w:t>一般工业固废</w:t>
            </w:r>
          </w:p>
          <w:p>
            <w:pPr>
              <w:pStyle w:val="98"/>
              <w:ind w:firstLine="480"/>
              <w:rPr>
                <w:color w:val="auto"/>
                <w:highlight w:val="none"/>
              </w:rPr>
            </w:pPr>
            <w:r>
              <w:rPr>
                <w:rFonts w:hint="eastAsia"/>
                <w:color w:val="auto"/>
                <w:highlight w:val="none"/>
                <w:lang w:val="en-US" w:eastAsia="zh-CN"/>
              </w:rPr>
              <w:t>本工程一般工业固废有</w:t>
            </w:r>
            <w:r>
              <w:rPr>
                <w:color w:val="auto"/>
                <w:highlight w:val="none"/>
              </w:rPr>
              <w:t>污水罐沉淀污泥</w:t>
            </w:r>
            <w:r>
              <w:rPr>
                <w:rFonts w:hint="eastAsia"/>
                <w:color w:val="auto"/>
                <w:highlight w:val="none"/>
                <w:lang w:val="en-US" w:eastAsia="zh-CN"/>
              </w:rPr>
              <w:t>，</w:t>
            </w:r>
            <w:r>
              <w:rPr>
                <w:color w:val="auto"/>
                <w:highlight w:val="none"/>
              </w:rPr>
              <w:t>生产废水处理系统中的</w:t>
            </w:r>
            <w:r>
              <w:rPr>
                <w:rFonts w:hint="eastAsia"/>
                <w:color w:val="auto"/>
                <w:highlight w:val="none"/>
                <w:lang w:val="en-US" w:eastAsia="zh-CN"/>
              </w:rPr>
              <w:t>干</w:t>
            </w:r>
            <w:r>
              <w:rPr>
                <w:color w:val="auto"/>
                <w:highlight w:val="none"/>
              </w:rPr>
              <w:t>污泥产生量约为</w:t>
            </w:r>
            <w:r>
              <w:rPr>
                <w:rFonts w:hint="eastAsia" w:ascii="Times New Roman" w:hAnsi="Times New Roman" w:eastAsia="宋体" w:cs="宋体"/>
                <w:b w:val="0"/>
                <w:color w:val="auto"/>
                <w:kern w:val="0"/>
                <w:sz w:val="24"/>
                <w:szCs w:val="24"/>
                <w:highlight w:val="none"/>
                <w:lang w:val="en-US" w:eastAsia="zh-CN" w:bidi="ar-SA"/>
              </w:rPr>
              <w:t>23985.267t/a，携带水分1.6万t/a，则污泥总量39985.267t/a</w:t>
            </w:r>
            <w:r>
              <w:rPr>
                <w:color w:val="auto"/>
                <w:highlight w:val="none"/>
              </w:rPr>
              <w:t>。</w:t>
            </w:r>
          </w:p>
          <w:p>
            <w:pPr>
              <w:pStyle w:val="98"/>
              <w:numPr>
                <w:ilvl w:val="0"/>
                <w:numId w:val="0"/>
              </w:numPr>
              <w:ind w:firstLine="480" w:firstLineChars="200"/>
              <w:rPr>
                <w:bCs/>
                <w:color w:val="auto"/>
                <w:highlight w:val="none"/>
              </w:rPr>
            </w:pPr>
            <w:r>
              <w:rPr>
                <w:rFonts w:hint="eastAsia"/>
                <w:bCs/>
                <w:color w:val="auto"/>
                <w:highlight w:val="none"/>
                <w:lang w:eastAsia="zh-CN"/>
              </w:rPr>
              <w:t>（</w:t>
            </w:r>
            <w:r>
              <w:rPr>
                <w:rFonts w:hint="eastAsia"/>
                <w:bCs/>
                <w:color w:val="auto"/>
                <w:highlight w:val="none"/>
                <w:lang w:val="en-US" w:eastAsia="zh-CN"/>
              </w:rPr>
              <w:t>2</w:t>
            </w:r>
            <w:r>
              <w:rPr>
                <w:rFonts w:hint="eastAsia"/>
                <w:bCs/>
                <w:color w:val="auto"/>
                <w:highlight w:val="none"/>
                <w:lang w:eastAsia="zh-CN"/>
              </w:rPr>
              <w:t>）</w:t>
            </w:r>
            <w:r>
              <w:rPr>
                <w:bCs/>
                <w:color w:val="auto"/>
                <w:highlight w:val="none"/>
              </w:rPr>
              <w:t>生活垃圾</w:t>
            </w:r>
          </w:p>
          <w:p>
            <w:pPr>
              <w:pStyle w:val="98"/>
              <w:numPr>
                <w:ilvl w:val="0"/>
                <w:numId w:val="0"/>
              </w:numPr>
              <w:ind w:firstLine="480" w:firstLineChars="200"/>
              <w:rPr>
                <w:color w:val="auto"/>
                <w:highlight w:val="none"/>
              </w:rPr>
            </w:pPr>
            <w:r>
              <w:rPr>
                <w:color w:val="auto"/>
                <w:highlight w:val="none"/>
              </w:rPr>
              <w:t>本项目职工人数为</w:t>
            </w:r>
            <w:r>
              <w:rPr>
                <w:rFonts w:hint="eastAsia"/>
                <w:color w:val="auto"/>
                <w:highlight w:val="none"/>
                <w:lang w:val="en-US" w:eastAsia="zh-CN"/>
              </w:rPr>
              <w:t>10</w:t>
            </w:r>
            <w:r>
              <w:rPr>
                <w:color w:val="auto"/>
                <w:highlight w:val="none"/>
              </w:rPr>
              <w:t>人，不住厂职工人均垃圾产生量为0.5kg/d，故生活垃圾产生量约为</w:t>
            </w:r>
            <w:r>
              <w:rPr>
                <w:rFonts w:hint="eastAsia"/>
                <w:color w:val="auto"/>
                <w:highlight w:val="none"/>
                <w:lang w:val="en-US" w:eastAsia="zh-CN"/>
              </w:rPr>
              <w:t>1.65</w:t>
            </w:r>
            <w:r>
              <w:rPr>
                <w:color w:val="auto"/>
                <w:highlight w:val="none"/>
              </w:rPr>
              <w:t>t/a。生活垃圾由环卫部门统一收集后运往垃圾填埋场集中处置。</w:t>
            </w:r>
          </w:p>
          <w:p>
            <w:pPr>
              <w:pStyle w:val="82"/>
              <w:bidi w:val="0"/>
              <w:rPr>
                <w:rFonts w:hint="default" w:cs="Times New Roman"/>
                <w:color w:val="auto"/>
                <w:highlight w:val="none"/>
                <w:lang w:val="en-US" w:eastAsia="zh-CN"/>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rFonts w:hint="eastAsia" w:cs="Times New Roman"/>
                <w:color w:val="auto"/>
                <w:highlight w:val="none"/>
                <w:lang w:val="en-US" w:eastAsia="zh-CN"/>
              </w:rPr>
              <w:t>废机油</w:t>
            </w:r>
          </w:p>
          <w:p>
            <w:pPr>
              <w:pStyle w:val="98"/>
              <w:ind w:firstLine="480"/>
              <w:rPr>
                <w:rFonts w:hint="eastAsia" w:eastAsia="宋体"/>
                <w:color w:val="auto"/>
                <w:highlight w:val="none"/>
                <w:lang w:eastAsia="zh-CN"/>
              </w:rPr>
            </w:pPr>
            <w:r>
              <w:rPr>
                <w:rFonts w:hint="eastAsia" w:hAnsi="宋体"/>
                <w:color w:val="auto"/>
                <w:highlight w:val="none"/>
              </w:rPr>
              <w:t>根据建设单位提供设备维护参数，机油更换量约0.02t/月，则废机油产生量0.</w:t>
            </w:r>
            <w:r>
              <w:rPr>
                <w:rFonts w:hint="eastAsia" w:hAnsi="宋体"/>
                <w:color w:val="auto"/>
                <w:highlight w:val="none"/>
                <w:lang w:val="en-US" w:eastAsia="zh-CN"/>
              </w:rPr>
              <w:t>24</w:t>
            </w:r>
            <w:r>
              <w:rPr>
                <w:rFonts w:hint="eastAsia" w:hAnsi="宋体"/>
                <w:color w:val="auto"/>
                <w:highlight w:val="none"/>
              </w:rPr>
              <w:t>t/a</w:t>
            </w:r>
            <w:r>
              <w:rPr>
                <w:rFonts w:hint="eastAsia" w:hAnsi="宋体"/>
                <w:color w:val="auto"/>
                <w:highlight w:val="none"/>
                <w:lang w:eastAsia="zh-CN"/>
              </w:rPr>
              <w:t>。</w:t>
            </w:r>
            <w:r>
              <w:rPr>
                <w:rFonts w:cs="Times New Roman"/>
                <w:color w:val="auto"/>
                <w:highlight w:val="none"/>
              </w:rPr>
              <w:t>根据《国家危险废物名录》（2021年版）（2021年1月1日起施行）</w:t>
            </w:r>
            <w:r>
              <w:rPr>
                <w:rFonts w:hint="eastAsia" w:cs="Times New Roman"/>
                <w:color w:val="auto"/>
                <w:highlight w:val="none"/>
              </w:rPr>
              <w:t>，废机油</w:t>
            </w:r>
            <w:r>
              <w:rPr>
                <w:rFonts w:hAnsi="宋体"/>
                <w:color w:val="auto"/>
                <w:highlight w:val="none"/>
              </w:rPr>
              <w:t>属于危险废物</w:t>
            </w:r>
            <w:r>
              <w:rPr>
                <w:rFonts w:hint="eastAsia" w:hAnsi="宋体"/>
                <w:color w:val="auto"/>
                <w:highlight w:val="none"/>
              </w:rPr>
              <w:t>（</w:t>
            </w:r>
            <w:r>
              <w:rPr>
                <w:rFonts w:hAnsi="宋体"/>
                <w:color w:val="auto"/>
                <w:highlight w:val="none"/>
              </w:rPr>
              <w:t>废物</w:t>
            </w:r>
            <w:r>
              <w:rPr>
                <w:rFonts w:hint="eastAsia" w:hAnsi="宋体"/>
                <w:color w:val="auto"/>
                <w:highlight w:val="none"/>
              </w:rPr>
              <w:t>代码：</w:t>
            </w:r>
            <w:r>
              <w:rPr>
                <w:color w:val="auto"/>
                <w:highlight w:val="none"/>
              </w:rPr>
              <w:t>HW</w:t>
            </w:r>
            <w:r>
              <w:rPr>
                <w:rFonts w:hint="eastAsia"/>
                <w:color w:val="auto"/>
                <w:highlight w:val="none"/>
              </w:rPr>
              <w:t xml:space="preserve">08 </w:t>
            </w:r>
            <w:r>
              <w:rPr>
                <w:rFonts w:hint="eastAsia" w:hAnsi="宋体"/>
                <w:color w:val="auto"/>
                <w:highlight w:val="none"/>
              </w:rPr>
              <w:t xml:space="preserve">废矿物油与含油废物 </w:t>
            </w:r>
            <w:r>
              <w:rPr>
                <w:color w:val="auto"/>
                <w:highlight w:val="none"/>
              </w:rPr>
              <w:t>900-</w:t>
            </w:r>
            <w:r>
              <w:rPr>
                <w:rFonts w:hint="eastAsia"/>
                <w:color w:val="auto"/>
                <w:highlight w:val="none"/>
              </w:rPr>
              <w:t>214-08</w:t>
            </w:r>
            <w:r>
              <w:rPr>
                <w:rFonts w:hint="eastAsia" w:hAnsi="宋体"/>
                <w:color w:val="auto"/>
                <w:highlight w:val="none"/>
              </w:rPr>
              <w:t>）</w:t>
            </w:r>
            <w:r>
              <w:rPr>
                <w:rFonts w:hint="eastAsia" w:hAnsi="宋体"/>
                <w:color w:val="auto"/>
                <w:highlight w:val="none"/>
                <w:lang w:eastAsia="zh-CN"/>
              </w:rPr>
              <w:t>。</w:t>
            </w:r>
          </w:p>
          <w:p>
            <w:pPr>
              <w:pStyle w:val="57"/>
              <w:rPr>
                <w:color w:val="auto"/>
                <w:highlight w:val="none"/>
              </w:rPr>
            </w:pPr>
            <w:r>
              <w:rPr>
                <w:color w:val="auto"/>
                <w:highlight w:val="none"/>
              </w:rPr>
              <w:t>项目固体废物产生情况一览表</w:t>
            </w:r>
          </w:p>
          <w:tbl>
            <w:tblPr>
              <w:tblStyle w:val="2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03"/>
              <w:gridCol w:w="610"/>
              <w:gridCol w:w="866"/>
              <w:gridCol w:w="472"/>
              <w:gridCol w:w="472"/>
              <w:gridCol w:w="1196"/>
              <w:gridCol w:w="1109"/>
              <w:gridCol w:w="601"/>
              <w:gridCol w:w="610"/>
              <w:gridCol w:w="7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类别</w:t>
                  </w:r>
                </w:p>
              </w:tc>
              <w:tc>
                <w:tcPr>
                  <w:tcW w:w="100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产生环节</w:t>
                  </w:r>
                </w:p>
              </w:tc>
              <w:tc>
                <w:tcPr>
                  <w:tcW w:w="6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固废名称</w:t>
                  </w:r>
                </w:p>
              </w:tc>
              <w:tc>
                <w:tcPr>
                  <w:tcW w:w="86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主要物质成分</w:t>
                  </w:r>
                </w:p>
              </w:tc>
              <w:tc>
                <w:tcPr>
                  <w:tcW w:w="47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形态</w:t>
                  </w:r>
                </w:p>
              </w:tc>
              <w:tc>
                <w:tcPr>
                  <w:tcW w:w="47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废物</w:t>
                  </w:r>
                </w:p>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类别</w:t>
                  </w:r>
                </w:p>
              </w:tc>
              <w:tc>
                <w:tcPr>
                  <w:tcW w:w="119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废物代码</w:t>
                  </w:r>
                </w:p>
              </w:tc>
              <w:tc>
                <w:tcPr>
                  <w:tcW w:w="1109"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产生量t/a</w:t>
                  </w:r>
                </w:p>
              </w:tc>
              <w:tc>
                <w:tcPr>
                  <w:tcW w:w="6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危险特性</w:t>
                  </w:r>
                </w:p>
              </w:tc>
              <w:tc>
                <w:tcPr>
                  <w:tcW w:w="6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储存方式</w:t>
                  </w:r>
                </w:p>
              </w:tc>
              <w:tc>
                <w:tcPr>
                  <w:tcW w:w="79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处置方式/去向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3"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一般</w:t>
                  </w:r>
                </w:p>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固废</w:t>
                  </w:r>
                </w:p>
              </w:tc>
              <w:tc>
                <w:tcPr>
                  <w:tcW w:w="100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破碎工序、堆场、运输</w:t>
                  </w:r>
                </w:p>
              </w:tc>
              <w:tc>
                <w:tcPr>
                  <w:tcW w:w="6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收集的粉尘</w:t>
                  </w:r>
                </w:p>
              </w:tc>
              <w:tc>
                <w:tcPr>
                  <w:tcW w:w="86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石料粉尘</w:t>
                  </w:r>
                </w:p>
              </w:tc>
              <w:tc>
                <w:tcPr>
                  <w:tcW w:w="47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固态</w:t>
                  </w:r>
                </w:p>
              </w:tc>
              <w:tc>
                <w:tcPr>
                  <w:tcW w:w="47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w:t>
                  </w:r>
                </w:p>
              </w:tc>
              <w:tc>
                <w:tcPr>
                  <w:tcW w:w="119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hint="eastAsia"/>
                      <w:color w:val="auto"/>
                      <w:highlight w:val="none"/>
                      <w:lang w:val="en-US" w:eastAsia="zh-CN"/>
                    </w:rPr>
                    <w:t>900-999-66</w:t>
                  </w:r>
                </w:p>
              </w:tc>
              <w:tc>
                <w:tcPr>
                  <w:tcW w:w="1109"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r>
                    <w:rPr>
                      <w:rFonts w:hint="eastAsia"/>
                      <w:color w:val="auto"/>
                      <w:kern w:val="0"/>
                      <w:highlight w:val="none"/>
                      <w:lang w:val="en-US" w:eastAsia="zh-CN"/>
                    </w:rPr>
                    <w:t>11.761</w:t>
                  </w:r>
                </w:p>
              </w:tc>
              <w:tc>
                <w:tcPr>
                  <w:tcW w:w="6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w:t>
                  </w:r>
                </w:p>
              </w:tc>
              <w:tc>
                <w:tcPr>
                  <w:tcW w:w="6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筒仓</w:t>
                  </w:r>
                </w:p>
              </w:tc>
              <w:tc>
                <w:tcPr>
                  <w:tcW w:w="79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63"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p>
              </w:tc>
              <w:tc>
                <w:tcPr>
                  <w:tcW w:w="100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污水罐</w:t>
                  </w:r>
                </w:p>
              </w:tc>
              <w:tc>
                <w:tcPr>
                  <w:tcW w:w="6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沉淀污泥</w:t>
                  </w:r>
                </w:p>
              </w:tc>
              <w:tc>
                <w:tcPr>
                  <w:tcW w:w="86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沉淀物</w:t>
                  </w:r>
                </w:p>
              </w:tc>
              <w:tc>
                <w:tcPr>
                  <w:tcW w:w="47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固态</w:t>
                  </w:r>
                </w:p>
              </w:tc>
              <w:tc>
                <w:tcPr>
                  <w:tcW w:w="47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w:t>
                  </w:r>
                </w:p>
              </w:tc>
              <w:tc>
                <w:tcPr>
                  <w:tcW w:w="119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r>
                    <w:rPr>
                      <w:rFonts w:hint="eastAsia"/>
                      <w:color w:val="auto"/>
                      <w:highlight w:val="none"/>
                      <w:lang w:val="en-US" w:eastAsia="zh-CN"/>
                    </w:rPr>
                    <w:t>900-999-61</w:t>
                  </w:r>
                </w:p>
              </w:tc>
              <w:tc>
                <w:tcPr>
                  <w:tcW w:w="1109"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r>
                    <w:rPr>
                      <w:rFonts w:hint="eastAsia" w:ascii="Times New Roman" w:hAnsi="Times New Roman" w:eastAsia="宋体" w:cs="Times New Roman"/>
                      <w:color w:val="auto"/>
                      <w:kern w:val="0"/>
                      <w:highlight w:val="none"/>
                      <w:lang w:val="en-US" w:eastAsia="zh-CN"/>
                    </w:rPr>
                    <w:t>39985.267</w:t>
                  </w:r>
                </w:p>
              </w:tc>
              <w:tc>
                <w:tcPr>
                  <w:tcW w:w="6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w:t>
                  </w:r>
                </w:p>
              </w:tc>
              <w:tc>
                <w:tcPr>
                  <w:tcW w:w="6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压滤机房内</w:t>
                  </w:r>
                </w:p>
              </w:tc>
              <w:tc>
                <w:tcPr>
                  <w:tcW w:w="79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w:t>
                  </w:r>
                </w:p>
              </w:tc>
              <w:tc>
                <w:tcPr>
                  <w:tcW w:w="100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生产车间生活活动</w:t>
                  </w:r>
                </w:p>
              </w:tc>
              <w:tc>
                <w:tcPr>
                  <w:tcW w:w="6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生活垃圾</w:t>
                  </w:r>
                </w:p>
              </w:tc>
              <w:tc>
                <w:tcPr>
                  <w:tcW w:w="86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塑料袋、果皮等</w:t>
                  </w:r>
                </w:p>
              </w:tc>
              <w:tc>
                <w:tcPr>
                  <w:tcW w:w="47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固态</w:t>
                  </w:r>
                </w:p>
              </w:tc>
              <w:tc>
                <w:tcPr>
                  <w:tcW w:w="47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w:t>
                  </w:r>
                </w:p>
              </w:tc>
              <w:tc>
                <w:tcPr>
                  <w:tcW w:w="119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w:t>
                  </w:r>
                </w:p>
              </w:tc>
              <w:tc>
                <w:tcPr>
                  <w:tcW w:w="1109"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r>
                    <w:rPr>
                      <w:rFonts w:hint="eastAsia"/>
                      <w:color w:val="auto"/>
                      <w:highlight w:val="none"/>
                      <w:lang w:val="en-US" w:eastAsia="zh-CN"/>
                    </w:rPr>
                    <w:t>1.65</w:t>
                  </w:r>
                </w:p>
              </w:tc>
              <w:tc>
                <w:tcPr>
                  <w:tcW w:w="6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w:t>
                  </w:r>
                </w:p>
              </w:tc>
              <w:tc>
                <w:tcPr>
                  <w:tcW w:w="6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袋装</w:t>
                  </w:r>
                </w:p>
              </w:tc>
              <w:tc>
                <w:tcPr>
                  <w:tcW w:w="79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highlight w:val="none"/>
                    </w:rPr>
                    <w:t>环卫部门清运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hint="eastAsia" w:hAnsi="宋体"/>
                      <w:bCs/>
                      <w:color w:val="auto"/>
                      <w:szCs w:val="21"/>
                      <w:highlight w:val="none"/>
                    </w:rPr>
                    <w:t>危险废物</w:t>
                  </w:r>
                </w:p>
              </w:tc>
              <w:tc>
                <w:tcPr>
                  <w:tcW w:w="1003"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r>
                    <w:rPr>
                      <w:rFonts w:hint="eastAsia" w:eastAsia="宋体"/>
                      <w:color w:val="auto"/>
                      <w:highlight w:val="none"/>
                      <w:lang w:val="en-US" w:eastAsia="zh-CN"/>
                    </w:rPr>
                    <w:t>设备维护</w:t>
                  </w:r>
                </w:p>
              </w:tc>
              <w:tc>
                <w:tcPr>
                  <w:tcW w:w="610"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hint="eastAsia" w:hAnsi="宋体"/>
                      <w:bCs/>
                      <w:color w:val="auto"/>
                      <w:szCs w:val="21"/>
                      <w:highlight w:val="none"/>
                    </w:rPr>
                    <w:t>废机油</w:t>
                  </w:r>
                </w:p>
              </w:tc>
              <w:tc>
                <w:tcPr>
                  <w:tcW w:w="86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eastAsia="宋体"/>
                      <w:color w:val="auto"/>
                      <w:highlight w:val="none"/>
                      <w:lang w:val="en-US" w:eastAsia="zh-CN"/>
                    </w:rPr>
                  </w:pPr>
                  <w:r>
                    <w:rPr>
                      <w:rFonts w:hint="eastAsia"/>
                      <w:color w:val="auto"/>
                      <w:highlight w:val="none"/>
                      <w:lang w:val="en-US" w:eastAsia="zh-CN"/>
                    </w:rPr>
                    <w:t>/</w:t>
                  </w:r>
                </w:p>
              </w:tc>
              <w:tc>
                <w:tcPr>
                  <w:tcW w:w="47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hAnsi="宋体"/>
                      <w:color w:val="auto"/>
                      <w:szCs w:val="21"/>
                      <w:highlight w:val="none"/>
                    </w:rPr>
                    <w:t>固体</w:t>
                  </w:r>
                </w:p>
              </w:tc>
              <w:tc>
                <w:tcPr>
                  <w:tcW w:w="472"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eastAsia="宋体"/>
                      <w:color w:val="auto"/>
                      <w:highlight w:val="none"/>
                      <w:lang w:val="en-US" w:eastAsia="zh-CN"/>
                    </w:rPr>
                  </w:pPr>
                  <w:r>
                    <w:rPr>
                      <w:rFonts w:hint="eastAsia"/>
                      <w:color w:val="auto"/>
                      <w:highlight w:val="none"/>
                      <w:lang w:val="en-US" w:eastAsia="zh-CN"/>
                    </w:rPr>
                    <w:t>/</w:t>
                  </w:r>
                </w:p>
              </w:tc>
              <w:tc>
                <w:tcPr>
                  <w:tcW w:w="1196"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rFonts w:hint="eastAsia"/>
                      <w:color w:val="auto"/>
                      <w:sz w:val="21"/>
                      <w:szCs w:val="20"/>
                      <w:highlight w:val="none"/>
                    </w:rPr>
                    <w:t>900-214-08</w:t>
                  </w:r>
                </w:p>
              </w:tc>
              <w:tc>
                <w:tcPr>
                  <w:tcW w:w="1109"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default" w:eastAsia="宋体"/>
                      <w:color w:val="auto"/>
                      <w:highlight w:val="none"/>
                      <w:lang w:val="en-US" w:eastAsia="zh-CN"/>
                    </w:rPr>
                  </w:pPr>
                  <w:r>
                    <w:rPr>
                      <w:rFonts w:hint="eastAsia" w:hAnsi="宋体"/>
                      <w:color w:val="auto"/>
                      <w:highlight w:val="none"/>
                    </w:rPr>
                    <w:t>0.</w:t>
                  </w:r>
                  <w:r>
                    <w:rPr>
                      <w:rFonts w:hint="eastAsia" w:hAnsi="宋体"/>
                      <w:color w:val="auto"/>
                      <w:highlight w:val="none"/>
                      <w:lang w:val="en-US" w:eastAsia="zh-CN"/>
                    </w:rPr>
                    <w:t>24</w:t>
                  </w:r>
                </w:p>
              </w:tc>
              <w:tc>
                <w:tcPr>
                  <w:tcW w:w="601" w:type="dxa"/>
                  <w:noWrap w:val="0"/>
                  <w:vAlign w:val="center"/>
                </w:tcPr>
                <w:p>
                  <w:pPr>
                    <w:pStyle w:val="63"/>
                    <w:keepNext w:val="0"/>
                    <w:keepLines w:val="0"/>
                    <w:pageBreakBefore w:val="0"/>
                    <w:widowControl w:val="0"/>
                    <w:kinsoku/>
                    <w:wordWrap/>
                    <w:overflowPunct/>
                    <w:topLinePunct w:val="0"/>
                    <w:autoSpaceDE/>
                    <w:autoSpaceDN/>
                    <w:bidi w:val="0"/>
                    <w:adjustRightInd/>
                    <w:snapToGrid/>
                    <w:ind w:left="0" w:firstLine="0" w:firstLineChars="0"/>
                    <w:textAlignment w:val="auto"/>
                    <w:rPr>
                      <w:color w:val="auto"/>
                      <w:highlight w:val="none"/>
                    </w:rPr>
                  </w:pPr>
                  <w:r>
                    <w:rPr>
                      <w:color w:val="auto"/>
                      <w:szCs w:val="21"/>
                      <w:highlight w:val="none"/>
                    </w:rPr>
                    <w:t>T/I</w:t>
                  </w:r>
                </w:p>
              </w:tc>
              <w:tc>
                <w:tcPr>
                  <w:tcW w:w="610" w:type="dxa"/>
                  <w:noWrap w:val="0"/>
                  <w:vAlign w:val="center"/>
                </w:tcPr>
                <w:p>
                  <w:pPr>
                    <w:jc w:val="center"/>
                    <w:rPr>
                      <w:color w:val="auto"/>
                      <w:kern w:val="2"/>
                      <w:sz w:val="21"/>
                      <w:szCs w:val="21"/>
                      <w:highlight w:val="none"/>
                      <w:lang w:val="en-US" w:eastAsia="zh-CN" w:bidi="ar-SA"/>
                    </w:rPr>
                  </w:pPr>
                  <w:r>
                    <w:rPr>
                      <w:rFonts w:hint="eastAsia" w:hAnsi="宋体"/>
                      <w:color w:val="auto"/>
                      <w:szCs w:val="21"/>
                      <w:highlight w:val="none"/>
                    </w:rPr>
                    <w:t>桶装收</w:t>
                  </w:r>
                  <w:r>
                    <w:rPr>
                      <w:rFonts w:hAnsi="宋体"/>
                      <w:color w:val="auto"/>
                      <w:szCs w:val="21"/>
                      <w:highlight w:val="none"/>
                    </w:rPr>
                    <w:t>集</w:t>
                  </w:r>
                </w:p>
              </w:tc>
              <w:tc>
                <w:tcPr>
                  <w:tcW w:w="793" w:type="dxa"/>
                  <w:noWrap w:val="0"/>
                  <w:vAlign w:val="center"/>
                </w:tcPr>
                <w:p>
                  <w:pPr>
                    <w:jc w:val="center"/>
                    <w:rPr>
                      <w:color w:val="auto"/>
                      <w:kern w:val="2"/>
                      <w:sz w:val="21"/>
                      <w:szCs w:val="24"/>
                      <w:highlight w:val="none"/>
                      <w:lang w:val="en-US" w:eastAsia="zh-CN" w:bidi="ar-SA"/>
                    </w:rPr>
                  </w:pPr>
                  <w:r>
                    <w:rPr>
                      <w:rFonts w:hint="eastAsia" w:hAnsi="宋体"/>
                      <w:color w:val="auto"/>
                      <w:highlight w:val="none"/>
                    </w:rPr>
                    <w:t>委托有资质单位处置</w:t>
                  </w:r>
                </w:p>
              </w:tc>
            </w:tr>
          </w:tbl>
          <w:p>
            <w:pPr>
              <w:pStyle w:val="96"/>
              <w:keepNext w:val="0"/>
              <w:keepLines w:val="0"/>
              <w:pageBreakBefore w:val="0"/>
              <w:widowControl w:val="0"/>
              <w:kinsoku/>
              <w:wordWrap/>
              <w:overflowPunct/>
              <w:topLinePunct w:val="0"/>
              <w:autoSpaceDE/>
              <w:autoSpaceDN/>
              <w:bidi w:val="0"/>
              <w:adjustRightInd/>
              <w:snapToGrid/>
              <w:spacing w:before="251" w:beforeLines="80"/>
              <w:textAlignment w:val="auto"/>
              <w:rPr>
                <w:color w:val="auto"/>
                <w:highlight w:val="none"/>
              </w:rPr>
            </w:pPr>
            <w:r>
              <w:rPr>
                <w:color w:val="auto"/>
                <w:highlight w:val="none"/>
              </w:rPr>
              <w:t>4.2管理要求</w:t>
            </w:r>
          </w:p>
          <w:p>
            <w:pPr>
              <w:pStyle w:val="98"/>
              <w:ind w:firstLine="480"/>
              <w:rPr>
                <w:color w:val="auto"/>
                <w:highlight w:val="none"/>
              </w:rPr>
            </w:pPr>
            <w:r>
              <w:rPr>
                <w:color w:val="auto"/>
                <w:highlight w:val="none"/>
              </w:rPr>
              <w:t>固体废物的收集方式强调采用分类收集，即各种垃圾按不同性质，分别收集处置。</w:t>
            </w:r>
          </w:p>
          <w:p>
            <w:pPr>
              <w:pStyle w:val="98"/>
              <w:ind w:firstLine="480"/>
              <w:rPr>
                <w:color w:val="auto"/>
                <w:highlight w:val="none"/>
              </w:rPr>
            </w:pPr>
            <w:r>
              <w:rPr>
                <w:rFonts w:hint="eastAsia" w:cs="Times New Roman"/>
                <w:color w:val="auto"/>
                <w:highlight w:val="none"/>
                <w:lang w:val="en-US" w:eastAsia="zh-CN"/>
              </w:rPr>
              <w:t>（1）</w:t>
            </w:r>
            <w:r>
              <w:rPr>
                <w:color w:val="auto"/>
                <w:highlight w:val="none"/>
              </w:rPr>
              <w:t>生活垃圾处置</w:t>
            </w:r>
          </w:p>
          <w:p>
            <w:pPr>
              <w:pStyle w:val="98"/>
              <w:ind w:firstLine="480"/>
              <w:rPr>
                <w:color w:val="auto"/>
                <w:highlight w:val="none"/>
              </w:rPr>
            </w:pPr>
            <w:r>
              <w:rPr>
                <w:color w:val="auto"/>
                <w:highlight w:val="none"/>
              </w:rPr>
              <w:t>生活垃圾极易腐败发臭，必须定点收集，及时清运或处理。可在厂内生产区和办公生活区设置一些垃圾收集桶。厂区应配备专职的清洁人员和必要的工具，负责清扫厂区，维持清洁卫生，生活垃圾收集后委托环卫部门处理。</w:t>
            </w:r>
          </w:p>
          <w:p>
            <w:pPr>
              <w:pStyle w:val="98"/>
              <w:ind w:firstLine="480"/>
              <w:rPr>
                <w:color w:val="auto"/>
                <w:highlight w:val="none"/>
              </w:rPr>
            </w:pPr>
            <w:r>
              <w:rPr>
                <w:rFonts w:hint="eastAsia" w:cs="Times New Roman"/>
                <w:color w:val="auto"/>
                <w:highlight w:val="none"/>
                <w:lang w:val="en-US" w:eastAsia="zh-CN"/>
              </w:rPr>
              <w:t>（2）</w:t>
            </w:r>
            <w:r>
              <w:rPr>
                <w:color w:val="auto"/>
                <w:highlight w:val="none"/>
              </w:rPr>
              <w:t>一般工业固体废物</w:t>
            </w:r>
          </w:p>
          <w:p>
            <w:pPr>
              <w:pStyle w:val="98"/>
              <w:ind w:firstLine="480"/>
              <w:rPr>
                <w:color w:val="auto"/>
                <w:highlight w:val="none"/>
              </w:rPr>
            </w:pPr>
            <w:r>
              <w:rPr>
                <w:color w:val="auto"/>
                <w:highlight w:val="none"/>
              </w:rPr>
              <w:t>本项目除尘器收集的粉及污水罐沉淀污泥收集后外卖综合利用，正常运营工况下，排放的一般工业固体废物得到了合理处置，避免了对项目场地及附近地表水环境的污染。</w:t>
            </w:r>
          </w:p>
          <w:p>
            <w:pPr>
              <w:pStyle w:val="82"/>
              <w:bidi w:val="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（3）危险废物</w:t>
            </w:r>
          </w:p>
          <w:p>
            <w:pPr>
              <w:pStyle w:val="98"/>
              <w:ind w:firstLine="480"/>
              <w:rPr>
                <w:color w:val="auto"/>
                <w:highlight w:val="none"/>
              </w:rPr>
            </w:pPr>
            <w:r>
              <w:rPr>
                <w:color w:val="auto"/>
                <w:highlight w:val="none"/>
              </w:rPr>
              <w:t>本项目所产生的危险废物产生后放至危废间贮存。</w:t>
            </w:r>
          </w:p>
          <w:p>
            <w:pPr>
              <w:pStyle w:val="98"/>
              <w:ind w:firstLine="480"/>
              <w:rPr>
                <w:color w:val="auto"/>
                <w:highlight w:val="none"/>
              </w:rPr>
            </w:pPr>
            <w:r>
              <w:rPr>
                <w:color w:val="auto"/>
                <w:highlight w:val="none"/>
                <w:lang w:bidi="ar"/>
              </w:rPr>
              <w:t>危废暂存管理需按以下要求进行：</w:t>
            </w:r>
          </w:p>
          <w:p>
            <w:pPr>
              <w:pStyle w:val="98"/>
              <w:ind w:firstLine="480"/>
              <w:rPr>
                <w:color w:val="auto"/>
                <w:highlight w:val="none"/>
              </w:rPr>
            </w:pPr>
            <w:r>
              <w:rPr>
                <w:color w:val="auto"/>
                <w:highlight w:val="none"/>
                <w:lang w:bidi="ar"/>
              </w:rPr>
              <w:t xml:space="preserve">危废间应做好防渗要求，危险废物暂存间内的各类危险废物应分类存放，建设单位应加强危险废物的管理，注意台账的完善，定期对危废暂存间进行检查维修。还应按照GB18597-2001《危险废物贮存污染控制标准》及修改单的要求进行贮存，贮存应符合下列要求： </w:t>
            </w:r>
          </w:p>
          <w:p>
            <w:pPr>
              <w:pStyle w:val="98"/>
              <w:ind w:firstLine="480"/>
              <w:rPr>
                <w:color w:val="auto"/>
                <w:highlight w:val="none"/>
              </w:rPr>
            </w:pPr>
            <w:r>
              <w:rPr>
                <w:rFonts w:hint="eastAsia" w:ascii="宋体" w:hAnsi="宋体" w:cs="宋体"/>
                <w:color w:val="auto"/>
                <w:highlight w:val="none"/>
                <w:lang w:bidi="ar"/>
              </w:rPr>
              <w:t>①</w:t>
            </w:r>
            <w:r>
              <w:rPr>
                <w:color w:val="auto"/>
                <w:highlight w:val="none"/>
                <w:lang w:bidi="ar"/>
              </w:rPr>
              <w:t xml:space="preserve">必须将危险废物装入密闭容器内，并确保完好无损； </w:t>
            </w:r>
          </w:p>
          <w:p>
            <w:pPr>
              <w:pStyle w:val="98"/>
              <w:ind w:firstLine="480"/>
              <w:rPr>
                <w:color w:val="auto"/>
                <w:highlight w:val="none"/>
              </w:rPr>
            </w:pPr>
            <w:r>
              <w:rPr>
                <w:rFonts w:hint="eastAsia" w:ascii="宋体" w:hAnsi="宋体" w:cs="宋体"/>
                <w:color w:val="auto"/>
                <w:highlight w:val="none"/>
                <w:lang w:bidi="ar"/>
              </w:rPr>
              <w:t>②</w:t>
            </w:r>
            <w:r>
              <w:rPr>
                <w:color w:val="auto"/>
                <w:highlight w:val="none"/>
                <w:lang w:bidi="ar"/>
              </w:rPr>
              <w:t xml:space="preserve">装载危险废物的容器及材质要满足相应的强度要求； </w:t>
            </w:r>
          </w:p>
          <w:p>
            <w:pPr>
              <w:pStyle w:val="98"/>
              <w:ind w:firstLine="480"/>
              <w:rPr>
                <w:color w:val="auto"/>
                <w:highlight w:val="none"/>
              </w:rPr>
            </w:pPr>
            <w:r>
              <w:rPr>
                <w:rFonts w:hint="eastAsia" w:ascii="宋体" w:hAnsi="宋体" w:cs="宋体"/>
                <w:color w:val="auto"/>
                <w:highlight w:val="none"/>
                <w:lang w:bidi="ar"/>
              </w:rPr>
              <w:t>③</w:t>
            </w:r>
            <w:r>
              <w:rPr>
                <w:color w:val="auto"/>
                <w:highlight w:val="none"/>
                <w:lang w:bidi="ar"/>
              </w:rPr>
              <w:t xml:space="preserve">应当使用符合标准的容器盛装危险废物； </w:t>
            </w:r>
          </w:p>
          <w:p>
            <w:pPr>
              <w:pStyle w:val="98"/>
              <w:ind w:firstLine="480"/>
              <w:rPr>
                <w:color w:val="auto"/>
                <w:highlight w:val="none"/>
              </w:rPr>
            </w:pPr>
            <w:r>
              <w:rPr>
                <w:rFonts w:hint="eastAsia" w:ascii="宋体" w:hAnsi="宋体" w:cs="宋体"/>
                <w:color w:val="auto"/>
                <w:highlight w:val="none"/>
                <w:lang w:bidi="ar"/>
              </w:rPr>
              <w:t>④</w:t>
            </w:r>
            <w:r>
              <w:rPr>
                <w:color w:val="auto"/>
                <w:highlight w:val="none"/>
                <w:lang w:bidi="ar"/>
              </w:rPr>
              <w:t xml:space="preserve">盛装危险废物的容器材质要与危险废物相容(不相互反应)； </w:t>
            </w:r>
          </w:p>
          <w:p>
            <w:pPr>
              <w:pStyle w:val="98"/>
              <w:ind w:firstLine="480"/>
              <w:rPr>
                <w:color w:val="auto"/>
                <w:highlight w:val="none"/>
              </w:rPr>
            </w:pPr>
            <w:r>
              <w:rPr>
                <w:rFonts w:hint="eastAsia" w:ascii="宋体" w:hAnsi="宋体" w:cs="宋体"/>
                <w:color w:val="auto"/>
                <w:highlight w:val="none"/>
                <w:lang w:bidi="ar"/>
              </w:rPr>
              <w:t>⑤</w:t>
            </w:r>
            <w:r>
              <w:rPr>
                <w:color w:val="auto"/>
                <w:highlight w:val="none"/>
                <w:lang w:bidi="ar"/>
              </w:rPr>
              <w:t xml:space="preserve">盛装危险废物的容器上必须粘贴符合标准的标签。 </w:t>
            </w:r>
          </w:p>
          <w:p>
            <w:pPr>
              <w:pStyle w:val="98"/>
              <w:ind w:firstLine="480"/>
              <w:rPr>
                <w:color w:val="auto"/>
                <w:highlight w:val="none"/>
                <w:lang w:bidi="ar"/>
              </w:rPr>
            </w:pPr>
            <w:r>
              <w:rPr>
                <w:color w:val="auto"/>
                <w:highlight w:val="none"/>
                <w:lang w:bidi="ar"/>
              </w:rPr>
              <w:t>流转管理要求：企业必须对危险固废进行申报登记，制定定期外运制度，并对危险废物的流向和最终处置进行跟踪，确保固废得到有效处置，禁止在转移过程中将危险废物排放至环境中。</w:t>
            </w:r>
          </w:p>
          <w:p>
            <w:pPr>
              <w:pStyle w:val="98"/>
              <w:ind w:firstLine="480"/>
              <w:rPr>
                <w:color w:val="auto"/>
                <w:highlight w:val="none"/>
              </w:rPr>
            </w:pPr>
            <w:r>
              <w:rPr>
                <w:color w:val="auto"/>
                <w:highlight w:val="none"/>
              </w:rPr>
              <w:t>本项目危险废物转移全过程环境管理如下：</w:t>
            </w:r>
          </w:p>
          <w:p>
            <w:pPr>
              <w:pStyle w:val="98"/>
              <w:ind w:firstLine="480"/>
              <w:rPr>
                <w:color w:val="auto"/>
                <w:highlight w:val="none"/>
              </w:rPr>
            </w:pPr>
            <w:r>
              <w:rPr>
                <w:color w:val="auto"/>
                <w:highlight w:val="none"/>
              </w:rPr>
              <w:t>目前，福建省已建立福建省固体废物环境监管平台，危险废物已实行网上电子联单管理，企业运营过程产生的危险废物应按管理平台流程填报，主要流程包括：</w:t>
            </w:r>
          </w:p>
          <w:p>
            <w:pPr>
              <w:pStyle w:val="98"/>
              <w:ind w:firstLine="480"/>
              <w:rPr>
                <w:color w:val="auto"/>
                <w:highlight w:val="none"/>
              </w:rPr>
            </w:pPr>
            <w:r>
              <w:rPr>
                <w:rFonts w:hint="eastAsia" w:ascii="宋体" w:hAnsi="宋体" w:cs="宋体"/>
                <w:color w:val="auto"/>
                <w:highlight w:val="none"/>
              </w:rPr>
              <w:t>①</w:t>
            </w:r>
            <w:r>
              <w:rPr>
                <w:color w:val="auto"/>
                <w:highlight w:val="none"/>
              </w:rPr>
              <w:t>产生单位填写电子联单。转移当天，产生单位登陆省固废平台填报转移信息，即电子联单第一部分内容，确定无误后保存提交，并打印加盖公章，交付危险废物运输单位核实验收并随车携带。</w:t>
            </w:r>
          </w:p>
          <w:p>
            <w:pPr>
              <w:pStyle w:val="98"/>
              <w:ind w:firstLine="480"/>
              <w:rPr>
                <w:color w:val="auto"/>
                <w:highlight w:val="none"/>
              </w:rPr>
            </w:pPr>
            <w:r>
              <w:rPr>
                <w:rFonts w:hint="eastAsia" w:ascii="宋体" w:hAnsi="宋体" w:cs="宋体"/>
                <w:color w:val="auto"/>
                <w:highlight w:val="none"/>
              </w:rPr>
              <w:t>②</w:t>
            </w:r>
            <w:r>
              <w:rPr>
                <w:color w:val="auto"/>
                <w:highlight w:val="none"/>
              </w:rPr>
              <w:t>接收单位填写电子联单并完成审核。危险废物运至接收单位后，运输单位将随车携带的纸质联单交接收单位，接收单位对危险废物核实验收，确认转移信息无误后，当天登录省固废平台填写电子联单第二部分和第三部分内容并确认提交。发现联单第一部分转移信息有误的，退回产生单位修改重新提交确认。</w:t>
            </w:r>
          </w:p>
          <w:p>
            <w:pPr>
              <w:pStyle w:val="98"/>
              <w:ind w:firstLine="480"/>
              <w:rPr>
                <w:color w:val="auto"/>
                <w:highlight w:val="none"/>
              </w:rPr>
            </w:pPr>
            <w:r>
              <w:rPr>
                <w:rFonts w:hint="eastAsia" w:ascii="宋体" w:hAnsi="宋体" w:cs="宋体"/>
                <w:color w:val="auto"/>
                <w:highlight w:val="none"/>
              </w:rPr>
              <w:t>③</w:t>
            </w:r>
            <w:r>
              <w:rPr>
                <w:color w:val="auto"/>
                <w:highlight w:val="none"/>
              </w:rPr>
              <w:t>打印电子联单并盖章存档备查。电子联单确认完毕后，产生单位打印一式5份纸质联单，产生单位和接收单位分别盖章，产生单位、接收单位、运输单位、产生地环保分局和接受地生态环境局各存一份备查。发生转移12天内由产生单位将联单报送所在地环保分局，并附上对应过磅单。</w:t>
            </w:r>
          </w:p>
          <w:p>
            <w:pPr>
              <w:pStyle w:val="98"/>
              <w:ind w:firstLine="480"/>
              <w:rPr>
                <w:color w:val="auto"/>
                <w:highlight w:val="none"/>
              </w:rPr>
            </w:pPr>
            <w:r>
              <w:rPr>
                <w:rFonts w:hint="eastAsia" w:ascii="宋体" w:hAnsi="宋体" w:cs="宋体"/>
                <w:color w:val="auto"/>
                <w:highlight w:val="none"/>
              </w:rPr>
              <w:t>④</w:t>
            </w:r>
            <w:r>
              <w:rPr>
                <w:color w:val="auto"/>
                <w:highlight w:val="none"/>
              </w:rPr>
              <w:t>环保分局核查并汇总上报市局。各环保分局对省固废平台电子联单、企业报送的纸质联单和过磅单进行核对，确认无误后于每月15日前汇总上月的危废转移情况报送市生态环境局(危险废物管理—危险废物转移管理—转移联单管理—联单查询—导出)。</w:t>
            </w:r>
          </w:p>
          <w:p>
            <w:pPr>
              <w:pStyle w:val="98"/>
              <w:ind w:firstLine="480"/>
              <w:rPr>
                <w:color w:val="auto"/>
                <w:highlight w:val="none"/>
              </w:rPr>
            </w:pPr>
            <w:r>
              <w:rPr>
                <w:color w:val="auto"/>
                <w:highlight w:val="none"/>
              </w:rPr>
              <w:t>另外，危险废物处置或利用单位必须具备相应的能力和资质，不允许将危险废物出售给没有加工或使用能力的单位和个人，废物处理之前需要对其生产技术、设备、加工处理能力进行考察，保证不会产生二次污染，废物处理之后还要进行跟踪，以便及时得到反馈信息并处理遗留问题。</w:t>
            </w:r>
          </w:p>
          <w:p>
            <w:pPr>
              <w:pStyle w:val="3"/>
              <w:rPr>
                <w:color w:val="auto"/>
                <w:highlight w:val="none"/>
              </w:rPr>
            </w:pPr>
            <w:r>
              <w:rPr>
                <w:color w:val="auto"/>
                <w:highlight w:val="none"/>
              </w:rPr>
              <w:t>5、地下水、土壤</w:t>
            </w:r>
          </w:p>
          <w:p>
            <w:pPr>
              <w:pStyle w:val="98"/>
              <w:ind w:firstLine="480"/>
              <w:rPr>
                <w:color w:val="auto"/>
                <w:highlight w:val="none"/>
              </w:rPr>
            </w:pPr>
            <w:r>
              <w:rPr>
                <w:color w:val="auto"/>
                <w:highlight w:val="none"/>
              </w:rPr>
              <w:t>(1)地下水</w:t>
            </w:r>
          </w:p>
          <w:p>
            <w:pPr>
              <w:pStyle w:val="98"/>
              <w:ind w:firstLine="480"/>
              <w:rPr>
                <w:color w:val="auto"/>
                <w:highlight w:val="none"/>
              </w:rPr>
            </w:pPr>
            <w:r>
              <w:rPr>
                <w:color w:val="auto"/>
                <w:highlight w:val="none"/>
              </w:rPr>
              <w:t>根据《环境影响评价技术导则 地下水环境》(HJ610-2016)可知，本项目地下水环境影响评价项目类别为Ⅳ类，Ⅳ类建设项目不开展地下水环境影响评价。</w:t>
            </w:r>
          </w:p>
          <w:p>
            <w:pPr>
              <w:pStyle w:val="57"/>
              <w:rPr>
                <w:color w:val="auto"/>
                <w:highlight w:val="none"/>
              </w:rPr>
            </w:pPr>
            <w:r>
              <w:rPr>
                <w:color w:val="auto"/>
                <w:highlight w:val="none"/>
              </w:rPr>
              <w:t>地下水环境影响评价行业分类表</w:t>
            </w:r>
          </w:p>
          <w:tbl>
            <w:tblPr>
              <w:tblStyle w:val="25"/>
              <w:tblW w:w="0" w:type="auto"/>
              <w:jc w:val="center"/>
              <w:tblBorders>
                <w:top w:val="single" w:color="auto" w:sz="18" w:space="0"/>
                <w:left w:val="none" w:color="auto" w:sz="0" w:space="0"/>
                <w:bottom w:val="single" w:color="auto" w:sz="1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939"/>
              <w:gridCol w:w="1393"/>
              <w:gridCol w:w="1654"/>
              <w:gridCol w:w="1654"/>
              <w:gridCol w:w="1655"/>
            </w:tblGrid>
            <w:tr>
              <w:tblPrEx>
                <w:tblBorders>
                  <w:top w:val="single" w:color="auto" w:sz="18" w:space="0"/>
                  <w:left w:val="none" w:color="auto" w:sz="0" w:space="0"/>
                  <w:bottom w:val="single" w:color="auto" w:sz="18" w:space="0"/>
                  <w:right w:val="none" w:color="auto" w:sz="0" w:space="0"/>
                  <w:insideH w:val="single" w:color="auto" w:sz="8" w:space="0"/>
                  <w:insideV w:val="single" w:color="auto" w:sz="8" w:space="0"/>
                </w:tblBorders>
              </w:tblPrEx>
              <w:trPr>
                <w:trHeight w:val="340" w:hRule="atLeast"/>
                <w:jc w:val="center"/>
              </w:trPr>
              <w:tc>
                <w:tcPr>
                  <w:tcW w:w="1939" w:type="dxa"/>
                  <w:vMerge w:val="restart"/>
                  <w:tcBorders>
                    <w:top w:val="single" w:color="auto" w:sz="18" w:space="0"/>
                    <w:bottom w:val="single" w:color="auto" w:sz="4" w:space="0"/>
                    <w:right w:val="single" w:color="auto" w:sz="4" w:space="0"/>
                    <w:tl2br w:val="single" w:color="auto" w:sz="8" w:space="0"/>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 xml:space="preserve">        环评类别</w:t>
                  </w:r>
                </w:p>
                <w:p>
                  <w:pPr>
                    <w:pStyle w:val="52"/>
                    <w:spacing w:line="240" w:lineRule="auto"/>
                    <w:jc w:val="both"/>
                    <w:rPr>
                      <w:b w:val="0"/>
                      <w:bCs/>
                      <w:color w:val="auto"/>
                      <w:sz w:val="21"/>
                      <w:szCs w:val="21"/>
                      <w:highlight w:val="none"/>
                    </w:rPr>
                  </w:pPr>
                  <w:r>
                    <w:rPr>
                      <w:b w:val="0"/>
                      <w:bCs/>
                      <w:color w:val="auto"/>
                      <w:sz w:val="21"/>
                      <w:szCs w:val="21"/>
                      <w:highlight w:val="none"/>
                    </w:rPr>
                    <w:t>行业类别</w:t>
                  </w:r>
                </w:p>
              </w:tc>
              <w:tc>
                <w:tcPr>
                  <w:tcW w:w="1393" w:type="dxa"/>
                  <w:vMerge w:val="restart"/>
                  <w:tcBorders>
                    <w:top w:val="single" w:color="auto" w:sz="18" w:space="0"/>
                    <w:left w:val="single" w:color="auto" w:sz="4" w:space="0"/>
                    <w:bottom w:val="single" w:color="auto" w:sz="4" w:space="0"/>
                    <w:right w:val="single" w:color="auto" w:sz="4" w:space="0"/>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报告书</w:t>
                  </w:r>
                </w:p>
              </w:tc>
              <w:tc>
                <w:tcPr>
                  <w:tcW w:w="1654" w:type="dxa"/>
                  <w:vMerge w:val="restart"/>
                  <w:tcBorders>
                    <w:top w:val="single" w:color="auto" w:sz="18" w:space="0"/>
                    <w:left w:val="single" w:color="auto" w:sz="4" w:space="0"/>
                    <w:bottom w:val="single" w:color="auto" w:sz="4" w:space="0"/>
                    <w:right w:val="single" w:color="auto" w:sz="4" w:space="0"/>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报告表</w:t>
                  </w:r>
                </w:p>
              </w:tc>
              <w:tc>
                <w:tcPr>
                  <w:tcW w:w="3309" w:type="dxa"/>
                  <w:gridSpan w:val="2"/>
                  <w:tcBorders>
                    <w:top w:val="single" w:color="auto" w:sz="18" w:space="0"/>
                    <w:left w:val="single" w:color="auto" w:sz="4" w:space="0"/>
                    <w:bottom w:val="single" w:color="auto" w:sz="4" w:space="0"/>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地下水环境影响评价项目类别</w:t>
                  </w:r>
                </w:p>
              </w:tc>
            </w:tr>
            <w:tr>
              <w:tblPrEx>
                <w:tblBorders>
                  <w:top w:val="single" w:color="auto" w:sz="18" w:space="0"/>
                  <w:left w:val="none" w:color="auto" w:sz="0" w:space="0"/>
                  <w:bottom w:val="single" w:color="auto" w:sz="18" w:space="0"/>
                  <w:right w:val="none" w:color="auto" w:sz="0" w:space="0"/>
                  <w:insideH w:val="single" w:color="auto" w:sz="8" w:space="0"/>
                  <w:insideV w:val="single" w:color="auto" w:sz="8" w:space="0"/>
                </w:tblBorders>
              </w:tblPrEx>
              <w:trPr>
                <w:trHeight w:val="340" w:hRule="atLeast"/>
                <w:jc w:val="center"/>
              </w:trPr>
              <w:tc>
                <w:tcPr>
                  <w:tcW w:w="1939" w:type="dxa"/>
                  <w:vMerge w:val="continue"/>
                  <w:tcBorders>
                    <w:top w:val="single" w:color="auto" w:sz="4" w:space="0"/>
                    <w:bottom w:val="single" w:color="auto" w:sz="4" w:space="0"/>
                    <w:right w:val="single" w:color="auto" w:sz="4" w:space="0"/>
                    <w:tl2br w:val="single" w:color="auto" w:sz="8" w:space="0"/>
                  </w:tcBorders>
                  <w:noWrap w:val="0"/>
                  <w:vAlign w:val="center"/>
                </w:tcPr>
                <w:p>
                  <w:pPr>
                    <w:pStyle w:val="52"/>
                    <w:spacing w:line="240" w:lineRule="auto"/>
                    <w:rPr>
                      <w:b w:val="0"/>
                      <w:bCs/>
                      <w:color w:val="auto"/>
                      <w:sz w:val="21"/>
                      <w:szCs w:val="21"/>
                      <w:highlight w:val="none"/>
                    </w:rPr>
                  </w:pPr>
                </w:p>
              </w:tc>
              <w:tc>
                <w:tcPr>
                  <w:tcW w:w="1393" w:type="dxa"/>
                  <w:vMerge w:val="continue"/>
                  <w:tcBorders>
                    <w:top w:val="single" w:color="auto" w:sz="4" w:space="0"/>
                    <w:left w:val="single" w:color="auto" w:sz="4" w:space="0"/>
                    <w:bottom w:val="single" w:color="auto" w:sz="4" w:space="0"/>
                    <w:right w:val="single" w:color="auto" w:sz="4" w:space="0"/>
                  </w:tcBorders>
                  <w:noWrap w:val="0"/>
                  <w:vAlign w:val="center"/>
                </w:tcPr>
                <w:p>
                  <w:pPr>
                    <w:pStyle w:val="52"/>
                    <w:spacing w:line="240" w:lineRule="auto"/>
                    <w:rPr>
                      <w:b w:val="0"/>
                      <w:bCs/>
                      <w:color w:val="auto"/>
                      <w:sz w:val="21"/>
                      <w:szCs w:val="21"/>
                      <w:highlight w:val="none"/>
                    </w:rPr>
                  </w:pPr>
                </w:p>
              </w:tc>
              <w:tc>
                <w:tcPr>
                  <w:tcW w:w="16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52"/>
                    <w:spacing w:line="240" w:lineRule="auto"/>
                    <w:rPr>
                      <w:b w:val="0"/>
                      <w:bCs/>
                      <w:color w:val="auto"/>
                      <w:sz w:val="21"/>
                      <w:szCs w:val="21"/>
                      <w:highlight w:val="none"/>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报告书</w:t>
                  </w:r>
                </w:p>
              </w:tc>
              <w:tc>
                <w:tcPr>
                  <w:tcW w:w="1655" w:type="dxa"/>
                  <w:tcBorders>
                    <w:top w:val="single" w:color="auto" w:sz="4" w:space="0"/>
                    <w:left w:val="single" w:color="auto" w:sz="4" w:space="0"/>
                    <w:bottom w:val="single" w:color="auto" w:sz="4" w:space="0"/>
                  </w:tcBorders>
                  <w:noWrap w:val="0"/>
                  <w:vAlign w:val="center"/>
                </w:tcPr>
                <w:p>
                  <w:pPr>
                    <w:pStyle w:val="52"/>
                    <w:spacing w:line="240" w:lineRule="auto"/>
                    <w:rPr>
                      <w:b w:val="0"/>
                      <w:bCs/>
                      <w:color w:val="auto"/>
                      <w:sz w:val="21"/>
                      <w:szCs w:val="21"/>
                      <w:highlight w:val="none"/>
                    </w:rPr>
                  </w:pPr>
                  <w:r>
                    <w:rPr>
                      <w:b w:val="0"/>
                      <w:bCs/>
                      <w:color w:val="auto"/>
                      <w:sz w:val="21"/>
                      <w:szCs w:val="21"/>
                      <w:highlight w:val="none"/>
                    </w:rPr>
                    <w:t>报告表</w:t>
                  </w:r>
                </w:p>
              </w:tc>
            </w:tr>
            <w:tr>
              <w:tblPrEx>
                <w:tblBorders>
                  <w:top w:val="single" w:color="auto" w:sz="18" w:space="0"/>
                  <w:left w:val="none" w:color="auto" w:sz="0" w:space="0"/>
                  <w:bottom w:val="single" w:color="auto" w:sz="1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939" w:type="dxa"/>
                  <w:tcBorders>
                    <w:top w:val="single" w:color="auto" w:sz="4" w:space="0"/>
                    <w:bottom w:val="single" w:color="auto" w:sz="18" w:space="0"/>
                    <w:right w:val="single" w:color="auto" w:sz="4" w:space="0"/>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62、石材加工</w:t>
                  </w:r>
                </w:p>
              </w:tc>
              <w:tc>
                <w:tcPr>
                  <w:tcW w:w="1393" w:type="dxa"/>
                  <w:tcBorders>
                    <w:top w:val="single" w:color="auto" w:sz="4" w:space="0"/>
                    <w:left w:val="single" w:color="auto" w:sz="4" w:space="0"/>
                    <w:bottom w:val="single" w:color="auto" w:sz="18" w:space="0"/>
                    <w:right w:val="single" w:color="auto" w:sz="4" w:space="0"/>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w:t>
                  </w:r>
                </w:p>
              </w:tc>
              <w:tc>
                <w:tcPr>
                  <w:tcW w:w="1654" w:type="dxa"/>
                  <w:tcBorders>
                    <w:top w:val="single" w:color="auto" w:sz="4" w:space="0"/>
                    <w:left w:val="single" w:color="auto" w:sz="4" w:space="0"/>
                    <w:bottom w:val="single" w:color="auto" w:sz="18" w:space="0"/>
                    <w:right w:val="single" w:color="auto" w:sz="4" w:space="0"/>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全部</w:t>
                  </w:r>
                </w:p>
              </w:tc>
              <w:tc>
                <w:tcPr>
                  <w:tcW w:w="1654" w:type="dxa"/>
                  <w:tcBorders>
                    <w:top w:val="single" w:color="auto" w:sz="4" w:space="0"/>
                    <w:left w:val="single" w:color="auto" w:sz="4" w:space="0"/>
                    <w:bottom w:val="single" w:color="auto" w:sz="18" w:space="0"/>
                    <w:right w:val="single" w:color="auto" w:sz="4" w:space="0"/>
                  </w:tcBorders>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w:t>
                  </w:r>
                </w:p>
              </w:tc>
              <w:tc>
                <w:tcPr>
                  <w:tcW w:w="1655" w:type="dxa"/>
                  <w:tcBorders>
                    <w:top w:val="single" w:color="auto" w:sz="4" w:space="0"/>
                    <w:left w:val="single" w:color="auto" w:sz="4" w:space="0"/>
                    <w:bottom w:val="single" w:color="auto" w:sz="18" w:space="0"/>
                  </w:tcBorders>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Ⅳ类</w:t>
                  </w:r>
                </w:p>
              </w:tc>
            </w:tr>
          </w:tbl>
          <w:p>
            <w:pPr>
              <w:pStyle w:val="98"/>
              <w:ind w:firstLine="480"/>
              <w:rPr>
                <w:color w:val="auto"/>
                <w:highlight w:val="none"/>
              </w:rPr>
            </w:pPr>
            <w:r>
              <w:rPr>
                <w:color w:val="auto"/>
                <w:highlight w:val="none"/>
              </w:rPr>
              <w:t>(2)土壤</w:t>
            </w:r>
          </w:p>
          <w:p>
            <w:pPr>
              <w:pStyle w:val="98"/>
              <w:ind w:firstLine="480"/>
              <w:rPr>
                <w:color w:val="auto"/>
                <w:highlight w:val="none"/>
              </w:rPr>
            </w:pPr>
            <w:r>
              <w:rPr>
                <w:color w:val="auto"/>
                <w:highlight w:val="none"/>
              </w:rPr>
              <w:t>根据《环境影响评价技术导则 土壤环境(试行)》(HJ964-2018)可知，本项目土壤环境影响评价项目类别为Ⅳ类，Ⅳ类建设项目可不开展土壤环境影响评价。</w:t>
            </w:r>
          </w:p>
          <w:p>
            <w:pPr>
              <w:pStyle w:val="57"/>
              <w:rPr>
                <w:color w:val="auto"/>
                <w:highlight w:val="none"/>
              </w:rPr>
            </w:pPr>
            <w:r>
              <w:rPr>
                <w:color w:val="auto"/>
                <w:highlight w:val="none"/>
              </w:rPr>
              <w:t>土壤环境影响评价项目类别</w:t>
            </w:r>
          </w:p>
          <w:tbl>
            <w:tblPr>
              <w:tblStyle w:val="25"/>
              <w:tblW w:w="0" w:type="auto"/>
              <w:jc w:val="center"/>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1393"/>
              <w:gridCol w:w="1655"/>
              <w:gridCol w:w="1655"/>
              <w:gridCol w:w="1655"/>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37" w:type="dxa"/>
                  <w:vMerge w:val="restart"/>
                  <w:noWrap w:val="0"/>
                  <w:vAlign w:val="center"/>
                </w:tcPr>
                <w:p>
                  <w:pPr>
                    <w:pStyle w:val="52"/>
                    <w:spacing w:line="240" w:lineRule="auto"/>
                    <w:rPr>
                      <w:b w:val="0"/>
                      <w:bCs/>
                      <w:color w:val="auto"/>
                      <w:sz w:val="21"/>
                      <w:szCs w:val="21"/>
                      <w:highlight w:val="none"/>
                    </w:rPr>
                  </w:pPr>
                  <w:r>
                    <w:rPr>
                      <w:b w:val="0"/>
                      <w:bCs/>
                      <w:color w:val="auto"/>
                      <w:sz w:val="21"/>
                      <w:szCs w:val="21"/>
                      <w:highlight w:val="none"/>
                    </w:rPr>
                    <w:t>行业类别</w:t>
                  </w:r>
                </w:p>
              </w:tc>
              <w:tc>
                <w:tcPr>
                  <w:tcW w:w="6358" w:type="dxa"/>
                  <w:gridSpan w:val="4"/>
                  <w:noWrap w:val="0"/>
                  <w:vAlign w:val="center"/>
                </w:tcPr>
                <w:p>
                  <w:pPr>
                    <w:pStyle w:val="52"/>
                    <w:spacing w:line="240" w:lineRule="auto"/>
                    <w:rPr>
                      <w:b w:val="0"/>
                      <w:bCs/>
                      <w:color w:val="auto"/>
                      <w:sz w:val="21"/>
                      <w:szCs w:val="21"/>
                      <w:highlight w:val="none"/>
                    </w:rPr>
                  </w:pPr>
                  <w:r>
                    <w:rPr>
                      <w:b w:val="0"/>
                      <w:bCs/>
                      <w:color w:val="auto"/>
                      <w:sz w:val="21"/>
                      <w:szCs w:val="21"/>
                      <w:highlight w:val="none"/>
                    </w:rPr>
                    <w:t>项目类别</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37" w:type="dxa"/>
                  <w:vMerge w:val="continue"/>
                  <w:noWrap w:val="0"/>
                  <w:vAlign w:val="center"/>
                </w:tcPr>
                <w:p>
                  <w:pPr>
                    <w:pStyle w:val="52"/>
                    <w:spacing w:line="240" w:lineRule="auto"/>
                    <w:rPr>
                      <w:b w:val="0"/>
                      <w:bCs/>
                      <w:color w:val="auto"/>
                      <w:sz w:val="21"/>
                      <w:szCs w:val="21"/>
                      <w:highlight w:val="none"/>
                    </w:rPr>
                  </w:pPr>
                </w:p>
              </w:tc>
              <w:tc>
                <w:tcPr>
                  <w:tcW w:w="1393" w:type="dxa"/>
                  <w:noWrap w:val="0"/>
                  <w:vAlign w:val="center"/>
                </w:tcPr>
                <w:p>
                  <w:pPr>
                    <w:pStyle w:val="52"/>
                    <w:spacing w:line="240" w:lineRule="auto"/>
                    <w:rPr>
                      <w:b w:val="0"/>
                      <w:bCs/>
                      <w:color w:val="auto"/>
                      <w:sz w:val="21"/>
                      <w:szCs w:val="21"/>
                      <w:highlight w:val="none"/>
                    </w:rPr>
                  </w:pPr>
                  <w:r>
                    <w:rPr>
                      <w:b w:val="0"/>
                      <w:bCs/>
                      <w:color w:val="auto"/>
                      <w:sz w:val="21"/>
                      <w:szCs w:val="21"/>
                      <w:highlight w:val="none"/>
                    </w:rPr>
                    <w:t>Ⅰ类</w:t>
                  </w:r>
                </w:p>
              </w:tc>
              <w:tc>
                <w:tcPr>
                  <w:tcW w:w="1655" w:type="dxa"/>
                  <w:noWrap w:val="0"/>
                  <w:vAlign w:val="center"/>
                </w:tcPr>
                <w:p>
                  <w:pPr>
                    <w:pStyle w:val="52"/>
                    <w:spacing w:line="240" w:lineRule="auto"/>
                    <w:rPr>
                      <w:b w:val="0"/>
                      <w:bCs/>
                      <w:color w:val="auto"/>
                      <w:sz w:val="21"/>
                      <w:szCs w:val="21"/>
                      <w:highlight w:val="none"/>
                    </w:rPr>
                  </w:pPr>
                  <w:r>
                    <w:rPr>
                      <w:b w:val="0"/>
                      <w:bCs/>
                      <w:color w:val="auto"/>
                      <w:sz w:val="21"/>
                      <w:szCs w:val="21"/>
                      <w:highlight w:val="none"/>
                    </w:rPr>
                    <w:t>Ⅱ类</w:t>
                  </w:r>
                </w:p>
              </w:tc>
              <w:tc>
                <w:tcPr>
                  <w:tcW w:w="1655" w:type="dxa"/>
                  <w:noWrap w:val="0"/>
                  <w:vAlign w:val="center"/>
                </w:tcPr>
                <w:p>
                  <w:pPr>
                    <w:pStyle w:val="52"/>
                    <w:spacing w:line="240" w:lineRule="auto"/>
                    <w:rPr>
                      <w:b w:val="0"/>
                      <w:bCs/>
                      <w:color w:val="auto"/>
                      <w:sz w:val="21"/>
                      <w:szCs w:val="21"/>
                      <w:highlight w:val="none"/>
                    </w:rPr>
                  </w:pPr>
                  <w:r>
                    <w:rPr>
                      <w:b w:val="0"/>
                      <w:bCs/>
                      <w:color w:val="auto"/>
                      <w:sz w:val="21"/>
                      <w:szCs w:val="21"/>
                      <w:highlight w:val="none"/>
                    </w:rPr>
                    <w:t>Ⅲ类</w:t>
                  </w:r>
                </w:p>
              </w:tc>
              <w:tc>
                <w:tcPr>
                  <w:tcW w:w="1655" w:type="dxa"/>
                  <w:noWrap w:val="0"/>
                  <w:vAlign w:val="center"/>
                </w:tcPr>
                <w:p>
                  <w:pPr>
                    <w:pStyle w:val="52"/>
                    <w:spacing w:line="240" w:lineRule="auto"/>
                    <w:rPr>
                      <w:b w:val="0"/>
                      <w:bCs/>
                      <w:color w:val="auto"/>
                      <w:sz w:val="21"/>
                      <w:szCs w:val="21"/>
                      <w:highlight w:val="none"/>
                    </w:rPr>
                  </w:pPr>
                  <w:r>
                    <w:rPr>
                      <w:b w:val="0"/>
                      <w:bCs/>
                      <w:color w:val="auto"/>
                      <w:sz w:val="21"/>
                      <w:szCs w:val="21"/>
                      <w:highlight w:val="none"/>
                    </w:rPr>
                    <w:t>Ⅳ类</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PrEx>
              <w:trPr>
                <w:trHeight w:val="340" w:hRule="atLeast"/>
                <w:jc w:val="center"/>
              </w:trPr>
              <w:tc>
                <w:tcPr>
                  <w:tcW w:w="1937" w:type="dxa"/>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其他行业</w:t>
                  </w:r>
                </w:p>
              </w:tc>
              <w:tc>
                <w:tcPr>
                  <w:tcW w:w="1393" w:type="dxa"/>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w:t>
                  </w:r>
                </w:p>
              </w:tc>
              <w:tc>
                <w:tcPr>
                  <w:tcW w:w="1655" w:type="dxa"/>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w:t>
                  </w:r>
                </w:p>
              </w:tc>
              <w:tc>
                <w:tcPr>
                  <w:tcW w:w="1655" w:type="dxa"/>
                  <w:shd w:val="clear" w:color="auto" w:fill="auto"/>
                  <w:noWrap w:val="0"/>
                  <w:vAlign w:val="center"/>
                </w:tcPr>
                <w:p>
                  <w:pPr>
                    <w:pStyle w:val="52"/>
                    <w:spacing w:line="240" w:lineRule="auto"/>
                    <w:rPr>
                      <w:b w:val="0"/>
                      <w:bCs/>
                      <w:color w:val="auto"/>
                      <w:sz w:val="21"/>
                      <w:szCs w:val="21"/>
                      <w:highlight w:val="none"/>
                    </w:rPr>
                  </w:pPr>
                  <w:r>
                    <w:rPr>
                      <w:b w:val="0"/>
                      <w:bCs/>
                      <w:color w:val="auto"/>
                      <w:sz w:val="21"/>
                      <w:szCs w:val="21"/>
                      <w:highlight w:val="none"/>
                    </w:rPr>
                    <w:t>-</w:t>
                  </w:r>
                </w:p>
              </w:tc>
              <w:tc>
                <w:tcPr>
                  <w:tcW w:w="1655" w:type="dxa"/>
                  <w:shd w:val="clear" w:color="auto" w:fill="D9D9D9"/>
                  <w:noWrap w:val="0"/>
                  <w:vAlign w:val="center"/>
                </w:tcPr>
                <w:p>
                  <w:pPr>
                    <w:pStyle w:val="52"/>
                    <w:spacing w:line="240" w:lineRule="auto"/>
                    <w:rPr>
                      <w:b w:val="0"/>
                      <w:bCs/>
                      <w:color w:val="auto"/>
                      <w:sz w:val="21"/>
                      <w:szCs w:val="21"/>
                      <w:highlight w:val="none"/>
                    </w:rPr>
                  </w:pPr>
                  <w:r>
                    <w:rPr>
                      <w:b w:val="0"/>
                      <w:bCs/>
                      <w:color w:val="auto"/>
                      <w:sz w:val="21"/>
                      <w:szCs w:val="21"/>
                      <w:highlight w:val="none"/>
                    </w:rPr>
                    <w:t>全部</w:t>
                  </w:r>
                </w:p>
              </w:tc>
            </w:tr>
          </w:tbl>
          <w:p>
            <w:pPr>
              <w:pStyle w:val="3"/>
              <w:keepNext/>
              <w:keepLines w:val="0"/>
              <w:pageBreakBefore w:val="0"/>
              <w:widowControl w:val="0"/>
              <w:kinsoku/>
              <w:wordWrap/>
              <w:overflowPunct w:val="0"/>
              <w:topLinePunct w:val="0"/>
              <w:autoSpaceDE/>
              <w:autoSpaceDN/>
              <w:bidi w:val="0"/>
              <w:adjustRightInd/>
              <w:snapToGrid w:val="0"/>
              <w:spacing w:before="251" w:beforeLines="80"/>
              <w:textAlignment w:val="auto"/>
              <w:rPr>
                <w:color w:val="auto"/>
                <w:highlight w:val="none"/>
              </w:rPr>
            </w:pPr>
            <w:r>
              <w:rPr>
                <w:color w:val="auto"/>
                <w:highlight w:val="none"/>
              </w:rPr>
              <w:t>6、环境风险</w:t>
            </w:r>
          </w:p>
          <w:p>
            <w:pPr>
              <w:pStyle w:val="59"/>
              <w:ind w:firstLine="480"/>
              <w:rPr>
                <w:color w:val="auto"/>
                <w:highlight w:val="none"/>
              </w:rPr>
            </w:pPr>
            <w:r>
              <w:rPr>
                <w:color w:val="auto"/>
                <w:highlight w:val="none"/>
              </w:rPr>
              <w:t>本项目属于</w:t>
            </w:r>
            <w:r>
              <w:rPr>
                <w:rFonts w:hint="eastAsia" w:ascii="Times New Roman" w:hAnsi="Times New Roman" w:eastAsia="宋体" w:cs="Times New Roman"/>
                <w:color w:val="auto"/>
                <w:sz w:val="24"/>
                <w:highlight w:val="none"/>
                <w:u w:val="none"/>
                <w:lang w:val="en-US" w:eastAsia="zh-CN"/>
              </w:rPr>
              <w:t>渣料资源利用项目</w:t>
            </w:r>
            <w:r>
              <w:rPr>
                <w:color w:val="auto"/>
                <w:highlight w:val="none"/>
              </w:rPr>
              <w:t>，原料为</w:t>
            </w:r>
            <w:r>
              <w:rPr>
                <w:rFonts w:hint="eastAsia" w:ascii="Times New Roman" w:hAnsi="Times New Roman" w:eastAsia="宋体" w:cs="Times New Roman"/>
                <w:color w:val="auto"/>
                <w:sz w:val="24"/>
                <w:highlight w:val="none"/>
                <w:u w:val="none"/>
                <w:lang w:val="en-US" w:eastAsia="zh-CN"/>
              </w:rPr>
              <w:t>宁德核电场地平整富余渣料</w:t>
            </w:r>
            <w:r>
              <w:rPr>
                <w:color w:val="auto"/>
                <w:highlight w:val="none"/>
              </w:rPr>
              <w:t>，不属于有毒有害及易燃易爆危险物质。项目可能存在的风险主要为设备漏电发生的火灾，针对本项目有可能发生环境风险事故，本环评提出如下措施：</w:t>
            </w:r>
          </w:p>
          <w:p>
            <w:pPr>
              <w:pStyle w:val="59"/>
              <w:ind w:firstLine="480"/>
              <w:rPr>
                <w:color w:val="auto"/>
                <w:highlight w:val="none"/>
              </w:rPr>
            </w:pPr>
            <w:r>
              <w:rPr>
                <w:color w:val="auto"/>
                <w:highlight w:val="none"/>
              </w:rPr>
              <w:t>(1)提高认识，完善制度，严格检查</w:t>
            </w:r>
          </w:p>
          <w:p>
            <w:pPr>
              <w:pStyle w:val="59"/>
              <w:ind w:firstLine="480"/>
              <w:rPr>
                <w:color w:val="auto"/>
                <w:highlight w:val="none"/>
              </w:rPr>
            </w:pPr>
            <w:r>
              <w:rPr>
                <w:color w:val="auto"/>
                <w:highlight w:val="none"/>
              </w:rPr>
              <w:t>企业领导应提高对突发性事故的警觉和认识，做到</w:t>
            </w:r>
            <w:r>
              <w:rPr>
                <w:rFonts w:hint="eastAsia"/>
                <w:color w:val="auto"/>
                <w:highlight w:val="none"/>
                <w:lang w:eastAsia="zh-CN"/>
              </w:rPr>
              <w:t>警钟长鸣</w:t>
            </w:r>
            <w:r>
              <w:rPr>
                <w:color w:val="auto"/>
                <w:highlight w:val="none"/>
              </w:rPr>
              <w:t>。建议企业建立安全环保科，主要负责检查和监督安全生产和环保设施的正常运转情况。对安全和环保应建立严格的防范措施，制定严格的管理规章制度。</w:t>
            </w:r>
          </w:p>
          <w:p>
            <w:pPr>
              <w:pStyle w:val="59"/>
              <w:ind w:firstLine="480"/>
              <w:rPr>
                <w:color w:val="auto"/>
                <w:highlight w:val="none"/>
              </w:rPr>
            </w:pPr>
            <w:r>
              <w:rPr>
                <w:color w:val="auto"/>
                <w:highlight w:val="none"/>
              </w:rPr>
              <w:t>(2)加强技术培训，提高安全意识</w:t>
            </w:r>
          </w:p>
          <w:p>
            <w:pPr>
              <w:pStyle w:val="59"/>
              <w:ind w:firstLine="480"/>
              <w:rPr>
                <w:color w:val="auto"/>
                <w:highlight w:val="none"/>
              </w:rPr>
            </w:pPr>
            <w:r>
              <w:rPr>
                <w:color w:val="auto"/>
                <w:highlight w:val="none"/>
              </w:rPr>
              <w:t>企业应加强技术人员的引进，对生产操作工人进行上岗前的专业技术培训，严格管理，提高安全意识，尽最大限度地降低事故发生的可能性，以避免发生恶性事故，进而造成事故性环境污染。</w:t>
            </w:r>
          </w:p>
          <w:p>
            <w:pPr>
              <w:pStyle w:val="59"/>
              <w:ind w:firstLine="480"/>
              <w:rPr>
                <w:color w:val="auto"/>
                <w:highlight w:val="none"/>
              </w:rPr>
            </w:pPr>
            <w:r>
              <w:rPr>
                <w:color w:val="auto"/>
                <w:highlight w:val="none"/>
              </w:rPr>
              <w:t>(3)提高应急处理能力</w:t>
            </w:r>
          </w:p>
          <w:p>
            <w:pPr>
              <w:pStyle w:val="59"/>
              <w:ind w:firstLine="480"/>
              <w:rPr>
                <w:color w:val="auto"/>
                <w:highlight w:val="none"/>
              </w:rPr>
            </w:pPr>
            <w:r>
              <w:rPr>
                <w:color w:val="auto"/>
                <w:highlight w:val="none"/>
              </w:rPr>
              <w:t>企业应对具有高危害设备设置保险措施，对危险区域设置消防装置等必备的应急措施。</w:t>
            </w:r>
          </w:p>
          <w:p>
            <w:pPr>
              <w:pStyle w:val="59"/>
              <w:ind w:firstLine="480"/>
              <w:rPr>
                <w:color w:val="auto"/>
                <w:highlight w:val="none"/>
              </w:rPr>
            </w:pPr>
            <w:r>
              <w:rPr>
                <w:color w:val="auto"/>
                <w:highlight w:val="none"/>
              </w:rPr>
              <w:t>(4)火灾预防措施</w:t>
            </w:r>
          </w:p>
          <w:p>
            <w:pPr>
              <w:pStyle w:val="59"/>
              <w:ind w:firstLine="480"/>
              <w:rPr>
                <w:color w:val="auto"/>
                <w:highlight w:val="none"/>
              </w:rPr>
            </w:pPr>
            <w:r>
              <w:rPr>
                <w:color w:val="auto"/>
                <w:highlight w:val="none"/>
              </w:rPr>
              <w:t>项目运营过程中有可能引发火灾，因高温引起火灾，要求企业做好车间内消防器材的设置，用于灭火。</w:t>
            </w:r>
          </w:p>
          <w:p>
            <w:pPr>
              <w:pStyle w:val="59"/>
              <w:ind w:firstLine="480"/>
              <w:rPr>
                <w:color w:val="auto"/>
                <w:highlight w:val="none"/>
              </w:rPr>
            </w:pPr>
            <w:r>
              <w:rPr>
                <w:color w:val="auto"/>
                <w:highlight w:val="none"/>
              </w:rPr>
              <w:t>(5)环保设施安全防范措施</w:t>
            </w:r>
          </w:p>
          <w:p>
            <w:pPr>
              <w:pStyle w:val="59"/>
              <w:ind w:firstLine="480"/>
              <w:rPr>
                <w:color w:val="auto"/>
                <w:highlight w:val="none"/>
              </w:rPr>
            </w:pPr>
            <w:r>
              <w:rPr>
                <w:color w:val="auto"/>
                <w:highlight w:val="none"/>
              </w:rPr>
              <w:t>项目运营过程中环保设备、管道等设施的定期检验、维护、保养、检修，防止环保设施失效造成的污染事故。</w:t>
            </w:r>
          </w:p>
          <w:p>
            <w:pPr>
              <w:pStyle w:val="59"/>
              <w:ind w:firstLine="480"/>
              <w:rPr>
                <w:color w:val="auto"/>
                <w:highlight w:val="none"/>
              </w:rPr>
            </w:pPr>
          </w:p>
        </w:tc>
      </w:tr>
    </w:tbl>
    <w:p>
      <w:pPr>
        <w:adjustRightInd w:val="0"/>
        <w:snapToGrid w:val="0"/>
        <w:spacing w:line="360" w:lineRule="auto"/>
        <w:ind w:firstLine="562"/>
        <w:rPr>
          <w:b/>
          <w:color w:val="auto"/>
          <w:kern w:val="0"/>
          <w:sz w:val="28"/>
          <w:szCs w:val="28"/>
          <w:highlight w:val="none"/>
        </w:rPr>
        <w:sectPr>
          <w:pgSz w:w="11907" w:h="16840"/>
          <w:pgMar w:top="1418" w:right="1418" w:bottom="1418" w:left="1418" w:header="851" w:footer="851" w:gutter="0"/>
          <w:pgBorders>
            <w:top w:val="none" w:sz="0" w:space="0"/>
            <w:left w:val="none" w:sz="0" w:space="0"/>
            <w:bottom w:val="none" w:sz="0" w:space="0"/>
            <w:right w:val="none" w:sz="0" w:space="0"/>
          </w:pgBorders>
          <w:cols w:space="720" w:num="1"/>
          <w:docGrid w:linePitch="312" w:charSpace="0"/>
        </w:sectPr>
      </w:pPr>
    </w:p>
    <w:p>
      <w:pPr>
        <w:pStyle w:val="20"/>
        <w:jc w:val="center"/>
        <w:outlineLvl w:val="0"/>
        <w:rPr>
          <w:rFonts w:ascii="Times New Roman" w:hAnsi="Times New Roman" w:eastAsia="黑体"/>
          <w:snapToGrid w:val="0"/>
          <w:color w:val="auto"/>
          <w:sz w:val="30"/>
          <w:szCs w:val="30"/>
          <w:highlight w:val="none"/>
        </w:rPr>
      </w:pPr>
      <w:r>
        <w:rPr>
          <w:rFonts w:ascii="Times New Roman" w:hAnsi="Times New Roman" w:eastAsia="黑体"/>
          <w:snapToGrid w:val="0"/>
          <w:color w:val="auto"/>
          <w:sz w:val="30"/>
          <w:szCs w:val="30"/>
          <w:highlight w:val="none"/>
        </w:rPr>
        <w:t>五、</w:t>
      </w:r>
      <w:bookmarkStart w:id="9" w:name="_Hlk54167917"/>
      <w:r>
        <w:rPr>
          <w:rFonts w:ascii="Times New Roman" w:hAnsi="Times New Roman" w:eastAsia="黑体"/>
          <w:snapToGrid w:val="0"/>
          <w:color w:val="auto"/>
          <w:sz w:val="30"/>
          <w:szCs w:val="30"/>
          <w:highlight w:val="none"/>
        </w:rPr>
        <w:t>环境保护措施监督检查清单</w:t>
      </w:r>
      <w:bookmarkEnd w:id="9"/>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137"/>
        <w:gridCol w:w="1058"/>
        <w:gridCol w:w="2280"/>
        <w:gridCol w:w="38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7" w:type="dxa"/>
            <w:tcBorders>
              <w:tl2br w:val="single" w:color="auto" w:sz="4" w:space="0"/>
            </w:tcBorders>
            <w:noWrap w:val="0"/>
            <w:vAlign w:val="top"/>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内容</w:t>
            </w:r>
          </w:p>
          <w:p>
            <w:pPr>
              <w:rPr>
                <w:color w:val="auto"/>
                <w:highlight w:val="none"/>
              </w:rPr>
            </w:pPr>
          </w:p>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要素</w:t>
            </w:r>
          </w:p>
        </w:tc>
        <w:tc>
          <w:tcPr>
            <w:tcW w:w="1137"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排放口(编号、名称)/污染源</w:t>
            </w:r>
          </w:p>
        </w:tc>
        <w:tc>
          <w:tcPr>
            <w:tcW w:w="105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污染物项目</w:t>
            </w:r>
          </w:p>
        </w:tc>
        <w:tc>
          <w:tcPr>
            <w:tcW w:w="2280"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环境保护措施</w:t>
            </w:r>
          </w:p>
        </w:tc>
        <w:tc>
          <w:tcPr>
            <w:tcW w:w="389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687"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大气环境</w:t>
            </w:r>
          </w:p>
        </w:tc>
        <w:tc>
          <w:tcPr>
            <w:tcW w:w="1137"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r>
              <w:rPr>
                <w:rFonts w:hint="eastAsia" w:ascii="Times New Roman" w:hAnsi="Times New Roman" w:cs="Times New Roman"/>
                <w:color w:val="auto"/>
                <w:sz w:val="21"/>
                <w:szCs w:val="21"/>
                <w:highlight w:val="none"/>
                <w:vertAlign w:val="baseline"/>
                <w:lang w:val="en-US" w:eastAsia="zh-CN"/>
              </w:rPr>
              <w:t>破碎、喂料、筛分DA001</w:t>
            </w:r>
          </w:p>
        </w:tc>
        <w:tc>
          <w:tcPr>
            <w:tcW w:w="1058"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1"/>
                <w:szCs w:val="21"/>
                <w:highlight w:val="no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颗粒物</w:t>
            </w:r>
          </w:p>
        </w:tc>
        <w:tc>
          <w:tcPr>
            <w:tcW w:w="2280"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r>
              <w:rPr>
                <w:rFonts w:hint="eastAsia" w:ascii="Times New Roman" w:hAnsi="Times New Roman" w:cs="Times New Roman"/>
                <w:snapToGrid w:val="0"/>
                <w:color w:val="auto"/>
                <w:spacing w:val="4"/>
                <w:kern w:val="0"/>
                <w:sz w:val="21"/>
                <w:szCs w:val="21"/>
                <w:highlight w:val="none"/>
                <w:vertAlign w:val="baseline"/>
                <w:lang w:val="en-US" w:eastAsia="zh-CN" w:bidi="ar-SA"/>
              </w:rPr>
              <w:t>袋式除尘器+15m高排气筒</w:t>
            </w:r>
          </w:p>
        </w:tc>
        <w:tc>
          <w:tcPr>
            <w:tcW w:w="3898"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spacing w:val="4"/>
                <w:kern w:val="0"/>
                <w:sz w:val="21"/>
                <w:szCs w:val="21"/>
                <w:highlight w:val="none"/>
                <w:vertAlign w:val="baseli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《大气污染物综合排放标》（GB16297-1996）表2</w:t>
            </w:r>
            <w:r>
              <w:rPr>
                <w:rFonts w:hint="eastAsia" w:ascii="Times New Roman" w:hAnsi="Times New Roman" w:eastAsia="宋体" w:cs="Times New Roman"/>
                <w:color w:val="auto"/>
                <w:sz w:val="21"/>
                <w:szCs w:val="21"/>
                <w:highlight w:val="none"/>
                <w:vertAlign w:val="baseline"/>
                <w:lang w:val="en-US" w:eastAsia="zh-CN"/>
              </w:rPr>
              <w:t>排放限值（</w:t>
            </w:r>
            <w:r>
              <w:rPr>
                <w:rFonts w:hint="eastAsia" w:ascii="Times New Roman" w:hAnsi="Times New Roman" w:cs="Times New Roman"/>
                <w:color w:val="auto"/>
                <w:sz w:val="21"/>
                <w:szCs w:val="21"/>
                <w:highlight w:val="none"/>
                <w:vertAlign w:val="baseline"/>
                <w:lang w:val="en-US" w:eastAsia="zh-CN"/>
              </w:rPr>
              <w:t>＜120mg/m</w:t>
            </w:r>
            <w:r>
              <w:rPr>
                <w:rFonts w:hint="eastAsia" w:ascii="Times New Roman" w:hAnsi="Times New Roman" w:cs="Times New Roman"/>
                <w:color w:val="auto"/>
                <w:sz w:val="21"/>
                <w:szCs w:val="21"/>
                <w:highlight w:val="none"/>
                <w:vertAlign w:val="superscript"/>
                <w:lang w:val="en-US" w:eastAsia="zh-CN"/>
              </w:rPr>
              <w:t>3</w:t>
            </w:r>
            <w:r>
              <w:rPr>
                <w:rFonts w:hint="eastAsia" w:ascii="Times New Roman" w:hAnsi="Times New Roman" w:eastAsia="宋体" w:cs="Times New Roman"/>
                <w:color w:val="auto"/>
                <w:sz w:val="21"/>
                <w:szCs w:val="21"/>
                <w:highlight w:val="none"/>
                <w:vertAlign w:val="baseli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87"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p>
        </w:tc>
        <w:tc>
          <w:tcPr>
            <w:tcW w:w="1137"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Fonts w:hint="eastAsia" w:ascii="Times New Roman" w:hAnsi="Times New Roman" w:eastAsia="宋体" w:cs="Times New Roman"/>
                <w:color w:val="auto"/>
                <w:sz w:val="21"/>
                <w:szCs w:val="21"/>
                <w:highlight w:val="none"/>
                <w:lang w:val="en-US" w:eastAsia="zh-CN"/>
              </w:rPr>
              <w:t>输送带扬尘</w:t>
            </w:r>
          </w:p>
        </w:tc>
        <w:tc>
          <w:tcPr>
            <w:tcW w:w="105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颗粒物</w:t>
            </w:r>
          </w:p>
        </w:tc>
        <w:tc>
          <w:tcPr>
            <w:tcW w:w="2280" w:type="dxa"/>
            <w:noWrap w:val="0"/>
            <w:vAlign w:val="center"/>
          </w:tcPr>
          <w:p>
            <w:pPr>
              <w:pStyle w:val="9"/>
              <w:rPr>
                <w:rStyle w:val="72"/>
                <w:rFonts w:hint="eastAsia" w:ascii="Times New Roman" w:hAnsi="Times New Roman" w:eastAsia="宋体"/>
                <w:color w:val="auto"/>
                <w:highlight w:val="none"/>
                <w:lang w:val="en-US" w:eastAsia="zh-CN"/>
              </w:rPr>
            </w:pPr>
            <w:r>
              <w:rPr>
                <w:rFonts w:hint="eastAsia"/>
                <w:color w:val="auto"/>
                <w:sz w:val="21"/>
                <w:szCs w:val="21"/>
                <w:highlight w:val="none"/>
                <w:lang w:val="en-US" w:eastAsia="zh-CN"/>
              </w:rPr>
              <w:t>输送带</w:t>
            </w:r>
            <w:r>
              <w:rPr>
                <w:rFonts w:hint="eastAsia" w:ascii="Times New Roman" w:hAnsi="Times New Roman" w:cs="Times New Roman"/>
                <w:snapToGrid w:val="0"/>
                <w:color w:val="auto"/>
                <w:spacing w:val="4"/>
                <w:kern w:val="0"/>
                <w:sz w:val="21"/>
                <w:szCs w:val="21"/>
                <w:vertAlign w:val="baseline"/>
                <w:lang w:val="en-US" w:eastAsia="zh-CN" w:bidi="ar-SA"/>
              </w:rPr>
              <w:t>加盖密闭，</w:t>
            </w:r>
            <w:r>
              <w:rPr>
                <w:rFonts w:hint="eastAsia"/>
                <w:color w:val="auto"/>
                <w:sz w:val="21"/>
                <w:szCs w:val="21"/>
                <w:highlight w:val="none"/>
                <w:lang w:val="en-US" w:eastAsia="zh-CN"/>
              </w:rPr>
              <w:t>落料点配备除尘设施</w:t>
            </w:r>
          </w:p>
        </w:tc>
        <w:tc>
          <w:tcPr>
            <w:tcW w:w="3898"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《大气污染物综合排放标准》(GB16</w:t>
            </w:r>
            <w:r>
              <w:rPr>
                <w:rStyle w:val="72"/>
                <w:rFonts w:hint="eastAsia" w:ascii="Times New Roman" w:hAnsi="Times New Roman" w:eastAsia="宋体"/>
                <w:color w:val="auto"/>
                <w:highlight w:val="none"/>
                <w:lang w:val="en-US" w:eastAsia="zh-CN"/>
              </w:rPr>
              <w:t xml:space="preserve"> </w:t>
            </w:r>
            <w:r>
              <w:rPr>
                <w:rStyle w:val="72"/>
                <w:rFonts w:ascii="Times New Roman" w:hAnsi="Times New Roman"/>
                <w:color w:val="auto"/>
                <w:highlight w:val="none"/>
              </w:rPr>
              <w:t>297-1996)中表2二级标准要求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87"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p>
        </w:tc>
        <w:tc>
          <w:tcPr>
            <w:tcW w:w="1137"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spacing w:val="4"/>
                <w:kern w:val="0"/>
                <w:sz w:val="21"/>
                <w:szCs w:val="21"/>
                <w:highlight w:val="none"/>
                <w:vertAlign w:val="baseline"/>
                <w:lang w:val="en-US" w:eastAsia="zh-CN" w:bidi="ar-SA"/>
              </w:rPr>
            </w:pPr>
            <w:r>
              <w:rPr>
                <w:rFonts w:hint="eastAsia" w:ascii="Times New Roman" w:hAnsi="Times New Roman" w:cs="Times New Roman"/>
                <w:color w:val="auto"/>
                <w:sz w:val="21"/>
                <w:szCs w:val="21"/>
                <w:highlight w:val="none"/>
                <w:vertAlign w:val="baseline"/>
                <w:lang w:val="en-US" w:eastAsia="zh-CN"/>
              </w:rPr>
              <w:t>运输装卸扬尘</w:t>
            </w:r>
          </w:p>
        </w:tc>
        <w:tc>
          <w:tcPr>
            <w:tcW w:w="1058"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spacing w:val="4"/>
                <w:kern w:val="0"/>
                <w:sz w:val="21"/>
                <w:szCs w:val="21"/>
                <w:highlight w:val="none"/>
                <w:lang w:val="en-US" w:eastAsia="zh-CN" w:bidi="ar-SA"/>
              </w:rPr>
            </w:pPr>
            <w:r>
              <w:rPr>
                <w:rFonts w:hint="default" w:ascii="Times New Roman" w:hAnsi="Times New Roman" w:eastAsia="宋体" w:cs="Times New Roman"/>
                <w:color w:val="auto"/>
                <w:sz w:val="21"/>
                <w:szCs w:val="21"/>
                <w:highlight w:val="none"/>
                <w:vertAlign w:val="baseline"/>
                <w:lang w:val="en-US" w:eastAsia="zh-CN"/>
              </w:rPr>
              <w:t>颗粒物</w:t>
            </w:r>
          </w:p>
        </w:tc>
        <w:tc>
          <w:tcPr>
            <w:tcW w:w="2280" w:type="dxa"/>
            <w:noWrap w:val="0"/>
            <w:vAlign w:val="center"/>
          </w:tcPr>
          <w:p>
            <w:pPr>
              <w:pStyle w:val="8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spacing w:val="4"/>
                <w:kern w:val="0"/>
                <w:sz w:val="21"/>
                <w:szCs w:val="21"/>
                <w:highlight w:val="none"/>
                <w:vertAlign w:val="baseline"/>
                <w:lang w:val="en-US" w:eastAsia="zh-CN" w:bidi="ar-SA"/>
              </w:rPr>
            </w:pPr>
            <w:r>
              <w:rPr>
                <w:rFonts w:hint="eastAsia" w:ascii="Times New Roman" w:hAnsi="Times New Roman" w:cs="Times New Roman"/>
                <w:snapToGrid w:val="0"/>
                <w:color w:val="auto"/>
                <w:spacing w:val="4"/>
                <w:kern w:val="0"/>
                <w:sz w:val="21"/>
                <w:szCs w:val="21"/>
                <w:highlight w:val="none"/>
                <w:vertAlign w:val="baseline"/>
                <w:lang w:val="en-US" w:eastAsia="zh-CN" w:bidi="ar-SA"/>
              </w:rPr>
              <w:t>装卸过程洒水降尘</w:t>
            </w:r>
          </w:p>
        </w:tc>
        <w:tc>
          <w:tcPr>
            <w:tcW w:w="3898"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87"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p>
        </w:tc>
        <w:tc>
          <w:tcPr>
            <w:tcW w:w="1137" w:type="dxa"/>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堆场粉尘</w:t>
            </w:r>
          </w:p>
        </w:tc>
        <w:tc>
          <w:tcPr>
            <w:tcW w:w="10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napToGrid w:val="0"/>
                <w:color w:val="auto"/>
                <w:kern w:val="0"/>
                <w:sz w:val="21"/>
                <w:szCs w:val="21"/>
                <w:highlight w:val="none"/>
                <w:lang w:val="en-US" w:eastAsia="zh-CN" w:bidi="zh-CN"/>
              </w:rPr>
            </w:pPr>
            <w:r>
              <w:rPr>
                <w:rFonts w:hint="default" w:ascii="Times New Roman" w:hAnsi="Times New Roman" w:eastAsia="宋体" w:cs="Times New Roman"/>
                <w:snapToGrid w:val="0"/>
                <w:color w:val="auto"/>
                <w:kern w:val="0"/>
                <w:sz w:val="21"/>
                <w:szCs w:val="21"/>
                <w:highlight w:val="none"/>
                <w:lang w:val="en-US" w:eastAsia="zh-CN" w:bidi="zh-CN"/>
              </w:rPr>
              <w:t>颗粒物</w:t>
            </w:r>
          </w:p>
        </w:tc>
        <w:tc>
          <w:tcPr>
            <w:tcW w:w="22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zh-CN"/>
              </w:rPr>
            </w:pPr>
            <w:r>
              <w:rPr>
                <w:rFonts w:hint="eastAsia"/>
                <w:bCs/>
                <w:color w:val="auto"/>
                <w:szCs w:val="21"/>
                <w:highlight w:val="none"/>
              </w:rPr>
              <w:t>原料、产品</w:t>
            </w:r>
            <w:r>
              <w:rPr>
                <w:rFonts w:hint="eastAsia"/>
                <w:bCs/>
                <w:color w:val="auto"/>
                <w:szCs w:val="21"/>
                <w:highlight w:val="none"/>
                <w:lang w:val="en-US" w:eastAsia="zh-CN"/>
              </w:rPr>
              <w:t>堆场采用苫布覆盖，苫布裙角固定措施，实现有效覆盖</w:t>
            </w:r>
          </w:p>
        </w:tc>
        <w:tc>
          <w:tcPr>
            <w:tcW w:w="3898"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87"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p>
        </w:tc>
        <w:tc>
          <w:tcPr>
            <w:tcW w:w="1137" w:type="dxa"/>
            <w:noWrap w:val="0"/>
            <w:vAlign w:val="center"/>
          </w:tcPr>
          <w:p>
            <w:pPr>
              <w:keepNext w:val="0"/>
              <w:keepLines w:val="0"/>
              <w:pageBreakBefore w:val="0"/>
              <w:widowControl w:val="0"/>
              <w:tabs>
                <w:tab w:val="left" w:pos="2604"/>
              </w:tabs>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olor w:val="auto"/>
                <w:lang w:val="en-US" w:eastAsia="zh-CN"/>
              </w:rPr>
              <w:t>道路扬尘</w:t>
            </w:r>
          </w:p>
        </w:tc>
        <w:tc>
          <w:tcPr>
            <w:tcW w:w="105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snapToGrid w:val="0"/>
                <w:color w:val="auto"/>
                <w:kern w:val="0"/>
                <w:sz w:val="21"/>
                <w:szCs w:val="21"/>
                <w:highlight w:val="none"/>
                <w:lang w:val="en-US" w:eastAsia="zh-CN" w:bidi="zh-CN"/>
              </w:rPr>
            </w:pPr>
            <w:r>
              <w:rPr>
                <w:rFonts w:hint="default" w:ascii="Times New Roman" w:hAnsi="Times New Roman" w:eastAsia="宋体" w:cs="Times New Roman"/>
                <w:color w:val="auto"/>
                <w:sz w:val="21"/>
                <w:szCs w:val="21"/>
                <w:highlight w:val="none"/>
                <w:vertAlign w:val="baseline"/>
                <w:lang w:val="en-US" w:eastAsia="zh-CN"/>
              </w:rPr>
              <w:t>颗粒物</w:t>
            </w:r>
          </w:p>
        </w:tc>
        <w:tc>
          <w:tcPr>
            <w:tcW w:w="2280" w:type="dxa"/>
            <w:noWrap w:val="0"/>
            <w:vAlign w:val="center"/>
          </w:tcPr>
          <w:p>
            <w:pPr>
              <w:pStyle w:val="9"/>
              <w:jc w:val="center"/>
              <w:rPr>
                <w:rFonts w:hint="eastAsia"/>
                <w:bCs/>
                <w:color w:val="auto"/>
                <w:szCs w:val="21"/>
                <w:highlight w:val="none"/>
              </w:rPr>
            </w:pPr>
            <w:r>
              <w:rPr>
                <w:rFonts w:hint="eastAsia"/>
                <w:color w:val="auto"/>
                <w:sz w:val="21"/>
                <w:szCs w:val="16"/>
                <w:lang w:val="en-US" w:eastAsia="zh-CN"/>
              </w:rPr>
              <w:t>道路硬化，</w:t>
            </w:r>
            <w:r>
              <w:rPr>
                <w:color w:val="auto"/>
                <w:sz w:val="21"/>
                <w:szCs w:val="16"/>
              </w:rPr>
              <w:t>洒水降尘</w:t>
            </w:r>
            <w:r>
              <w:rPr>
                <w:rFonts w:hint="eastAsia"/>
                <w:color w:val="auto"/>
                <w:sz w:val="21"/>
                <w:szCs w:val="16"/>
                <w:lang w:eastAsia="zh-CN"/>
              </w:rPr>
              <w:t>，</w:t>
            </w:r>
            <w:r>
              <w:rPr>
                <w:rFonts w:hint="default" w:ascii="Times New Roman" w:hAnsi="Times New Roman" w:eastAsia="宋体" w:cs="Times New Roman"/>
                <w:color w:val="auto"/>
                <w:sz w:val="21"/>
                <w:szCs w:val="21"/>
                <w:highlight w:val="none"/>
                <w:lang w:val="en-US" w:eastAsia="zh-CN"/>
              </w:rPr>
              <w:t>车辆进出口设置</w:t>
            </w:r>
            <w:r>
              <w:rPr>
                <w:rFonts w:hint="eastAsia" w:ascii="Times New Roman" w:hAnsi="Times New Roman" w:eastAsia="宋体" w:cs="Times New Roman"/>
                <w:color w:val="auto"/>
                <w:sz w:val="21"/>
                <w:szCs w:val="21"/>
                <w:highlight w:val="none"/>
                <w:lang w:val="en-US" w:eastAsia="zh-CN"/>
              </w:rPr>
              <w:t>洗车池</w:t>
            </w:r>
          </w:p>
        </w:tc>
        <w:tc>
          <w:tcPr>
            <w:tcW w:w="3898"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87"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地表水环境</w:t>
            </w:r>
          </w:p>
        </w:tc>
        <w:tc>
          <w:tcPr>
            <w:tcW w:w="1137"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Times New Roman" w:hAnsi="Times New Roman" w:eastAsia="宋体"/>
                <w:color w:val="auto"/>
                <w:kern w:val="0"/>
                <w:sz w:val="21"/>
                <w:szCs w:val="22"/>
                <w:highlight w:val="none"/>
                <w:lang w:val="en-US" w:eastAsia="zh-CN" w:bidi="ar-SA"/>
              </w:rPr>
            </w:pPr>
            <w:r>
              <w:rPr>
                <w:rStyle w:val="72"/>
                <w:rFonts w:ascii="Times New Roman" w:hAnsi="Times New Roman"/>
                <w:color w:val="auto"/>
                <w:highlight w:val="none"/>
              </w:rPr>
              <w:t>生产废水</w:t>
            </w:r>
          </w:p>
        </w:tc>
        <w:tc>
          <w:tcPr>
            <w:tcW w:w="105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Times New Roman" w:hAnsi="Times New Roman" w:eastAsia="宋体"/>
                <w:color w:val="auto"/>
                <w:kern w:val="0"/>
                <w:sz w:val="21"/>
                <w:szCs w:val="22"/>
                <w:highlight w:val="none"/>
                <w:lang w:val="en-US" w:eastAsia="zh-CN" w:bidi="ar-SA"/>
              </w:rPr>
            </w:pPr>
            <w:r>
              <w:rPr>
                <w:rStyle w:val="72"/>
                <w:rFonts w:ascii="Times New Roman" w:hAnsi="Times New Roman"/>
                <w:color w:val="auto"/>
                <w:highlight w:val="none"/>
              </w:rPr>
              <w:t>SS</w:t>
            </w:r>
          </w:p>
        </w:tc>
        <w:tc>
          <w:tcPr>
            <w:tcW w:w="2280"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olor w:val="auto"/>
                <w:kern w:val="0"/>
                <w:sz w:val="21"/>
                <w:szCs w:val="22"/>
                <w:highlight w:val="none"/>
                <w:lang w:val="en-US" w:eastAsia="zh-CN" w:bidi="ar-SA"/>
              </w:rPr>
            </w:pPr>
            <w:r>
              <w:rPr>
                <w:rStyle w:val="72"/>
                <w:rFonts w:ascii="Times New Roman" w:hAnsi="Times New Roman"/>
                <w:color w:val="auto"/>
                <w:highlight w:val="none"/>
              </w:rPr>
              <w:t>经</w:t>
            </w:r>
            <w:r>
              <w:rPr>
                <w:rStyle w:val="72"/>
                <w:rFonts w:hint="eastAsia" w:ascii="Times New Roman" w:hAnsi="Times New Roman" w:eastAsia="宋体"/>
                <w:color w:val="auto"/>
                <w:highlight w:val="none"/>
                <w:lang w:val="en-US" w:eastAsia="zh-CN"/>
              </w:rPr>
              <w:t>浓缩罐处理</w:t>
            </w:r>
            <w:r>
              <w:rPr>
                <w:rStyle w:val="72"/>
                <w:rFonts w:ascii="Times New Roman" w:hAnsi="Times New Roman"/>
                <w:color w:val="auto"/>
                <w:highlight w:val="none"/>
              </w:rPr>
              <w:t>后，暂存于清水池中，回用于生产</w:t>
            </w:r>
          </w:p>
        </w:tc>
        <w:tc>
          <w:tcPr>
            <w:tcW w:w="389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eastAsia="宋体"/>
                <w:color w:val="auto"/>
                <w:kern w:val="2"/>
                <w:sz w:val="21"/>
                <w:szCs w:val="22"/>
                <w:highlight w:val="none"/>
                <w:lang w:val="en-US" w:eastAsia="zh-CN" w:bidi="ar-SA"/>
              </w:rPr>
            </w:pPr>
            <w:r>
              <w:rPr>
                <w:rFonts w:hint="eastAsia"/>
                <w:color w:val="auto"/>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7"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color w:val="auto"/>
                <w:highlight w:val="none"/>
              </w:rPr>
            </w:pPr>
          </w:p>
        </w:tc>
        <w:tc>
          <w:tcPr>
            <w:tcW w:w="1137"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Style w:val="72"/>
                <w:rFonts w:hint="eastAsia" w:ascii="Times New Roman" w:hAnsi="Times New Roman" w:eastAsia="宋体"/>
                <w:color w:val="auto"/>
                <w:highlight w:val="none"/>
                <w:lang w:eastAsia="zh-CN"/>
              </w:rPr>
            </w:pPr>
            <w:r>
              <w:rPr>
                <w:rStyle w:val="72"/>
                <w:rFonts w:ascii="Times New Roman" w:hAnsi="Times New Roman"/>
                <w:color w:val="auto"/>
                <w:highlight w:val="none"/>
              </w:rPr>
              <w:t>初期雨水</w:t>
            </w:r>
          </w:p>
        </w:tc>
        <w:tc>
          <w:tcPr>
            <w:tcW w:w="105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SS</w:t>
            </w:r>
          </w:p>
        </w:tc>
        <w:tc>
          <w:tcPr>
            <w:tcW w:w="2280"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color w:val="auto"/>
                <w:highlight w:val="none"/>
                <w:lang w:val="en-US" w:eastAsia="zh-CN"/>
              </w:rPr>
            </w:pPr>
            <w:r>
              <w:rPr>
                <w:rFonts w:hint="eastAsia"/>
                <w:color w:val="auto"/>
                <w:highlight w:val="none"/>
                <w:lang w:val="en-US" w:eastAsia="zh-CN"/>
              </w:rPr>
              <w:t>①设置180m³初期雨水池，初期雨水经过沉淀后，回用于生产</w:t>
            </w:r>
          </w:p>
          <w:p>
            <w:pPr>
              <w:rPr>
                <w:rFonts w:hint="default" w:eastAsia="宋体"/>
                <w:color w:val="auto"/>
                <w:highlight w:val="none"/>
                <w:lang w:val="en-US" w:eastAsia="zh-CN"/>
              </w:rPr>
            </w:pPr>
            <w:r>
              <w:rPr>
                <w:rFonts w:hint="eastAsia"/>
                <w:color w:val="auto"/>
                <w:highlight w:val="none"/>
                <w:lang w:val="en-US" w:eastAsia="zh-CN"/>
              </w:rPr>
              <w:t>②临海厂界设置挡水墙</w:t>
            </w:r>
          </w:p>
        </w:tc>
        <w:tc>
          <w:tcPr>
            <w:tcW w:w="389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Style w:val="72"/>
                <w:rFonts w:hint="eastAsia" w:ascii="Times New Roman" w:hAnsi="Times New Roman" w:eastAsia="宋体"/>
                <w:color w:val="auto"/>
                <w:highlight w:val="none"/>
                <w:lang w:val="en-US" w:eastAsia="zh-CN"/>
              </w:rPr>
            </w:pPr>
            <w:r>
              <w:rPr>
                <w:rStyle w:val="72"/>
                <w:rFonts w:hint="eastAsia" w:ascii="Times New Roman" w:hAnsi="Times New Roman" w:eastAsia="宋体"/>
                <w:color w:val="auto"/>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87"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color w:val="auto"/>
                <w:highlight w:val="none"/>
              </w:rPr>
            </w:pPr>
          </w:p>
        </w:tc>
        <w:tc>
          <w:tcPr>
            <w:tcW w:w="1137"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Style w:val="72"/>
                <w:rFonts w:hint="default" w:ascii="Times New Roman" w:hAnsi="Times New Roman" w:eastAsia="宋体"/>
                <w:color w:val="auto"/>
                <w:highlight w:val="none"/>
                <w:lang w:val="en-US" w:eastAsia="zh-CN"/>
              </w:rPr>
            </w:pPr>
            <w:r>
              <w:rPr>
                <w:rStyle w:val="72"/>
                <w:rFonts w:hint="eastAsia" w:ascii="Times New Roman" w:hAnsi="Times New Roman" w:eastAsia="宋体"/>
                <w:color w:val="auto"/>
                <w:highlight w:val="none"/>
                <w:lang w:val="en-US" w:eastAsia="zh-CN"/>
              </w:rPr>
              <w:t>车辆冲洗废水</w:t>
            </w:r>
          </w:p>
        </w:tc>
        <w:tc>
          <w:tcPr>
            <w:tcW w:w="105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SS</w:t>
            </w:r>
          </w:p>
        </w:tc>
        <w:tc>
          <w:tcPr>
            <w:tcW w:w="2280"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宋体" w:cs="Times New Roman"/>
                <w:color w:val="auto"/>
                <w:kern w:val="2"/>
                <w:sz w:val="21"/>
                <w:szCs w:val="21"/>
                <w:highlight w:val="none"/>
                <w:lang w:val="en-US" w:eastAsia="zh-CN" w:bidi="zh-CN"/>
              </w:rPr>
            </w:pPr>
            <w:r>
              <w:rPr>
                <w:rFonts w:hint="eastAsia" w:ascii="Times New Roman" w:hAnsi="Times New Roman" w:eastAsia="宋体" w:cs="Times New Roman"/>
                <w:color w:val="auto"/>
                <w:kern w:val="2"/>
                <w:sz w:val="21"/>
                <w:szCs w:val="21"/>
                <w:highlight w:val="none"/>
                <w:lang w:val="en-US" w:eastAsia="zh-CN" w:bidi="zh-CN"/>
              </w:rPr>
              <w:t>进出口设施车辆冲洗区，冲洗水经沉淀后循环使用，不外排。</w:t>
            </w:r>
          </w:p>
        </w:tc>
        <w:tc>
          <w:tcPr>
            <w:tcW w:w="389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Style w:val="72"/>
                <w:rFonts w:hint="default" w:ascii="Times New Roman" w:hAnsi="Times New Roman" w:eastAsia="宋体"/>
                <w:color w:val="auto"/>
                <w:highlight w:val="none"/>
                <w:lang w:val="en-US" w:eastAsia="zh-CN"/>
              </w:rPr>
            </w:pPr>
            <w:r>
              <w:rPr>
                <w:rStyle w:val="72"/>
                <w:rFonts w:hint="eastAsia" w:ascii="Times New Roman" w:hAnsi="Times New Roman" w:eastAsia="宋体"/>
                <w:color w:val="auto"/>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声环境</w:t>
            </w:r>
          </w:p>
        </w:tc>
        <w:tc>
          <w:tcPr>
            <w:tcW w:w="1137"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color w:val="auto"/>
                <w:highlight w:val="none"/>
              </w:rPr>
              <w:t>厂界噪声</w:t>
            </w:r>
          </w:p>
        </w:tc>
        <w:tc>
          <w:tcPr>
            <w:tcW w:w="105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color w:val="auto"/>
                <w:highlight w:val="none"/>
              </w:rPr>
              <w:t>连续等效A声级</w:t>
            </w:r>
          </w:p>
        </w:tc>
        <w:tc>
          <w:tcPr>
            <w:tcW w:w="2280"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color w:val="auto"/>
                <w:highlight w:val="none"/>
              </w:rPr>
              <w:t>设备采取隔声降噪减振和消声等措施</w:t>
            </w:r>
          </w:p>
        </w:tc>
        <w:tc>
          <w:tcPr>
            <w:tcW w:w="389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Fonts w:hint="eastAsia"/>
                <w:color w:val="auto"/>
                <w:highlight w:val="none"/>
                <w:lang w:val="en-US" w:eastAsia="zh-CN"/>
              </w:rPr>
              <w:t>北侧厂界执行</w:t>
            </w:r>
            <w:r>
              <w:rPr>
                <w:color w:val="auto"/>
                <w:highlight w:val="none"/>
              </w:rPr>
              <w:t>《工业企业厂界环境噪声排放标准》(GB12348-2008)</w:t>
            </w:r>
            <w:r>
              <w:rPr>
                <w:rFonts w:hint="eastAsia"/>
                <w:color w:val="auto"/>
                <w:highlight w:val="none"/>
                <w:lang w:val="en-US" w:eastAsia="zh-CN"/>
              </w:rPr>
              <w:t>执行4a类，其他厂界执行2类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7"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电磁辐射</w:t>
            </w:r>
          </w:p>
        </w:tc>
        <w:tc>
          <w:tcPr>
            <w:tcW w:w="1137"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w:t>
            </w:r>
          </w:p>
        </w:tc>
        <w:tc>
          <w:tcPr>
            <w:tcW w:w="105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w:t>
            </w:r>
          </w:p>
        </w:tc>
        <w:tc>
          <w:tcPr>
            <w:tcW w:w="2280"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w:t>
            </w:r>
          </w:p>
        </w:tc>
        <w:tc>
          <w:tcPr>
            <w:tcW w:w="389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7"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固体废物</w:t>
            </w:r>
          </w:p>
        </w:tc>
        <w:tc>
          <w:tcPr>
            <w:tcW w:w="1137"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color w:val="auto"/>
                <w:highlight w:val="none"/>
              </w:rPr>
              <w:t>职工生活过程</w:t>
            </w:r>
          </w:p>
        </w:tc>
        <w:tc>
          <w:tcPr>
            <w:tcW w:w="105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color w:val="auto"/>
                <w:highlight w:val="none"/>
              </w:rPr>
              <w:t>生活垃圾</w:t>
            </w:r>
          </w:p>
        </w:tc>
        <w:tc>
          <w:tcPr>
            <w:tcW w:w="2280"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color w:val="auto"/>
                <w:highlight w:val="none"/>
              </w:rPr>
              <w:t>设置存放点，环卫部门清运</w:t>
            </w:r>
          </w:p>
        </w:tc>
        <w:tc>
          <w:tcPr>
            <w:tcW w:w="3898"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color w:val="auto"/>
                <w:highlight w:val="none"/>
              </w:rPr>
              <w:t>《一般工业固体废物贮存和填埋污染控制标准》(GB18599-2020)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7"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p>
        </w:tc>
        <w:tc>
          <w:tcPr>
            <w:tcW w:w="1137" w:type="dxa"/>
            <w:vMerge w:val="restart"/>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color w:val="auto"/>
                <w:highlight w:val="none"/>
              </w:rPr>
              <w:t>一般工业固废</w:t>
            </w:r>
          </w:p>
        </w:tc>
        <w:tc>
          <w:tcPr>
            <w:tcW w:w="105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color w:val="auto"/>
                <w:highlight w:val="none"/>
              </w:rPr>
            </w:pPr>
            <w:r>
              <w:rPr>
                <w:color w:val="auto"/>
                <w:highlight w:val="none"/>
              </w:rPr>
              <w:t>石料粉尘</w:t>
            </w:r>
          </w:p>
        </w:tc>
        <w:tc>
          <w:tcPr>
            <w:tcW w:w="2280"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color w:val="auto"/>
                <w:highlight w:val="none"/>
              </w:rPr>
            </w:pPr>
            <w:r>
              <w:rPr>
                <w:color w:val="auto"/>
                <w:highlight w:val="none"/>
              </w:rPr>
              <w:t>外卖综合利用</w:t>
            </w:r>
          </w:p>
        </w:tc>
        <w:tc>
          <w:tcPr>
            <w:tcW w:w="3898"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7"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p>
        </w:tc>
        <w:tc>
          <w:tcPr>
            <w:tcW w:w="1137"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color w:val="auto"/>
                <w:highlight w:val="none"/>
              </w:rPr>
            </w:pPr>
          </w:p>
        </w:tc>
        <w:tc>
          <w:tcPr>
            <w:tcW w:w="105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color w:val="auto"/>
                <w:highlight w:val="none"/>
              </w:rPr>
            </w:pPr>
            <w:r>
              <w:rPr>
                <w:color w:val="auto"/>
                <w:highlight w:val="none"/>
              </w:rPr>
              <w:t>沉淀污泥</w:t>
            </w:r>
          </w:p>
        </w:tc>
        <w:tc>
          <w:tcPr>
            <w:tcW w:w="2280"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color w:val="auto"/>
                <w:highlight w:val="none"/>
              </w:rPr>
            </w:pPr>
            <w:r>
              <w:rPr>
                <w:color w:val="auto"/>
                <w:highlight w:val="none"/>
              </w:rPr>
              <w:t>外卖综合利用</w:t>
            </w:r>
          </w:p>
        </w:tc>
        <w:tc>
          <w:tcPr>
            <w:tcW w:w="3898"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7" w:type="dxa"/>
            <w:vMerge w:val="continue"/>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p>
        </w:tc>
        <w:tc>
          <w:tcPr>
            <w:tcW w:w="1137"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Fonts w:hint="eastAsia" w:eastAsia="宋体"/>
                <w:color w:val="auto"/>
                <w:highlight w:val="none"/>
                <w:lang w:val="en-US" w:eastAsia="zh-CN"/>
              </w:rPr>
            </w:pPr>
            <w:r>
              <w:rPr>
                <w:rFonts w:hint="eastAsia"/>
                <w:color w:val="auto"/>
                <w:highlight w:val="none"/>
                <w:lang w:val="en-US" w:eastAsia="zh-CN"/>
              </w:rPr>
              <w:t>危险废物</w:t>
            </w:r>
          </w:p>
        </w:tc>
        <w:tc>
          <w:tcPr>
            <w:tcW w:w="105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Fonts w:hint="eastAsia" w:eastAsia="宋体"/>
                <w:color w:val="auto"/>
                <w:highlight w:val="none"/>
                <w:lang w:val="en-US" w:eastAsia="zh-CN"/>
              </w:rPr>
            </w:pPr>
            <w:r>
              <w:rPr>
                <w:rFonts w:hint="eastAsia"/>
                <w:color w:val="auto"/>
                <w:highlight w:val="none"/>
                <w:lang w:val="en-US" w:eastAsia="zh-CN"/>
              </w:rPr>
              <w:t>废机油</w:t>
            </w:r>
          </w:p>
        </w:tc>
        <w:tc>
          <w:tcPr>
            <w:tcW w:w="2280"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Fonts w:hint="default" w:eastAsia="宋体"/>
                <w:color w:val="auto"/>
                <w:highlight w:val="none"/>
                <w:lang w:val="en-US" w:eastAsia="zh-CN"/>
              </w:rPr>
            </w:pPr>
            <w:r>
              <w:rPr>
                <w:rFonts w:hint="eastAsia"/>
                <w:color w:val="auto"/>
                <w:highlight w:val="none"/>
                <w:lang w:val="en-US" w:eastAsia="zh-CN"/>
              </w:rPr>
              <w:t>贮存于6m</w:t>
            </w:r>
            <w:r>
              <w:rPr>
                <w:rFonts w:hint="eastAsia"/>
                <w:color w:val="auto"/>
                <w:highlight w:val="none"/>
                <w:vertAlign w:val="superscript"/>
                <w:lang w:val="en-US" w:eastAsia="zh-CN"/>
              </w:rPr>
              <w:t>2</w:t>
            </w:r>
            <w:r>
              <w:rPr>
                <w:rFonts w:hint="eastAsia"/>
                <w:color w:val="auto"/>
                <w:highlight w:val="none"/>
                <w:lang w:val="en-US" w:eastAsia="zh-CN"/>
              </w:rPr>
              <w:t>危废间，定期委托有资质的单位处理</w:t>
            </w:r>
          </w:p>
        </w:tc>
        <w:tc>
          <w:tcPr>
            <w:tcW w:w="3898"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hint="eastAsia" w:ascii="Times New Roman" w:hAnsi="Times New Roman" w:eastAsia="宋体"/>
                <w:color w:val="auto"/>
                <w:highlight w:val="none"/>
                <w:lang w:val="en-US" w:eastAsia="zh-CN"/>
              </w:rPr>
            </w:pPr>
            <w:r>
              <w:rPr>
                <w:color w:val="auto"/>
                <w:sz w:val="21"/>
                <w:szCs w:val="21"/>
                <w:highlight w:val="none"/>
              </w:rPr>
              <w:t>《危险废物贮存污染控制标准》(GB18597-2001)</w:t>
            </w:r>
            <w:r>
              <w:rPr>
                <w:rStyle w:val="72"/>
                <w:rFonts w:hint="eastAsia" w:ascii="Times New Roman" w:hAnsi="Times New Roman" w:eastAsia="宋体"/>
                <w:color w:val="auto"/>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7"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土壤及地下水</w:t>
            </w:r>
          </w:p>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污染防治措施</w:t>
            </w:r>
          </w:p>
        </w:tc>
        <w:tc>
          <w:tcPr>
            <w:tcW w:w="8373" w:type="dxa"/>
            <w:gridSpan w:val="4"/>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color w:val="auto"/>
                <w:sz w:val="21"/>
                <w:szCs w:val="21"/>
                <w:highlight w:val="none"/>
                <w:lang w:val="en-US" w:eastAsia="zh-CN"/>
              </w:rPr>
            </w:pPr>
            <w:r>
              <w:rPr>
                <w:rStyle w:val="72"/>
                <w:rFonts w:hint="eastAsia" w:ascii="Times New Roman" w:hAnsi="Times New Roman" w:eastAsia="宋体"/>
                <w:color w:val="auto"/>
                <w:highlight w:val="none"/>
                <w:lang w:val="en-US" w:eastAsia="zh-CN"/>
              </w:rPr>
              <w:t>①</w:t>
            </w:r>
            <w:r>
              <w:rPr>
                <w:rFonts w:hint="eastAsia"/>
                <w:color w:val="auto"/>
                <w:sz w:val="21"/>
                <w:szCs w:val="21"/>
                <w:highlight w:val="none"/>
                <w:lang w:val="en-US" w:eastAsia="zh-CN"/>
              </w:rPr>
              <w:t>危废间为重点防渗</w:t>
            </w:r>
          </w:p>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Style w:val="72"/>
                <w:rFonts w:hint="eastAsia" w:ascii="Times New Roman" w:hAnsi="Times New Roman" w:eastAsia="宋体"/>
                <w:color w:val="auto"/>
                <w:highlight w:val="none"/>
                <w:lang w:eastAsia="zh-CN"/>
              </w:rPr>
            </w:pPr>
            <w:r>
              <w:rPr>
                <w:rFonts w:hint="eastAsia"/>
                <w:color w:val="auto"/>
                <w:sz w:val="21"/>
                <w:szCs w:val="21"/>
                <w:highlight w:val="none"/>
                <w:lang w:val="en-US" w:eastAsia="zh-CN"/>
              </w:rPr>
              <w:t>②</w:t>
            </w:r>
            <w:r>
              <w:rPr>
                <w:color w:val="auto"/>
                <w:sz w:val="21"/>
                <w:szCs w:val="21"/>
                <w:highlight w:val="none"/>
              </w:rPr>
              <w:t>厂区道路</w:t>
            </w:r>
            <w:r>
              <w:rPr>
                <w:rFonts w:hint="eastAsia"/>
                <w:color w:val="auto"/>
                <w:sz w:val="21"/>
                <w:szCs w:val="21"/>
                <w:highlight w:val="none"/>
              </w:rPr>
              <w:t>及</w:t>
            </w:r>
            <w:r>
              <w:rPr>
                <w:color w:val="auto"/>
                <w:sz w:val="21"/>
                <w:szCs w:val="21"/>
                <w:highlight w:val="none"/>
              </w:rPr>
              <w:t>厂房</w:t>
            </w:r>
            <w:r>
              <w:rPr>
                <w:rFonts w:hint="eastAsia"/>
                <w:color w:val="auto"/>
                <w:sz w:val="21"/>
                <w:szCs w:val="21"/>
                <w:highlight w:val="none"/>
                <w:lang w:val="en-US" w:eastAsia="zh-CN"/>
              </w:rPr>
              <w:t>做地面硬化</w:t>
            </w:r>
            <w:r>
              <w:rPr>
                <w:color w:val="auto"/>
                <w:sz w:val="21"/>
                <w:szCs w:val="21"/>
                <w:highlight w:val="none"/>
              </w:rPr>
              <w:t>简单防渗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7"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生态保护措施</w:t>
            </w:r>
          </w:p>
        </w:tc>
        <w:tc>
          <w:tcPr>
            <w:tcW w:w="8373" w:type="dxa"/>
            <w:gridSpan w:val="4"/>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7"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环境风险</w:t>
            </w:r>
          </w:p>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防范措施</w:t>
            </w:r>
          </w:p>
        </w:tc>
        <w:tc>
          <w:tcPr>
            <w:tcW w:w="8373" w:type="dxa"/>
            <w:gridSpan w:val="4"/>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color w:val="auto"/>
                <w:highlight w:val="none"/>
              </w:rPr>
              <w:t>提高生产安全意识，定期检查设备，减小设备漏电引发火灾的可能性；配备消防设施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7" w:type="dxa"/>
            <w:noWrap w:val="0"/>
            <w:vAlign w:val="center"/>
          </w:tcPr>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其他环境</w:t>
            </w:r>
          </w:p>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textAlignment w:val="auto"/>
              <w:rPr>
                <w:rStyle w:val="72"/>
                <w:rFonts w:ascii="Times New Roman" w:hAnsi="Times New Roman"/>
                <w:color w:val="auto"/>
                <w:highlight w:val="none"/>
              </w:rPr>
            </w:pPr>
            <w:r>
              <w:rPr>
                <w:rStyle w:val="72"/>
                <w:rFonts w:ascii="Times New Roman" w:hAnsi="Times New Roman"/>
                <w:color w:val="auto"/>
                <w:highlight w:val="none"/>
              </w:rPr>
              <w:t>管理要求</w:t>
            </w:r>
          </w:p>
        </w:tc>
        <w:tc>
          <w:tcPr>
            <w:tcW w:w="8373"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color w:val="auto"/>
                <w:sz w:val="21"/>
                <w:szCs w:val="21"/>
                <w:highlight w:val="none"/>
              </w:rPr>
            </w:pPr>
            <w:r>
              <w:rPr>
                <w:rFonts w:hint="default"/>
                <w:color w:val="auto"/>
                <w:sz w:val="21"/>
                <w:szCs w:val="21"/>
                <w:highlight w:val="none"/>
              </w:rPr>
              <w:t>①设立专门的环保机构，配备专职环保工作人员。</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color w:val="auto"/>
                <w:sz w:val="21"/>
                <w:szCs w:val="21"/>
                <w:highlight w:val="none"/>
              </w:rPr>
            </w:pPr>
            <w:r>
              <w:rPr>
                <w:rFonts w:hint="default"/>
                <w:color w:val="auto"/>
                <w:sz w:val="21"/>
                <w:szCs w:val="21"/>
                <w:highlight w:val="none"/>
              </w:rPr>
              <w:t>②建立日常环境管理制度和环境管理工作计划。</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default"/>
                <w:color w:val="auto"/>
                <w:sz w:val="21"/>
                <w:szCs w:val="21"/>
                <w:highlight w:val="none"/>
              </w:rPr>
            </w:pPr>
            <w:r>
              <w:rPr>
                <w:rFonts w:hint="default"/>
                <w:color w:val="auto"/>
                <w:sz w:val="21"/>
                <w:szCs w:val="21"/>
                <w:highlight w:val="none"/>
              </w:rPr>
              <w:t>③加强环保设施运行管理维护，建立环保设施运行台账，确保环保设施正常运行及污染物稳定达标排放。</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color w:val="auto"/>
                <w:sz w:val="21"/>
                <w:szCs w:val="21"/>
                <w:highlight w:val="none"/>
                <w:lang w:val="en-US" w:eastAsia="zh-CN"/>
              </w:rPr>
            </w:pPr>
            <w:r>
              <w:rPr>
                <w:rFonts w:hint="eastAsia"/>
                <w:color w:val="auto"/>
                <w:sz w:val="21"/>
                <w:szCs w:val="21"/>
                <w:highlight w:val="none"/>
                <w:lang w:val="en-US" w:eastAsia="zh-CN"/>
              </w:rPr>
              <w:t>④企业投产前应</w:t>
            </w:r>
            <w:r>
              <w:rPr>
                <w:rFonts w:hint="eastAsia" w:ascii="Times New Roman" w:hAnsi="Times New Roman" w:cs="Times New Roman"/>
                <w:color w:val="auto"/>
                <w:sz w:val="21"/>
                <w:szCs w:val="21"/>
                <w:highlight w:val="none"/>
                <w:lang w:val="en-US" w:eastAsia="zh-CN"/>
              </w:rPr>
              <w:t>当</w:t>
            </w:r>
            <w:r>
              <w:rPr>
                <w:rFonts w:hint="default" w:ascii="Times New Roman" w:hAnsi="Times New Roman" w:cs="Times New Roman"/>
                <w:color w:val="auto"/>
                <w:sz w:val="21"/>
                <w:szCs w:val="21"/>
                <w:highlight w:val="none"/>
                <w:lang w:val="en-US" w:eastAsia="zh-CN"/>
              </w:rPr>
              <w:t>依法申领排污许可证</w:t>
            </w:r>
            <w:r>
              <w:rPr>
                <w:rFonts w:hint="eastAsia" w:ascii="Times New Roman" w:hAnsi="Times New Roman" w:cs="Times New Roman"/>
                <w:color w:val="auto"/>
                <w:sz w:val="21"/>
                <w:szCs w:val="21"/>
                <w:highlight w:val="none"/>
                <w:lang w:val="en-US" w:eastAsia="zh-CN"/>
              </w:rPr>
              <w:t>。</w:t>
            </w:r>
          </w:p>
          <w:p>
            <w:pPr>
              <w:pStyle w:val="63"/>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color w:val="auto"/>
                <w:highlight w:val="none"/>
              </w:rPr>
            </w:pPr>
            <w:r>
              <w:rPr>
                <w:rFonts w:hint="eastAsia" w:ascii="Times New Roman" w:hAnsi="Times New Roman" w:eastAsia="宋体" w:cs="Times New Roman"/>
                <w:color w:val="auto"/>
                <w:kern w:val="2"/>
                <w:sz w:val="21"/>
                <w:szCs w:val="21"/>
                <w:highlight w:val="none"/>
                <w:lang w:val="en-US" w:eastAsia="zh-CN" w:bidi="ar-SA"/>
              </w:rPr>
              <w:t>⑤</w:t>
            </w:r>
            <w:r>
              <w:rPr>
                <w:rFonts w:hint="default" w:ascii="Times New Roman" w:hAnsi="Times New Roman" w:eastAsia="宋体" w:cs="Times New Roman"/>
                <w:color w:val="auto"/>
                <w:kern w:val="2"/>
                <w:sz w:val="21"/>
                <w:szCs w:val="21"/>
                <w:highlight w:val="none"/>
                <w:lang w:val="en-US" w:eastAsia="zh-CN" w:bidi="ar-SA"/>
              </w:rPr>
              <w:t>建设单位应强化环境保护主体责任，落实建设项目环境保护“三同时”制度，本工程竣工后的验收程序、验收自查、验收监测方案和报告编制、验收监测技术均应按照技术指南的要求进行</w:t>
            </w:r>
            <w:r>
              <w:rPr>
                <w:rFonts w:hint="eastAsia" w:ascii="Times New Roman" w:hAnsi="Times New Roman" w:cs="Times New Roman"/>
                <w:color w:val="auto"/>
                <w:kern w:val="2"/>
                <w:sz w:val="21"/>
                <w:szCs w:val="21"/>
                <w:highlight w:val="none"/>
                <w:lang w:val="en-US" w:eastAsia="zh-CN" w:bidi="ar-SA"/>
              </w:rPr>
              <w:t>。</w:t>
            </w:r>
          </w:p>
        </w:tc>
      </w:tr>
    </w:tbl>
    <w:p>
      <w:pPr>
        <w:pStyle w:val="63"/>
        <w:outlineLvl w:val="0"/>
        <w:rPr>
          <w:rFonts w:hint="default" w:ascii="Times New Roman" w:hAnsi="Times New Roman" w:eastAsia="黑体" w:cs="Times New Roman"/>
          <w:snapToGrid w:val="0"/>
          <w:color w:val="auto"/>
          <w:kern w:val="0"/>
          <w:sz w:val="30"/>
          <w:szCs w:val="30"/>
          <w:highlight w:val="none"/>
          <w:lang w:val="en-US" w:eastAsia="zh-CN" w:bidi="ar-SA"/>
        </w:rPr>
      </w:pPr>
      <w:r>
        <w:rPr>
          <w:snapToGrid w:val="0"/>
          <w:color w:val="auto"/>
          <w:highlight w:val="none"/>
        </w:rPr>
        <w:br w:type="page"/>
      </w:r>
      <w:r>
        <w:rPr>
          <w:rFonts w:hint="eastAsia" w:ascii="Times New Roman" w:hAnsi="Times New Roman" w:eastAsia="黑体" w:cs="Times New Roman"/>
          <w:snapToGrid w:val="0"/>
          <w:color w:val="auto"/>
          <w:kern w:val="0"/>
          <w:sz w:val="30"/>
          <w:szCs w:val="30"/>
          <w:highlight w:val="none"/>
          <w:lang w:val="en-US" w:eastAsia="zh-CN" w:bidi="ar-SA"/>
        </w:rPr>
        <w:t>六、结论</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noWrap w:val="0"/>
            <w:vAlign w:val="top"/>
          </w:tcPr>
          <w:p>
            <w:pPr>
              <w:keepNext w:val="0"/>
              <w:keepLines w:val="0"/>
              <w:pageBreakBefore w:val="0"/>
              <w:widowControl w:val="0"/>
              <w:kinsoku/>
              <w:wordWrap/>
              <w:overflowPunct/>
              <w:topLinePunct w:val="0"/>
              <w:autoSpaceDE/>
              <w:autoSpaceDN/>
              <w:bidi w:val="0"/>
              <w:adjustRightInd/>
              <w:snapToGrid/>
              <w:spacing w:before="95" w:beforeLines="30" w:line="360" w:lineRule="auto"/>
              <w:ind w:firstLine="480" w:firstLineChars="200"/>
              <w:textAlignment w:val="auto"/>
              <w:rPr>
                <w:rStyle w:val="60"/>
                <w:rFonts w:hint="eastAsia"/>
                <w:color w:val="auto"/>
                <w:highlight w:val="none"/>
              </w:rPr>
            </w:pPr>
            <w:r>
              <w:rPr>
                <w:rStyle w:val="60"/>
                <w:rFonts w:hint="eastAsia"/>
                <w:color w:val="auto"/>
                <w:highlight w:val="none"/>
              </w:rPr>
              <w:t>综上所述，</w:t>
            </w:r>
            <w:r>
              <w:rPr>
                <w:rFonts w:hint="eastAsia" w:ascii="Times New Roman" w:hAnsi="Times New Roman" w:eastAsia="宋体" w:cs="Times New Roman"/>
                <w:color w:val="auto"/>
                <w:sz w:val="24"/>
                <w:highlight w:val="none"/>
                <w:u w:val="none"/>
                <w:lang w:val="en-US" w:eastAsia="zh-CN"/>
              </w:rPr>
              <w:t>福鼎市嘉邦建材有限公司宁德核电场地平整富余渣料资源利用项目</w:t>
            </w:r>
            <w:r>
              <w:rPr>
                <w:rStyle w:val="60"/>
                <w:rFonts w:hint="eastAsia"/>
                <w:color w:val="auto"/>
                <w:highlight w:val="none"/>
              </w:rPr>
              <w:t>符合国家产业政策</w:t>
            </w:r>
            <w:r>
              <w:rPr>
                <w:rStyle w:val="60"/>
                <w:rFonts w:hint="eastAsia" w:eastAsia="宋体"/>
                <w:color w:val="auto"/>
                <w:highlight w:val="none"/>
                <w:lang w:eastAsia="zh-CN"/>
              </w:rPr>
              <w:t>，</w:t>
            </w:r>
            <w:r>
              <w:rPr>
                <w:rStyle w:val="60"/>
                <w:rFonts w:hint="eastAsia"/>
                <w:color w:val="auto"/>
                <w:highlight w:val="none"/>
              </w:rPr>
              <w:t>通过选用有效的环保治理措施，可实现</w:t>
            </w:r>
            <w:r>
              <w:rPr>
                <w:rStyle w:val="60"/>
                <w:rFonts w:hint="eastAsia" w:eastAsia="宋体"/>
                <w:color w:val="auto"/>
                <w:highlight w:val="none"/>
                <w:lang w:val="en-US" w:eastAsia="zh-CN"/>
              </w:rPr>
              <w:t>污染物</w:t>
            </w:r>
            <w:r>
              <w:rPr>
                <w:rStyle w:val="60"/>
                <w:rFonts w:hint="eastAsia"/>
                <w:color w:val="auto"/>
                <w:highlight w:val="none"/>
              </w:rPr>
              <w:t>达标排放。在工程建设中，严格执行“三同时”制度，项目投产后，在严格落实国家有关法律法规、技术规范及相关环保措施，落实各项环境风险防范措施，污染物达标排放的前提下，对周边环境影响较小，从环境保护的角度分析，该项目的建设是可行的。</w:t>
            </w: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bidi w:val="0"/>
              <w:spacing w:line="360" w:lineRule="auto"/>
              <w:rPr>
                <w:rStyle w:val="60"/>
                <w:rFonts w:hint="eastAsia"/>
                <w:color w:val="auto"/>
                <w:highlight w:val="none"/>
              </w:rPr>
            </w:pPr>
          </w:p>
          <w:p>
            <w:pPr>
              <w:pStyle w:val="2"/>
              <w:ind w:left="0" w:leftChars="0" w:firstLine="0" w:firstLineChars="0"/>
              <w:rPr>
                <w:rFonts w:hint="eastAsia"/>
                <w:color w:val="auto"/>
                <w:sz w:val="24"/>
                <w:szCs w:val="32"/>
                <w:highlight w:val="none"/>
                <w:vertAlign w:val="baseline"/>
              </w:rPr>
            </w:pPr>
          </w:p>
          <w:p>
            <w:pPr>
              <w:pStyle w:val="2"/>
              <w:ind w:left="0" w:leftChars="0" w:firstLine="0" w:firstLineChars="0"/>
              <w:rPr>
                <w:rFonts w:hint="eastAsia"/>
                <w:color w:val="auto"/>
                <w:sz w:val="24"/>
                <w:szCs w:val="32"/>
                <w:highlight w:val="none"/>
                <w:vertAlign w:val="baseline"/>
              </w:rPr>
            </w:pPr>
          </w:p>
          <w:p>
            <w:pPr>
              <w:pStyle w:val="2"/>
              <w:ind w:left="0" w:leftChars="0" w:firstLine="0" w:firstLineChars="0"/>
              <w:rPr>
                <w:rFonts w:hint="eastAsia"/>
                <w:color w:val="auto"/>
                <w:sz w:val="24"/>
                <w:szCs w:val="32"/>
                <w:highlight w:val="none"/>
                <w:vertAlign w:val="baseline"/>
              </w:rPr>
            </w:pPr>
          </w:p>
          <w:p>
            <w:pPr>
              <w:pStyle w:val="2"/>
              <w:ind w:left="0" w:leftChars="0" w:firstLine="0" w:firstLineChars="0"/>
              <w:rPr>
                <w:rFonts w:hint="eastAsia"/>
                <w:color w:val="auto"/>
                <w:sz w:val="24"/>
                <w:szCs w:val="32"/>
                <w:highlight w:val="none"/>
                <w:vertAlign w:val="baseline"/>
              </w:rPr>
            </w:pPr>
          </w:p>
          <w:p>
            <w:pPr>
              <w:pStyle w:val="2"/>
              <w:ind w:left="0" w:leftChars="0" w:firstLine="0" w:firstLineChars="0"/>
              <w:rPr>
                <w:rFonts w:hint="eastAsia"/>
                <w:color w:val="auto"/>
                <w:sz w:val="24"/>
                <w:szCs w:val="32"/>
                <w:highlight w:val="none"/>
                <w:vertAlign w:val="baseline"/>
              </w:rPr>
            </w:pPr>
          </w:p>
        </w:tc>
      </w:tr>
    </w:tbl>
    <w:p>
      <w:pPr>
        <w:ind w:firstLine="480"/>
        <w:rPr>
          <w:color w:val="auto"/>
          <w:highlight w:val="none"/>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20"/>
        <w:adjustRightInd w:val="0"/>
        <w:snapToGrid w:val="0"/>
        <w:spacing w:before="0" w:beforeAutospacing="0" w:after="0" w:afterAutospacing="0" w:line="648" w:lineRule="auto"/>
        <w:outlineLvl w:val="0"/>
        <w:rPr>
          <w:rFonts w:ascii="Times New Roman" w:hAnsi="Times New Roman" w:eastAsia="黑体"/>
          <w:snapToGrid w:val="0"/>
          <w:color w:val="auto"/>
          <w:sz w:val="32"/>
          <w:szCs w:val="32"/>
          <w:highlight w:val="none"/>
        </w:rPr>
      </w:pPr>
      <w:r>
        <w:rPr>
          <w:rFonts w:ascii="Times New Roman" w:hAnsi="Times New Roman" w:eastAsia="黑体"/>
          <w:snapToGrid w:val="0"/>
          <w:color w:val="auto"/>
          <w:sz w:val="32"/>
          <w:szCs w:val="32"/>
          <w:highlight w:val="none"/>
        </w:rPr>
        <w:t>附表</w:t>
      </w:r>
    </w:p>
    <w:p>
      <w:pPr>
        <w:pStyle w:val="98"/>
        <w:ind w:firstLine="800"/>
        <w:jc w:val="center"/>
        <w:rPr>
          <w:snapToGrid w:val="0"/>
          <w:color w:val="auto"/>
          <w:sz w:val="40"/>
          <w:szCs w:val="40"/>
          <w:highlight w:val="none"/>
        </w:rPr>
      </w:pPr>
      <w:r>
        <w:rPr>
          <w:snapToGrid w:val="0"/>
          <w:color w:val="auto"/>
          <w:sz w:val="40"/>
          <w:szCs w:val="40"/>
          <w:highlight w:val="none"/>
        </w:rPr>
        <w:t>建设项目污染物排放量汇总表</w:t>
      </w:r>
    </w:p>
    <w:tbl>
      <w:tblPr>
        <w:tblStyle w:val="2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559"/>
        <w:gridCol w:w="1559"/>
        <w:gridCol w:w="1276"/>
        <w:gridCol w:w="1701"/>
        <w:gridCol w:w="1559"/>
        <w:gridCol w:w="1761"/>
        <w:gridCol w:w="1959"/>
        <w:gridCol w:w="8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tcBorders>
              <w:tl2br w:val="single" w:color="auto" w:sz="4" w:space="0"/>
            </w:tcBorders>
            <w:noWrap w:val="0"/>
            <w:tcMar>
              <w:left w:w="28" w:type="dxa"/>
              <w:right w:w="28" w:type="dxa"/>
            </w:tcMar>
            <w:vAlign w:val="center"/>
          </w:tcPr>
          <w:p>
            <w:pPr>
              <w:pStyle w:val="65"/>
              <w:spacing w:beforeLines="0" w:afterLines="0" w:line="240" w:lineRule="auto"/>
              <w:jc w:val="center"/>
              <w:rPr>
                <w:rFonts w:ascii="Times New Roman" w:eastAsia="黑体"/>
                <w:snapToGrid w:val="0"/>
                <w:color w:val="auto"/>
                <w:spacing w:val="-6"/>
                <w:kern w:val="21"/>
                <w:szCs w:val="21"/>
                <w:highlight w:val="none"/>
              </w:rPr>
            </w:pPr>
            <w:r>
              <w:rPr>
                <w:rFonts w:hint="eastAsia" w:ascii="Times New Roman" w:eastAsia="黑体"/>
                <w:snapToGrid w:val="0"/>
                <w:color w:val="auto"/>
                <w:spacing w:val="-6"/>
                <w:kern w:val="21"/>
                <w:szCs w:val="21"/>
                <w:highlight w:val="none"/>
                <w:lang w:val="en-US" w:eastAsia="zh-CN"/>
              </w:rPr>
              <w:t xml:space="preserve">       </w:t>
            </w:r>
            <w:r>
              <w:rPr>
                <w:rFonts w:ascii="Times New Roman" w:eastAsia="黑体"/>
                <w:snapToGrid w:val="0"/>
                <w:color w:val="auto"/>
                <w:spacing w:val="-6"/>
                <w:kern w:val="21"/>
                <w:szCs w:val="21"/>
                <w:highlight w:val="none"/>
              </w:rPr>
              <w:t>项目</w:t>
            </w:r>
          </w:p>
          <w:p>
            <w:pPr>
              <w:pStyle w:val="65"/>
              <w:spacing w:beforeLines="0" w:afterLines="0" w:line="240" w:lineRule="auto"/>
              <w:ind w:firstLine="198" w:firstLineChars="100"/>
              <w:jc w:val="left"/>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分类</w:t>
            </w:r>
          </w:p>
        </w:tc>
        <w:tc>
          <w:tcPr>
            <w:tcW w:w="1559" w:type="dxa"/>
            <w:noWrap w:val="0"/>
            <w:tcMar>
              <w:left w:w="28" w:type="dxa"/>
              <w:right w:w="28" w:type="dxa"/>
            </w:tcMar>
            <w:vAlign w:val="center"/>
          </w:tcPr>
          <w:p>
            <w:pPr>
              <w:pStyle w:val="65"/>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污染物名称</w:t>
            </w:r>
          </w:p>
        </w:tc>
        <w:tc>
          <w:tcPr>
            <w:tcW w:w="1559" w:type="dxa"/>
            <w:noWrap w:val="0"/>
            <w:tcMar>
              <w:left w:w="28" w:type="dxa"/>
              <w:right w:w="28" w:type="dxa"/>
            </w:tcMar>
            <w:vAlign w:val="center"/>
          </w:tcPr>
          <w:p>
            <w:pPr>
              <w:pStyle w:val="65"/>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现有工程</w:t>
            </w:r>
          </w:p>
          <w:p>
            <w:pPr>
              <w:pStyle w:val="65"/>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排放量(固体废物产生量)</w:t>
            </w:r>
            <w:r>
              <w:rPr>
                <w:rFonts w:ascii="Times New Roman" w:eastAsia="黑体"/>
                <w:snapToGrid w:val="0"/>
                <w:color w:val="auto"/>
                <w:spacing w:val="-6"/>
                <w:kern w:val="21"/>
                <w:szCs w:val="21"/>
                <w:highlight w:val="none"/>
              </w:rPr>
              <w:fldChar w:fldCharType="begin"/>
            </w:r>
            <w:r>
              <w:rPr>
                <w:rFonts w:ascii="Times New Roman" w:eastAsia="黑体"/>
                <w:snapToGrid w:val="0"/>
                <w:color w:val="auto"/>
                <w:spacing w:val="-6"/>
                <w:kern w:val="21"/>
                <w:szCs w:val="21"/>
                <w:highlight w:val="none"/>
              </w:rPr>
              <w:instrText xml:space="preserve"> = 1 \* GB3 \* MERGEFORMAT </w:instrText>
            </w:r>
            <w:r>
              <w:rPr>
                <w:rFonts w:ascii="Times New Roman" w:eastAsia="黑体"/>
                <w:snapToGrid w:val="0"/>
                <w:color w:val="auto"/>
                <w:spacing w:val="-6"/>
                <w:kern w:val="21"/>
                <w:szCs w:val="21"/>
                <w:highlight w:val="none"/>
              </w:rPr>
              <w:fldChar w:fldCharType="separate"/>
            </w:r>
            <w:r>
              <w:rPr>
                <w:rFonts w:hint="eastAsia" w:hAnsi="宋体" w:cs="宋体"/>
                <w:color w:val="auto"/>
                <w:kern w:val="2"/>
                <w:szCs w:val="21"/>
                <w:highlight w:val="none"/>
              </w:rPr>
              <w:t>①</w:t>
            </w:r>
            <w:r>
              <w:rPr>
                <w:rFonts w:ascii="Times New Roman" w:eastAsia="黑体"/>
                <w:snapToGrid w:val="0"/>
                <w:color w:val="auto"/>
                <w:spacing w:val="-6"/>
                <w:kern w:val="21"/>
                <w:szCs w:val="21"/>
                <w:highlight w:val="none"/>
              </w:rPr>
              <w:fldChar w:fldCharType="end"/>
            </w:r>
          </w:p>
        </w:tc>
        <w:tc>
          <w:tcPr>
            <w:tcW w:w="1276" w:type="dxa"/>
            <w:noWrap w:val="0"/>
            <w:tcMar>
              <w:left w:w="28" w:type="dxa"/>
              <w:right w:w="28" w:type="dxa"/>
            </w:tcMar>
            <w:vAlign w:val="center"/>
          </w:tcPr>
          <w:p>
            <w:pPr>
              <w:pStyle w:val="65"/>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现有工程</w:t>
            </w:r>
          </w:p>
          <w:p>
            <w:pPr>
              <w:pStyle w:val="65"/>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许可排放量</w:t>
            </w:r>
          </w:p>
          <w:p>
            <w:pPr>
              <w:pStyle w:val="65"/>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fldChar w:fldCharType="begin"/>
            </w:r>
            <w:r>
              <w:rPr>
                <w:rFonts w:ascii="Times New Roman" w:eastAsia="黑体"/>
                <w:snapToGrid w:val="0"/>
                <w:color w:val="auto"/>
                <w:spacing w:val="-6"/>
                <w:kern w:val="21"/>
                <w:szCs w:val="21"/>
                <w:highlight w:val="none"/>
              </w:rPr>
              <w:instrText xml:space="preserve"> = 2 \* GB3 \* MERGEFORMAT </w:instrText>
            </w:r>
            <w:r>
              <w:rPr>
                <w:rFonts w:ascii="Times New Roman" w:eastAsia="黑体"/>
                <w:snapToGrid w:val="0"/>
                <w:color w:val="auto"/>
                <w:spacing w:val="-6"/>
                <w:kern w:val="21"/>
                <w:szCs w:val="21"/>
                <w:highlight w:val="none"/>
              </w:rPr>
              <w:fldChar w:fldCharType="separate"/>
            </w:r>
            <w:r>
              <w:rPr>
                <w:rFonts w:hint="eastAsia" w:hAnsi="宋体" w:cs="宋体"/>
                <w:snapToGrid w:val="0"/>
                <w:color w:val="auto"/>
                <w:spacing w:val="-6"/>
                <w:kern w:val="21"/>
                <w:szCs w:val="21"/>
                <w:highlight w:val="none"/>
              </w:rPr>
              <w:t>②</w:t>
            </w:r>
            <w:r>
              <w:rPr>
                <w:rFonts w:ascii="Times New Roman" w:eastAsia="黑体"/>
                <w:snapToGrid w:val="0"/>
                <w:color w:val="auto"/>
                <w:spacing w:val="-6"/>
                <w:kern w:val="21"/>
                <w:szCs w:val="21"/>
                <w:highlight w:val="none"/>
              </w:rPr>
              <w:fldChar w:fldCharType="end"/>
            </w:r>
          </w:p>
        </w:tc>
        <w:tc>
          <w:tcPr>
            <w:tcW w:w="1701" w:type="dxa"/>
            <w:noWrap w:val="0"/>
            <w:tcMar>
              <w:left w:w="28" w:type="dxa"/>
              <w:right w:w="28" w:type="dxa"/>
            </w:tcMar>
            <w:vAlign w:val="center"/>
          </w:tcPr>
          <w:p>
            <w:pPr>
              <w:pStyle w:val="65"/>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在建工程</w:t>
            </w:r>
          </w:p>
          <w:p>
            <w:pPr>
              <w:pStyle w:val="65"/>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排放量(固体废物产生量)</w:t>
            </w:r>
            <w:r>
              <w:rPr>
                <w:rFonts w:ascii="Times New Roman" w:eastAsia="黑体"/>
                <w:snapToGrid w:val="0"/>
                <w:color w:val="auto"/>
                <w:spacing w:val="-6"/>
                <w:kern w:val="21"/>
                <w:szCs w:val="21"/>
                <w:highlight w:val="none"/>
              </w:rPr>
              <w:fldChar w:fldCharType="begin"/>
            </w:r>
            <w:r>
              <w:rPr>
                <w:rFonts w:ascii="Times New Roman" w:eastAsia="黑体"/>
                <w:snapToGrid w:val="0"/>
                <w:color w:val="auto"/>
                <w:spacing w:val="-6"/>
                <w:kern w:val="21"/>
                <w:szCs w:val="21"/>
                <w:highlight w:val="none"/>
              </w:rPr>
              <w:instrText xml:space="preserve"> = 3 \* GB3 \* MERGEFORMAT </w:instrText>
            </w:r>
            <w:r>
              <w:rPr>
                <w:rFonts w:ascii="Times New Roman" w:eastAsia="黑体"/>
                <w:snapToGrid w:val="0"/>
                <w:color w:val="auto"/>
                <w:spacing w:val="-6"/>
                <w:kern w:val="21"/>
                <w:szCs w:val="21"/>
                <w:highlight w:val="none"/>
              </w:rPr>
              <w:fldChar w:fldCharType="separate"/>
            </w:r>
            <w:r>
              <w:rPr>
                <w:rFonts w:hint="eastAsia" w:hAnsi="宋体" w:cs="宋体"/>
                <w:color w:val="auto"/>
                <w:kern w:val="2"/>
                <w:szCs w:val="21"/>
                <w:highlight w:val="none"/>
              </w:rPr>
              <w:t>③</w:t>
            </w:r>
            <w:r>
              <w:rPr>
                <w:rFonts w:ascii="Times New Roman" w:eastAsia="黑体"/>
                <w:snapToGrid w:val="0"/>
                <w:color w:val="auto"/>
                <w:spacing w:val="-6"/>
                <w:kern w:val="21"/>
                <w:szCs w:val="21"/>
                <w:highlight w:val="none"/>
              </w:rPr>
              <w:fldChar w:fldCharType="end"/>
            </w:r>
          </w:p>
        </w:tc>
        <w:tc>
          <w:tcPr>
            <w:tcW w:w="1559" w:type="dxa"/>
            <w:noWrap w:val="0"/>
            <w:tcMar>
              <w:left w:w="28" w:type="dxa"/>
              <w:right w:w="28" w:type="dxa"/>
            </w:tcMar>
            <w:vAlign w:val="center"/>
          </w:tcPr>
          <w:p>
            <w:pPr>
              <w:pStyle w:val="65"/>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本项目</w:t>
            </w:r>
          </w:p>
          <w:p>
            <w:pPr>
              <w:pStyle w:val="65"/>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排放量(固体废物产生量)</w:t>
            </w:r>
            <w:r>
              <w:rPr>
                <w:rFonts w:ascii="Times New Roman" w:eastAsia="黑体"/>
                <w:snapToGrid w:val="0"/>
                <w:color w:val="auto"/>
                <w:spacing w:val="-6"/>
                <w:kern w:val="21"/>
                <w:szCs w:val="21"/>
                <w:highlight w:val="none"/>
              </w:rPr>
              <w:fldChar w:fldCharType="begin"/>
            </w:r>
            <w:r>
              <w:rPr>
                <w:rFonts w:ascii="Times New Roman" w:eastAsia="黑体"/>
                <w:snapToGrid w:val="0"/>
                <w:color w:val="auto"/>
                <w:spacing w:val="-6"/>
                <w:kern w:val="21"/>
                <w:szCs w:val="21"/>
                <w:highlight w:val="none"/>
              </w:rPr>
              <w:instrText xml:space="preserve"> = 4 \* GB3 \* MERGEFORMAT </w:instrText>
            </w:r>
            <w:r>
              <w:rPr>
                <w:rFonts w:ascii="Times New Roman" w:eastAsia="黑体"/>
                <w:snapToGrid w:val="0"/>
                <w:color w:val="auto"/>
                <w:spacing w:val="-6"/>
                <w:kern w:val="21"/>
                <w:szCs w:val="21"/>
                <w:highlight w:val="none"/>
              </w:rPr>
              <w:fldChar w:fldCharType="separate"/>
            </w:r>
            <w:r>
              <w:rPr>
                <w:rFonts w:hint="eastAsia" w:hAnsi="宋体" w:cs="宋体"/>
                <w:color w:val="auto"/>
                <w:kern w:val="2"/>
                <w:szCs w:val="21"/>
                <w:highlight w:val="none"/>
              </w:rPr>
              <w:t>④</w:t>
            </w:r>
            <w:r>
              <w:rPr>
                <w:rFonts w:ascii="Times New Roman" w:eastAsia="黑体"/>
                <w:snapToGrid w:val="0"/>
                <w:color w:val="auto"/>
                <w:spacing w:val="-6"/>
                <w:kern w:val="21"/>
                <w:szCs w:val="21"/>
                <w:highlight w:val="none"/>
              </w:rPr>
              <w:fldChar w:fldCharType="end"/>
            </w:r>
          </w:p>
        </w:tc>
        <w:tc>
          <w:tcPr>
            <w:tcW w:w="1761" w:type="dxa"/>
            <w:noWrap w:val="0"/>
            <w:tcMar>
              <w:left w:w="28" w:type="dxa"/>
              <w:right w:w="28" w:type="dxa"/>
            </w:tcMar>
            <w:vAlign w:val="center"/>
          </w:tcPr>
          <w:p>
            <w:pPr>
              <w:pStyle w:val="65"/>
              <w:spacing w:beforeLines="0" w:afterLines="0" w:line="240" w:lineRule="auto"/>
              <w:rPr>
                <w:rFonts w:ascii="Times New Roman" w:eastAsia="黑体"/>
                <w:snapToGrid w:val="0"/>
                <w:color w:val="auto"/>
                <w:spacing w:val="-16"/>
                <w:kern w:val="21"/>
                <w:szCs w:val="21"/>
                <w:highlight w:val="none"/>
              </w:rPr>
            </w:pPr>
            <w:r>
              <w:rPr>
                <w:rFonts w:ascii="Times New Roman" w:eastAsia="黑体"/>
                <w:snapToGrid w:val="0"/>
                <w:color w:val="auto"/>
                <w:spacing w:val="-16"/>
                <w:kern w:val="21"/>
                <w:szCs w:val="21"/>
                <w:highlight w:val="none"/>
              </w:rPr>
              <w:t>以新带老削减量</w:t>
            </w:r>
          </w:p>
          <w:p>
            <w:pPr>
              <w:pStyle w:val="65"/>
              <w:spacing w:beforeLines="0" w:afterLines="0" w:line="240" w:lineRule="auto"/>
              <w:rPr>
                <w:rFonts w:ascii="Times New Roman" w:eastAsia="黑体"/>
                <w:snapToGrid w:val="0"/>
                <w:color w:val="auto"/>
                <w:spacing w:val="-16"/>
                <w:kern w:val="21"/>
                <w:szCs w:val="21"/>
                <w:highlight w:val="none"/>
              </w:rPr>
            </w:pPr>
            <w:r>
              <w:rPr>
                <w:rFonts w:ascii="Times New Roman" w:eastAsia="黑体"/>
                <w:snapToGrid w:val="0"/>
                <w:color w:val="auto"/>
                <w:spacing w:val="-16"/>
                <w:kern w:val="21"/>
                <w:szCs w:val="21"/>
                <w:highlight w:val="none"/>
              </w:rPr>
              <w:t>(新建项目不填)</w:t>
            </w:r>
            <w:r>
              <w:rPr>
                <w:rFonts w:ascii="Times New Roman" w:eastAsia="黑体"/>
                <w:snapToGrid w:val="0"/>
                <w:color w:val="auto"/>
                <w:spacing w:val="-16"/>
                <w:kern w:val="21"/>
                <w:szCs w:val="21"/>
                <w:highlight w:val="none"/>
              </w:rPr>
              <w:fldChar w:fldCharType="begin"/>
            </w:r>
            <w:r>
              <w:rPr>
                <w:rFonts w:ascii="Times New Roman" w:eastAsia="黑体"/>
                <w:snapToGrid w:val="0"/>
                <w:color w:val="auto"/>
                <w:spacing w:val="-16"/>
                <w:kern w:val="21"/>
                <w:szCs w:val="21"/>
                <w:highlight w:val="none"/>
              </w:rPr>
              <w:instrText xml:space="preserve"> = 5 \* GB3 \* MERGEFORMAT </w:instrText>
            </w:r>
            <w:r>
              <w:rPr>
                <w:rFonts w:ascii="Times New Roman" w:eastAsia="黑体"/>
                <w:snapToGrid w:val="0"/>
                <w:color w:val="auto"/>
                <w:spacing w:val="-16"/>
                <w:kern w:val="21"/>
                <w:szCs w:val="21"/>
                <w:highlight w:val="none"/>
              </w:rPr>
              <w:fldChar w:fldCharType="separate"/>
            </w:r>
            <w:r>
              <w:rPr>
                <w:rFonts w:hint="eastAsia" w:hAnsi="宋体" w:cs="宋体"/>
                <w:color w:val="auto"/>
                <w:kern w:val="2"/>
                <w:szCs w:val="21"/>
                <w:highlight w:val="none"/>
              </w:rPr>
              <w:t>⑤</w:t>
            </w:r>
            <w:r>
              <w:rPr>
                <w:rFonts w:ascii="Times New Roman" w:eastAsia="黑体"/>
                <w:snapToGrid w:val="0"/>
                <w:color w:val="auto"/>
                <w:spacing w:val="-16"/>
                <w:kern w:val="21"/>
                <w:szCs w:val="21"/>
                <w:highlight w:val="none"/>
              </w:rPr>
              <w:fldChar w:fldCharType="end"/>
            </w:r>
          </w:p>
        </w:tc>
        <w:tc>
          <w:tcPr>
            <w:tcW w:w="1959" w:type="dxa"/>
            <w:noWrap w:val="0"/>
            <w:tcMar>
              <w:left w:w="28" w:type="dxa"/>
              <w:right w:w="28" w:type="dxa"/>
            </w:tcMar>
            <w:vAlign w:val="center"/>
          </w:tcPr>
          <w:p>
            <w:pPr>
              <w:pStyle w:val="65"/>
              <w:spacing w:beforeLines="0" w:afterLines="0" w:line="240" w:lineRule="auto"/>
              <w:rPr>
                <w:rFonts w:ascii="Times New Roman" w:eastAsia="黑体"/>
                <w:snapToGrid w:val="0"/>
                <w:color w:val="auto"/>
                <w:spacing w:val="-16"/>
                <w:kern w:val="21"/>
                <w:szCs w:val="21"/>
                <w:highlight w:val="none"/>
              </w:rPr>
            </w:pPr>
            <w:r>
              <w:rPr>
                <w:rFonts w:ascii="Times New Roman" w:eastAsia="黑体"/>
                <w:snapToGrid w:val="0"/>
                <w:color w:val="auto"/>
                <w:spacing w:val="-16"/>
                <w:kern w:val="21"/>
                <w:szCs w:val="21"/>
                <w:highlight w:val="none"/>
              </w:rPr>
              <w:t>本项目建成后</w:t>
            </w:r>
          </w:p>
          <w:p>
            <w:pPr>
              <w:pStyle w:val="65"/>
              <w:spacing w:beforeLines="0" w:afterLines="0" w:line="240" w:lineRule="auto"/>
              <w:rPr>
                <w:rFonts w:ascii="Times New Roman" w:eastAsia="黑体"/>
                <w:snapToGrid w:val="0"/>
                <w:color w:val="auto"/>
                <w:spacing w:val="-16"/>
                <w:kern w:val="21"/>
                <w:szCs w:val="21"/>
                <w:highlight w:val="none"/>
              </w:rPr>
            </w:pPr>
            <w:r>
              <w:rPr>
                <w:rFonts w:ascii="Times New Roman" w:eastAsia="黑体"/>
                <w:snapToGrid w:val="0"/>
                <w:color w:val="auto"/>
                <w:spacing w:val="-16"/>
                <w:kern w:val="21"/>
                <w:szCs w:val="21"/>
                <w:highlight w:val="none"/>
              </w:rPr>
              <w:t>全厂排放量(固体废物产生量)</w:t>
            </w:r>
            <w:r>
              <w:rPr>
                <w:rFonts w:ascii="Times New Roman" w:eastAsia="黑体"/>
                <w:snapToGrid w:val="0"/>
                <w:color w:val="auto"/>
                <w:spacing w:val="-16"/>
                <w:kern w:val="21"/>
                <w:szCs w:val="21"/>
                <w:highlight w:val="none"/>
              </w:rPr>
              <w:fldChar w:fldCharType="begin"/>
            </w:r>
            <w:r>
              <w:rPr>
                <w:rFonts w:ascii="Times New Roman" w:eastAsia="黑体"/>
                <w:snapToGrid w:val="0"/>
                <w:color w:val="auto"/>
                <w:spacing w:val="-16"/>
                <w:kern w:val="21"/>
                <w:szCs w:val="21"/>
                <w:highlight w:val="none"/>
              </w:rPr>
              <w:instrText xml:space="preserve"> = 6 \* GB3 \* MERGEFORMAT </w:instrText>
            </w:r>
            <w:r>
              <w:rPr>
                <w:rFonts w:ascii="Times New Roman" w:eastAsia="黑体"/>
                <w:snapToGrid w:val="0"/>
                <w:color w:val="auto"/>
                <w:spacing w:val="-16"/>
                <w:kern w:val="21"/>
                <w:szCs w:val="21"/>
                <w:highlight w:val="none"/>
              </w:rPr>
              <w:fldChar w:fldCharType="separate"/>
            </w:r>
            <w:r>
              <w:rPr>
                <w:rFonts w:hint="eastAsia" w:hAnsi="宋体" w:cs="宋体"/>
                <w:color w:val="auto"/>
                <w:kern w:val="2"/>
                <w:szCs w:val="21"/>
                <w:highlight w:val="none"/>
              </w:rPr>
              <w:t>⑥</w:t>
            </w:r>
            <w:r>
              <w:rPr>
                <w:rFonts w:ascii="Times New Roman" w:eastAsia="黑体"/>
                <w:snapToGrid w:val="0"/>
                <w:color w:val="auto"/>
                <w:spacing w:val="-16"/>
                <w:kern w:val="21"/>
                <w:szCs w:val="21"/>
                <w:highlight w:val="none"/>
              </w:rPr>
              <w:fldChar w:fldCharType="end"/>
            </w:r>
          </w:p>
        </w:tc>
        <w:tc>
          <w:tcPr>
            <w:tcW w:w="826" w:type="dxa"/>
            <w:noWrap w:val="0"/>
            <w:tcMar>
              <w:left w:w="28" w:type="dxa"/>
              <w:right w:w="28" w:type="dxa"/>
            </w:tcMar>
            <w:vAlign w:val="center"/>
          </w:tcPr>
          <w:p>
            <w:pPr>
              <w:pStyle w:val="65"/>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t>变化量</w:t>
            </w:r>
          </w:p>
          <w:p>
            <w:pPr>
              <w:pStyle w:val="65"/>
              <w:spacing w:beforeLines="0" w:afterLines="0" w:line="240" w:lineRule="auto"/>
              <w:rPr>
                <w:rFonts w:ascii="Times New Roman" w:eastAsia="黑体"/>
                <w:snapToGrid w:val="0"/>
                <w:color w:val="auto"/>
                <w:spacing w:val="-6"/>
                <w:kern w:val="21"/>
                <w:szCs w:val="21"/>
                <w:highlight w:val="none"/>
              </w:rPr>
            </w:pPr>
            <w:r>
              <w:rPr>
                <w:rFonts w:ascii="Times New Roman" w:eastAsia="黑体"/>
                <w:snapToGrid w:val="0"/>
                <w:color w:val="auto"/>
                <w:spacing w:val="-6"/>
                <w:kern w:val="21"/>
                <w:szCs w:val="21"/>
                <w:highlight w:val="none"/>
              </w:rPr>
              <w:fldChar w:fldCharType="begin"/>
            </w:r>
            <w:r>
              <w:rPr>
                <w:rFonts w:ascii="Times New Roman" w:eastAsia="黑体"/>
                <w:snapToGrid w:val="0"/>
                <w:color w:val="auto"/>
                <w:spacing w:val="-6"/>
                <w:kern w:val="21"/>
                <w:szCs w:val="21"/>
                <w:highlight w:val="none"/>
              </w:rPr>
              <w:instrText xml:space="preserve"> = 7 \* GB3 \* MERGEFORMAT </w:instrText>
            </w:r>
            <w:r>
              <w:rPr>
                <w:rFonts w:ascii="Times New Roman" w:eastAsia="黑体"/>
                <w:snapToGrid w:val="0"/>
                <w:color w:val="auto"/>
                <w:spacing w:val="-6"/>
                <w:kern w:val="21"/>
                <w:szCs w:val="21"/>
                <w:highlight w:val="none"/>
              </w:rPr>
              <w:fldChar w:fldCharType="separate"/>
            </w:r>
            <w:r>
              <w:rPr>
                <w:rFonts w:hint="eastAsia" w:hAnsi="宋体" w:cs="宋体"/>
                <w:color w:val="auto"/>
                <w:kern w:val="2"/>
                <w:szCs w:val="21"/>
                <w:highlight w:val="none"/>
              </w:rPr>
              <w:t>⑦</w:t>
            </w:r>
            <w:r>
              <w:rPr>
                <w:rFonts w:ascii="Times New Roman" w:eastAsia="黑体"/>
                <w:snapToGrid w:val="0"/>
                <w:color w:val="auto"/>
                <w:spacing w:val="-6"/>
                <w:kern w:val="21"/>
                <w:szCs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废气</w:t>
            </w:r>
          </w:p>
        </w:tc>
        <w:tc>
          <w:tcPr>
            <w:tcW w:w="1559"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颗粒物</w:t>
            </w:r>
          </w:p>
        </w:tc>
        <w:tc>
          <w:tcPr>
            <w:tcW w:w="1559"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276"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701"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559" w:type="dxa"/>
            <w:noWrap w:val="0"/>
            <w:vAlign w:val="center"/>
          </w:tcPr>
          <w:p>
            <w:pPr>
              <w:pStyle w:val="65"/>
              <w:spacing w:beforeLines="0" w:afterLines="0" w:line="240" w:lineRule="auto"/>
              <w:rPr>
                <w:rFonts w:ascii="Times New Roman"/>
                <w:snapToGrid w:val="0"/>
                <w:color w:val="auto"/>
                <w:kern w:val="21"/>
                <w:szCs w:val="21"/>
                <w:highlight w:val="none"/>
              </w:rPr>
            </w:pPr>
            <w:r>
              <w:rPr>
                <w:rFonts w:hint="eastAsia" w:ascii="Times New Roman" w:hAnsi="Times New Roman" w:eastAsia="宋体" w:cs="Times New Roman"/>
                <w:snapToGrid w:val="0"/>
                <w:color w:val="auto"/>
                <w:kern w:val="21"/>
                <w:szCs w:val="21"/>
                <w:highlight w:val="none"/>
                <w:lang w:val="en-US" w:eastAsia="zh-CN"/>
              </w:rPr>
              <w:t>1.086</w:t>
            </w:r>
            <w:r>
              <w:rPr>
                <w:rFonts w:ascii="Times New Roman"/>
                <w:color w:val="auto"/>
                <w:highlight w:val="none"/>
              </w:rPr>
              <w:t>t/a</w:t>
            </w:r>
          </w:p>
        </w:tc>
        <w:tc>
          <w:tcPr>
            <w:tcW w:w="1761"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959" w:type="dxa"/>
            <w:noWrap w:val="0"/>
            <w:vAlign w:val="center"/>
          </w:tcPr>
          <w:p>
            <w:pPr>
              <w:pStyle w:val="65"/>
              <w:spacing w:beforeLines="0" w:afterLines="0" w:line="240" w:lineRule="auto"/>
              <w:rPr>
                <w:rFonts w:ascii="Times New Roman"/>
                <w:b/>
                <w:snapToGrid w:val="0"/>
                <w:color w:val="auto"/>
                <w:kern w:val="21"/>
                <w:szCs w:val="21"/>
                <w:highlight w:val="none"/>
              </w:rPr>
            </w:pPr>
            <w:r>
              <w:rPr>
                <w:rFonts w:hint="eastAsia" w:ascii="Times New Roman" w:hAnsi="Times New Roman" w:eastAsia="宋体" w:cs="Times New Roman"/>
                <w:snapToGrid w:val="0"/>
                <w:color w:val="auto"/>
                <w:kern w:val="21"/>
                <w:szCs w:val="21"/>
                <w:highlight w:val="none"/>
                <w:lang w:val="en-US" w:eastAsia="zh-CN"/>
              </w:rPr>
              <w:t>1.086</w:t>
            </w:r>
            <w:r>
              <w:rPr>
                <w:rFonts w:ascii="Times New Roman"/>
                <w:color w:val="auto"/>
                <w:highlight w:val="none"/>
              </w:rPr>
              <w:t>t/a</w:t>
            </w:r>
          </w:p>
        </w:tc>
        <w:tc>
          <w:tcPr>
            <w:tcW w:w="826" w:type="dxa"/>
            <w:noWrap w:val="0"/>
            <w:vAlign w:val="center"/>
          </w:tcPr>
          <w:p>
            <w:pPr>
              <w:pStyle w:val="65"/>
              <w:spacing w:beforeLines="0" w:afterLines="0" w:line="240" w:lineRule="auto"/>
              <w:rPr>
                <w:rFonts w:ascii="Times New Roman"/>
                <w:snapToGrid w:val="0"/>
                <w:color w:val="auto"/>
                <w:kern w:val="21"/>
                <w:szCs w:val="21"/>
                <w:highlight w:val="none"/>
              </w:rPr>
            </w:pPr>
            <w:r>
              <w:rPr>
                <w:rFonts w:hint="eastAsia" w:ascii="Times New Roman" w:hAnsi="Times New Roman" w:eastAsia="宋体" w:cs="Times New Roman"/>
                <w:snapToGrid w:val="0"/>
                <w:color w:val="auto"/>
                <w:kern w:val="21"/>
                <w:szCs w:val="21"/>
                <w:highlight w:val="none"/>
                <w:lang w:val="en-US" w:eastAsia="zh-CN"/>
              </w:rPr>
              <w:t>1.086</w:t>
            </w:r>
            <w:r>
              <w:rPr>
                <w:rFonts w:ascii="Times New Roman"/>
                <w:color w:val="auto"/>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restart"/>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一般工业</w:t>
            </w:r>
          </w:p>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固体废物</w:t>
            </w:r>
          </w:p>
        </w:tc>
        <w:tc>
          <w:tcPr>
            <w:tcW w:w="1559" w:type="dxa"/>
            <w:noWrap w:val="0"/>
            <w:vAlign w:val="center"/>
          </w:tcPr>
          <w:p>
            <w:pPr>
              <w:spacing w:line="240" w:lineRule="auto"/>
              <w:jc w:val="center"/>
              <w:rPr>
                <w:color w:val="auto"/>
                <w:kern w:val="0"/>
                <w:highlight w:val="none"/>
              </w:rPr>
            </w:pPr>
            <w:r>
              <w:rPr>
                <w:color w:val="auto"/>
                <w:kern w:val="0"/>
                <w:highlight w:val="none"/>
              </w:rPr>
              <w:t>生活垃圾</w:t>
            </w:r>
          </w:p>
        </w:tc>
        <w:tc>
          <w:tcPr>
            <w:tcW w:w="1559"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276"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701"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559" w:type="dxa"/>
            <w:noWrap w:val="0"/>
            <w:vAlign w:val="center"/>
          </w:tcPr>
          <w:p>
            <w:pPr>
              <w:pStyle w:val="65"/>
              <w:spacing w:beforeLines="0" w:afterLines="0" w:line="240" w:lineRule="auto"/>
              <w:rPr>
                <w:rFonts w:ascii="Times New Roman"/>
                <w:snapToGrid w:val="0"/>
                <w:color w:val="auto"/>
                <w:kern w:val="21"/>
                <w:szCs w:val="21"/>
                <w:highlight w:val="none"/>
              </w:rPr>
            </w:pPr>
            <w:r>
              <w:rPr>
                <w:rFonts w:hint="eastAsia" w:ascii="Times New Roman"/>
                <w:snapToGrid w:val="0"/>
                <w:color w:val="auto"/>
                <w:kern w:val="21"/>
                <w:szCs w:val="21"/>
                <w:highlight w:val="none"/>
                <w:lang w:val="en-US" w:eastAsia="zh-CN"/>
              </w:rPr>
              <w:t>1.</w:t>
            </w:r>
            <w:r>
              <w:rPr>
                <w:rFonts w:ascii="Times New Roman"/>
                <w:snapToGrid w:val="0"/>
                <w:color w:val="auto"/>
                <w:kern w:val="21"/>
                <w:szCs w:val="21"/>
                <w:highlight w:val="none"/>
              </w:rPr>
              <w:t>6</w:t>
            </w:r>
            <w:r>
              <w:rPr>
                <w:rFonts w:hint="eastAsia" w:ascii="Times New Roman"/>
                <w:snapToGrid w:val="0"/>
                <w:color w:val="auto"/>
                <w:kern w:val="21"/>
                <w:szCs w:val="21"/>
                <w:highlight w:val="none"/>
                <w:lang w:val="en-US" w:eastAsia="zh-CN"/>
              </w:rPr>
              <w:t>5</w:t>
            </w:r>
            <w:r>
              <w:rPr>
                <w:rFonts w:ascii="Times New Roman"/>
                <w:color w:val="auto"/>
                <w:highlight w:val="none"/>
              </w:rPr>
              <w:t>t/a</w:t>
            </w:r>
          </w:p>
        </w:tc>
        <w:tc>
          <w:tcPr>
            <w:tcW w:w="1761"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959" w:type="dxa"/>
            <w:noWrap w:val="0"/>
            <w:vAlign w:val="center"/>
          </w:tcPr>
          <w:p>
            <w:pPr>
              <w:pStyle w:val="65"/>
              <w:spacing w:beforeLines="0" w:afterLines="0" w:line="240" w:lineRule="auto"/>
              <w:rPr>
                <w:rFonts w:ascii="Times New Roman"/>
                <w:snapToGrid w:val="0"/>
                <w:color w:val="auto"/>
                <w:kern w:val="21"/>
                <w:szCs w:val="21"/>
                <w:highlight w:val="none"/>
              </w:rPr>
            </w:pPr>
            <w:r>
              <w:rPr>
                <w:rFonts w:hint="eastAsia" w:ascii="Times New Roman"/>
                <w:snapToGrid w:val="0"/>
                <w:color w:val="auto"/>
                <w:kern w:val="21"/>
                <w:szCs w:val="21"/>
                <w:highlight w:val="none"/>
                <w:lang w:val="en-US" w:eastAsia="zh-CN"/>
              </w:rPr>
              <w:t>1.</w:t>
            </w:r>
            <w:r>
              <w:rPr>
                <w:rFonts w:ascii="Times New Roman"/>
                <w:snapToGrid w:val="0"/>
                <w:color w:val="auto"/>
                <w:kern w:val="21"/>
                <w:szCs w:val="21"/>
                <w:highlight w:val="none"/>
              </w:rPr>
              <w:t>6</w:t>
            </w:r>
            <w:r>
              <w:rPr>
                <w:rFonts w:hint="eastAsia" w:ascii="Times New Roman"/>
                <w:snapToGrid w:val="0"/>
                <w:color w:val="auto"/>
                <w:kern w:val="21"/>
                <w:szCs w:val="21"/>
                <w:highlight w:val="none"/>
                <w:lang w:val="en-US" w:eastAsia="zh-CN"/>
              </w:rPr>
              <w:t>5</w:t>
            </w:r>
            <w:r>
              <w:rPr>
                <w:rFonts w:ascii="Times New Roman"/>
                <w:color w:val="auto"/>
                <w:highlight w:val="none"/>
              </w:rPr>
              <w:t>t/a</w:t>
            </w:r>
          </w:p>
        </w:tc>
        <w:tc>
          <w:tcPr>
            <w:tcW w:w="826" w:type="dxa"/>
            <w:noWrap w:val="0"/>
            <w:vAlign w:val="center"/>
          </w:tcPr>
          <w:p>
            <w:pPr>
              <w:pStyle w:val="65"/>
              <w:spacing w:beforeLines="0" w:afterLines="0" w:line="240" w:lineRule="auto"/>
              <w:rPr>
                <w:rFonts w:ascii="Times New Roman"/>
                <w:snapToGrid w:val="0"/>
                <w:color w:val="auto"/>
                <w:kern w:val="21"/>
                <w:szCs w:val="21"/>
                <w:highlight w:val="none"/>
              </w:rPr>
            </w:pPr>
            <w:r>
              <w:rPr>
                <w:rFonts w:hint="eastAsia" w:ascii="Times New Roman"/>
                <w:snapToGrid w:val="0"/>
                <w:color w:val="auto"/>
                <w:kern w:val="21"/>
                <w:szCs w:val="21"/>
                <w:highlight w:val="none"/>
                <w:lang w:val="en-US" w:eastAsia="zh-CN"/>
              </w:rPr>
              <w:t>1.</w:t>
            </w:r>
            <w:r>
              <w:rPr>
                <w:rFonts w:ascii="Times New Roman"/>
                <w:snapToGrid w:val="0"/>
                <w:color w:val="auto"/>
                <w:kern w:val="21"/>
                <w:szCs w:val="21"/>
                <w:highlight w:val="none"/>
              </w:rPr>
              <w:t>6</w:t>
            </w:r>
            <w:r>
              <w:rPr>
                <w:rFonts w:hint="eastAsia" w:ascii="Times New Roman"/>
                <w:snapToGrid w:val="0"/>
                <w:color w:val="auto"/>
                <w:kern w:val="21"/>
                <w:szCs w:val="21"/>
                <w:highlight w:val="none"/>
                <w:lang w:val="en-US" w:eastAsia="zh-CN"/>
              </w:rPr>
              <w:t>5</w:t>
            </w:r>
            <w:r>
              <w:rPr>
                <w:rFonts w:ascii="Times New Roman"/>
                <w:color w:val="auto"/>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noWrap w:val="0"/>
            <w:vAlign w:val="center"/>
          </w:tcPr>
          <w:p>
            <w:pPr>
              <w:pStyle w:val="65"/>
              <w:spacing w:beforeLines="0" w:afterLines="0" w:line="240" w:lineRule="auto"/>
              <w:rPr>
                <w:rFonts w:ascii="Times New Roman"/>
                <w:snapToGrid w:val="0"/>
                <w:color w:val="auto"/>
                <w:kern w:val="21"/>
                <w:szCs w:val="21"/>
                <w:highlight w:val="none"/>
              </w:rPr>
            </w:pPr>
          </w:p>
        </w:tc>
        <w:tc>
          <w:tcPr>
            <w:tcW w:w="1559" w:type="dxa"/>
            <w:noWrap w:val="0"/>
            <w:vAlign w:val="center"/>
          </w:tcPr>
          <w:p>
            <w:pPr>
              <w:spacing w:line="240" w:lineRule="auto"/>
              <w:jc w:val="center"/>
              <w:rPr>
                <w:color w:val="auto"/>
                <w:kern w:val="0"/>
                <w:highlight w:val="none"/>
              </w:rPr>
            </w:pPr>
            <w:r>
              <w:rPr>
                <w:color w:val="auto"/>
                <w:kern w:val="0"/>
                <w:highlight w:val="none"/>
              </w:rPr>
              <w:t>收集的粉尘</w:t>
            </w:r>
          </w:p>
        </w:tc>
        <w:tc>
          <w:tcPr>
            <w:tcW w:w="1559"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276"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701"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559" w:type="dxa"/>
            <w:noWrap w:val="0"/>
            <w:vAlign w:val="center"/>
          </w:tcPr>
          <w:p>
            <w:pPr>
              <w:spacing w:line="240" w:lineRule="auto"/>
              <w:jc w:val="center"/>
              <w:rPr>
                <w:color w:val="auto"/>
                <w:kern w:val="0"/>
                <w:highlight w:val="none"/>
              </w:rPr>
            </w:pPr>
            <w:r>
              <w:rPr>
                <w:rFonts w:hint="eastAsia"/>
                <w:color w:val="auto"/>
                <w:kern w:val="0"/>
                <w:highlight w:val="none"/>
                <w:lang w:val="en-US" w:eastAsia="zh-CN"/>
              </w:rPr>
              <w:t>11.761</w:t>
            </w:r>
            <w:r>
              <w:rPr>
                <w:color w:val="auto"/>
                <w:kern w:val="0"/>
                <w:highlight w:val="none"/>
              </w:rPr>
              <w:t>t/a</w:t>
            </w:r>
          </w:p>
        </w:tc>
        <w:tc>
          <w:tcPr>
            <w:tcW w:w="1761"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959" w:type="dxa"/>
            <w:noWrap w:val="0"/>
            <w:vAlign w:val="center"/>
          </w:tcPr>
          <w:p>
            <w:pPr>
              <w:spacing w:line="240" w:lineRule="auto"/>
              <w:jc w:val="center"/>
              <w:rPr>
                <w:color w:val="auto"/>
                <w:kern w:val="0"/>
                <w:highlight w:val="none"/>
              </w:rPr>
            </w:pPr>
            <w:r>
              <w:rPr>
                <w:rFonts w:hint="eastAsia"/>
                <w:color w:val="auto"/>
                <w:kern w:val="0"/>
                <w:highlight w:val="none"/>
                <w:lang w:val="en-US" w:eastAsia="zh-CN"/>
              </w:rPr>
              <w:t>11.761</w:t>
            </w:r>
            <w:r>
              <w:rPr>
                <w:color w:val="auto"/>
                <w:highlight w:val="none"/>
              </w:rPr>
              <w:t>t/a</w:t>
            </w:r>
          </w:p>
        </w:tc>
        <w:tc>
          <w:tcPr>
            <w:tcW w:w="826" w:type="dxa"/>
            <w:noWrap w:val="0"/>
            <w:vAlign w:val="center"/>
          </w:tcPr>
          <w:p>
            <w:pPr>
              <w:spacing w:line="240" w:lineRule="auto"/>
              <w:jc w:val="center"/>
              <w:rPr>
                <w:rFonts w:ascii="Times New Roman"/>
                <w:snapToGrid w:val="0"/>
                <w:color w:val="auto"/>
                <w:kern w:val="21"/>
                <w:szCs w:val="21"/>
                <w:highlight w:val="none"/>
              </w:rPr>
            </w:pPr>
            <w:r>
              <w:rPr>
                <w:rFonts w:hint="eastAsia"/>
                <w:color w:val="auto"/>
                <w:kern w:val="0"/>
                <w:highlight w:val="none"/>
                <w:lang w:val="en-US" w:eastAsia="zh-CN"/>
              </w:rPr>
              <w:t>11.761</w:t>
            </w:r>
            <w:r>
              <w:rPr>
                <w:color w:val="auto"/>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noWrap w:val="0"/>
            <w:vAlign w:val="center"/>
          </w:tcPr>
          <w:p>
            <w:pPr>
              <w:pStyle w:val="65"/>
              <w:spacing w:beforeLines="0" w:afterLines="0" w:line="240" w:lineRule="auto"/>
              <w:rPr>
                <w:rFonts w:ascii="Times New Roman"/>
                <w:snapToGrid w:val="0"/>
                <w:color w:val="auto"/>
                <w:kern w:val="21"/>
                <w:szCs w:val="21"/>
                <w:highlight w:val="none"/>
              </w:rPr>
            </w:pPr>
          </w:p>
        </w:tc>
        <w:tc>
          <w:tcPr>
            <w:tcW w:w="1559" w:type="dxa"/>
            <w:noWrap w:val="0"/>
            <w:vAlign w:val="center"/>
          </w:tcPr>
          <w:p>
            <w:pPr>
              <w:spacing w:line="240" w:lineRule="auto"/>
              <w:jc w:val="center"/>
              <w:rPr>
                <w:color w:val="auto"/>
                <w:kern w:val="0"/>
                <w:highlight w:val="none"/>
              </w:rPr>
            </w:pPr>
            <w:r>
              <w:rPr>
                <w:color w:val="auto"/>
                <w:kern w:val="0"/>
                <w:highlight w:val="none"/>
              </w:rPr>
              <w:t>沉砂池污泥</w:t>
            </w:r>
          </w:p>
        </w:tc>
        <w:tc>
          <w:tcPr>
            <w:tcW w:w="1559"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276"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701" w:type="dxa"/>
            <w:noWrap w:val="0"/>
            <w:vAlign w:val="center"/>
          </w:tcPr>
          <w:p>
            <w:pPr>
              <w:pStyle w:val="65"/>
              <w:spacing w:beforeLines="0" w:afterLines="0" w:line="240" w:lineRule="auto"/>
              <w:rPr>
                <w:rFonts w:ascii="Times New Roman"/>
                <w:snapToGrid w:val="0"/>
                <w:color w:val="auto"/>
                <w:kern w:val="21"/>
                <w:szCs w:val="21"/>
                <w:highlight w:val="none"/>
              </w:rPr>
            </w:pPr>
            <w:r>
              <w:rPr>
                <w:rFonts w:ascii="Times New Roman"/>
                <w:snapToGrid w:val="0"/>
                <w:color w:val="auto"/>
                <w:kern w:val="21"/>
                <w:szCs w:val="21"/>
                <w:highlight w:val="none"/>
              </w:rPr>
              <w:t>/</w:t>
            </w:r>
          </w:p>
        </w:tc>
        <w:tc>
          <w:tcPr>
            <w:tcW w:w="1559" w:type="dxa"/>
            <w:noWrap w:val="0"/>
            <w:vAlign w:val="center"/>
          </w:tcPr>
          <w:p>
            <w:pPr>
              <w:spacing w:line="240" w:lineRule="auto"/>
              <w:jc w:val="center"/>
              <w:rPr>
                <w:rFonts w:hint="eastAsia" w:ascii="Times New Roman" w:hAnsi="Times New Roman" w:eastAsia="宋体" w:cs="Times New Roman"/>
                <w:color w:val="auto"/>
                <w:kern w:val="0"/>
                <w:highlight w:val="none"/>
                <w:lang w:val="en-US" w:eastAsia="zh-CN"/>
              </w:rPr>
            </w:pPr>
            <w:r>
              <w:rPr>
                <w:rFonts w:hint="eastAsia" w:ascii="Times New Roman" w:hAnsi="Times New Roman" w:eastAsia="宋体" w:cs="Times New Roman"/>
                <w:color w:val="auto"/>
                <w:kern w:val="0"/>
                <w:highlight w:val="none"/>
                <w:lang w:val="en-US" w:eastAsia="zh-CN"/>
              </w:rPr>
              <w:t>39985.267t/a</w:t>
            </w:r>
          </w:p>
        </w:tc>
        <w:tc>
          <w:tcPr>
            <w:tcW w:w="1761" w:type="dxa"/>
            <w:noWrap w:val="0"/>
            <w:vAlign w:val="center"/>
          </w:tcPr>
          <w:p>
            <w:pPr>
              <w:spacing w:line="240" w:lineRule="auto"/>
              <w:jc w:val="center"/>
              <w:rPr>
                <w:rFonts w:hint="eastAsia" w:ascii="Times New Roman" w:hAnsi="Times New Roman" w:eastAsia="宋体" w:cs="Times New Roman"/>
                <w:color w:val="auto"/>
                <w:kern w:val="0"/>
                <w:highlight w:val="none"/>
                <w:lang w:val="en-US" w:eastAsia="zh-CN"/>
              </w:rPr>
            </w:pPr>
            <w:r>
              <w:rPr>
                <w:rFonts w:hint="eastAsia" w:ascii="Times New Roman" w:hAnsi="Times New Roman" w:eastAsia="宋体" w:cs="Times New Roman"/>
                <w:color w:val="auto"/>
                <w:kern w:val="0"/>
                <w:highlight w:val="none"/>
                <w:lang w:val="en-US" w:eastAsia="zh-CN"/>
              </w:rPr>
              <w:t>/</w:t>
            </w:r>
          </w:p>
        </w:tc>
        <w:tc>
          <w:tcPr>
            <w:tcW w:w="1959" w:type="dxa"/>
            <w:noWrap w:val="0"/>
            <w:vAlign w:val="center"/>
          </w:tcPr>
          <w:p>
            <w:pPr>
              <w:spacing w:line="240" w:lineRule="auto"/>
              <w:jc w:val="center"/>
              <w:rPr>
                <w:rFonts w:hint="eastAsia" w:ascii="Times New Roman" w:hAnsi="Times New Roman" w:eastAsia="宋体" w:cs="Times New Roman"/>
                <w:color w:val="auto"/>
                <w:kern w:val="0"/>
                <w:highlight w:val="none"/>
                <w:lang w:val="en-US" w:eastAsia="zh-CN"/>
              </w:rPr>
            </w:pPr>
            <w:r>
              <w:rPr>
                <w:rFonts w:hint="eastAsia" w:ascii="Times New Roman" w:hAnsi="Times New Roman" w:eastAsia="宋体" w:cs="Times New Roman"/>
                <w:color w:val="auto"/>
                <w:kern w:val="0"/>
                <w:highlight w:val="none"/>
                <w:lang w:val="en-US" w:eastAsia="zh-CN"/>
              </w:rPr>
              <w:t>39985.267t/a</w:t>
            </w:r>
          </w:p>
        </w:tc>
        <w:tc>
          <w:tcPr>
            <w:tcW w:w="826" w:type="dxa"/>
            <w:noWrap w:val="0"/>
            <w:vAlign w:val="center"/>
          </w:tcPr>
          <w:p>
            <w:pPr>
              <w:spacing w:line="240" w:lineRule="auto"/>
              <w:jc w:val="center"/>
              <w:rPr>
                <w:rFonts w:hint="eastAsia" w:ascii="Times New Roman" w:hAnsi="Times New Roman" w:eastAsia="宋体" w:cs="Times New Roman"/>
                <w:color w:val="auto"/>
                <w:kern w:val="0"/>
                <w:highlight w:val="none"/>
                <w:lang w:val="en-US" w:eastAsia="zh-CN"/>
              </w:rPr>
            </w:pPr>
            <w:r>
              <w:rPr>
                <w:rFonts w:hint="eastAsia" w:ascii="Times New Roman" w:hAnsi="Times New Roman" w:eastAsia="宋体" w:cs="Times New Roman"/>
                <w:color w:val="auto"/>
                <w:kern w:val="0"/>
                <w:highlight w:val="none"/>
                <w:lang w:val="en-US" w:eastAsia="zh-CN"/>
              </w:rPr>
              <w:t>39985.267t/a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noWrap w:val="0"/>
            <w:vAlign w:val="center"/>
          </w:tcPr>
          <w:p>
            <w:pPr>
              <w:pStyle w:val="65"/>
              <w:spacing w:beforeLines="0" w:afterLines="0" w:line="240" w:lineRule="auto"/>
              <w:rPr>
                <w:rFonts w:ascii="Times New Roman"/>
                <w:snapToGrid w:val="0"/>
                <w:color w:val="auto"/>
                <w:kern w:val="21"/>
                <w:szCs w:val="21"/>
                <w:highlight w:val="none"/>
              </w:rPr>
            </w:pPr>
            <w:r>
              <w:rPr>
                <w:rFonts w:hint="eastAsia" w:ascii="Times New Roman"/>
                <w:snapToGrid w:val="0"/>
                <w:color w:val="auto"/>
                <w:kern w:val="21"/>
                <w:szCs w:val="21"/>
                <w:highlight w:val="none"/>
                <w:lang w:val="en-US" w:eastAsia="zh-CN"/>
              </w:rPr>
              <w:t>危险废物</w:t>
            </w:r>
          </w:p>
        </w:tc>
        <w:tc>
          <w:tcPr>
            <w:tcW w:w="1559" w:type="dxa"/>
            <w:noWrap w:val="0"/>
            <w:vAlign w:val="center"/>
          </w:tcPr>
          <w:p>
            <w:pPr>
              <w:jc w:val="center"/>
              <w:rPr>
                <w:color w:val="auto"/>
                <w:kern w:val="0"/>
                <w:highlight w:val="none"/>
              </w:rPr>
            </w:pPr>
            <w:r>
              <w:rPr>
                <w:rFonts w:hint="eastAsia" w:hAnsi="宋体"/>
                <w:color w:val="auto"/>
                <w:highlight w:val="none"/>
              </w:rPr>
              <w:t>废机油</w:t>
            </w:r>
          </w:p>
        </w:tc>
        <w:tc>
          <w:tcPr>
            <w:tcW w:w="1559" w:type="dxa"/>
            <w:noWrap w:val="0"/>
            <w:vAlign w:val="center"/>
          </w:tcPr>
          <w:p>
            <w:pPr>
              <w:pStyle w:val="65"/>
              <w:spacing w:beforeLines="0" w:afterLines="0" w:line="240" w:lineRule="auto"/>
              <w:rPr>
                <w:rFonts w:ascii="Times New Roman"/>
                <w:snapToGrid w:val="0"/>
                <w:color w:val="auto"/>
                <w:kern w:val="21"/>
                <w:szCs w:val="21"/>
                <w:highlight w:val="none"/>
              </w:rPr>
            </w:pPr>
            <w:r>
              <w:rPr>
                <w:rFonts w:hint="eastAsia" w:ascii="Times New Roman"/>
                <w:color w:val="auto"/>
                <w:kern w:val="2"/>
                <w:szCs w:val="24"/>
                <w:highlight w:val="none"/>
                <w:lang w:val="en-US" w:eastAsia="zh-CN"/>
              </w:rPr>
              <w:t>/</w:t>
            </w:r>
          </w:p>
        </w:tc>
        <w:tc>
          <w:tcPr>
            <w:tcW w:w="1276" w:type="dxa"/>
            <w:noWrap w:val="0"/>
            <w:vAlign w:val="center"/>
          </w:tcPr>
          <w:p>
            <w:pPr>
              <w:pStyle w:val="65"/>
              <w:spacing w:beforeLines="0" w:afterLines="0" w:line="240" w:lineRule="auto"/>
              <w:rPr>
                <w:rFonts w:ascii="Times New Roman"/>
                <w:snapToGrid w:val="0"/>
                <w:color w:val="auto"/>
                <w:kern w:val="21"/>
                <w:szCs w:val="21"/>
                <w:highlight w:val="none"/>
              </w:rPr>
            </w:pPr>
            <w:r>
              <w:rPr>
                <w:rFonts w:hint="eastAsia" w:ascii="Times New Roman"/>
                <w:color w:val="auto"/>
                <w:kern w:val="2"/>
                <w:szCs w:val="24"/>
                <w:highlight w:val="none"/>
                <w:lang w:val="en-US" w:eastAsia="zh-CN"/>
              </w:rPr>
              <w:t>/</w:t>
            </w:r>
          </w:p>
        </w:tc>
        <w:tc>
          <w:tcPr>
            <w:tcW w:w="1701" w:type="dxa"/>
            <w:noWrap w:val="0"/>
            <w:vAlign w:val="center"/>
          </w:tcPr>
          <w:p>
            <w:pPr>
              <w:pStyle w:val="65"/>
              <w:spacing w:beforeLines="0" w:afterLines="0" w:line="240" w:lineRule="auto"/>
              <w:rPr>
                <w:rFonts w:ascii="Times New Roman"/>
                <w:snapToGrid w:val="0"/>
                <w:color w:val="auto"/>
                <w:kern w:val="21"/>
                <w:szCs w:val="21"/>
                <w:highlight w:val="none"/>
              </w:rPr>
            </w:pPr>
            <w:r>
              <w:rPr>
                <w:rFonts w:hint="eastAsia" w:ascii="Times New Roman"/>
                <w:color w:val="auto"/>
                <w:kern w:val="2"/>
                <w:szCs w:val="24"/>
                <w:highlight w:val="none"/>
                <w:lang w:val="en-US" w:eastAsia="zh-CN"/>
              </w:rPr>
              <w:t>/</w:t>
            </w:r>
          </w:p>
        </w:tc>
        <w:tc>
          <w:tcPr>
            <w:tcW w:w="1559" w:type="dxa"/>
            <w:noWrap w:val="0"/>
            <w:vAlign w:val="center"/>
          </w:tcPr>
          <w:p>
            <w:pPr>
              <w:jc w:val="center"/>
              <w:rPr>
                <w:rFonts w:hint="eastAsia"/>
                <w:color w:val="auto"/>
                <w:highlight w:val="none"/>
                <w:lang w:val="en-US" w:eastAsia="zh-CN"/>
              </w:rPr>
            </w:pPr>
            <w:r>
              <w:rPr>
                <w:rFonts w:hint="eastAsia" w:hAnsi="宋体"/>
                <w:color w:val="auto"/>
                <w:highlight w:val="none"/>
              </w:rPr>
              <w:t>0.</w:t>
            </w:r>
            <w:r>
              <w:rPr>
                <w:rFonts w:hint="eastAsia" w:hAnsi="宋体"/>
                <w:color w:val="auto"/>
                <w:highlight w:val="none"/>
                <w:lang w:val="en-US" w:eastAsia="zh-CN"/>
              </w:rPr>
              <w:t>24</w:t>
            </w:r>
            <w:r>
              <w:rPr>
                <w:rFonts w:hint="eastAsia"/>
                <w:color w:val="auto"/>
                <w:szCs w:val="21"/>
                <w:highlight w:val="none"/>
              </w:rPr>
              <w:t>t/a</w:t>
            </w:r>
          </w:p>
        </w:tc>
        <w:tc>
          <w:tcPr>
            <w:tcW w:w="1761" w:type="dxa"/>
            <w:noWrap w:val="0"/>
            <w:vAlign w:val="center"/>
          </w:tcPr>
          <w:p>
            <w:pPr>
              <w:pStyle w:val="65"/>
              <w:spacing w:beforeLines="0" w:afterLines="0" w:line="240" w:lineRule="auto"/>
              <w:rPr>
                <w:rFonts w:ascii="Times New Roman"/>
                <w:snapToGrid w:val="0"/>
                <w:color w:val="auto"/>
                <w:kern w:val="21"/>
                <w:szCs w:val="21"/>
                <w:highlight w:val="none"/>
              </w:rPr>
            </w:pPr>
            <w:r>
              <w:rPr>
                <w:rFonts w:hint="eastAsia" w:ascii="Times New Roman"/>
                <w:snapToGrid w:val="0"/>
                <w:color w:val="auto"/>
                <w:kern w:val="21"/>
                <w:szCs w:val="21"/>
                <w:highlight w:val="none"/>
                <w:lang w:val="en-US" w:eastAsia="zh-CN"/>
              </w:rPr>
              <w:t>/</w:t>
            </w:r>
          </w:p>
        </w:tc>
        <w:tc>
          <w:tcPr>
            <w:tcW w:w="1959" w:type="dxa"/>
            <w:noWrap w:val="0"/>
            <w:vAlign w:val="center"/>
          </w:tcPr>
          <w:p>
            <w:pPr>
              <w:jc w:val="center"/>
              <w:rPr>
                <w:rFonts w:hint="eastAsia"/>
                <w:color w:val="auto"/>
                <w:highlight w:val="none"/>
                <w:lang w:val="en-US" w:eastAsia="zh-CN"/>
              </w:rPr>
            </w:pPr>
            <w:r>
              <w:rPr>
                <w:rFonts w:hint="eastAsia" w:hAnsi="宋体"/>
                <w:color w:val="auto"/>
                <w:highlight w:val="none"/>
              </w:rPr>
              <w:t>0.</w:t>
            </w:r>
            <w:r>
              <w:rPr>
                <w:rFonts w:hint="eastAsia" w:hAnsi="宋体"/>
                <w:color w:val="auto"/>
                <w:highlight w:val="none"/>
                <w:lang w:val="en-US" w:eastAsia="zh-CN"/>
              </w:rPr>
              <w:t>24</w:t>
            </w:r>
            <w:r>
              <w:rPr>
                <w:rFonts w:hint="eastAsia"/>
                <w:color w:val="auto"/>
                <w:szCs w:val="21"/>
                <w:highlight w:val="none"/>
              </w:rPr>
              <w:t>t/a</w:t>
            </w:r>
          </w:p>
        </w:tc>
        <w:tc>
          <w:tcPr>
            <w:tcW w:w="826" w:type="dxa"/>
            <w:noWrap w:val="0"/>
            <w:vAlign w:val="center"/>
          </w:tcPr>
          <w:p>
            <w:pPr>
              <w:jc w:val="center"/>
              <w:rPr>
                <w:rFonts w:ascii="Times New Roman"/>
                <w:snapToGrid w:val="0"/>
                <w:color w:val="auto"/>
                <w:kern w:val="21"/>
                <w:szCs w:val="21"/>
                <w:highlight w:val="none"/>
              </w:rPr>
            </w:pPr>
            <w:r>
              <w:rPr>
                <w:rFonts w:hint="eastAsia" w:hAnsi="宋体"/>
                <w:color w:val="auto"/>
                <w:highlight w:val="none"/>
              </w:rPr>
              <w:t>0.</w:t>
            </w:r>
            <w:r>
              <w:rPr>
                <w:rFonts w:hint="eastAsia" w:hAnsi="宋体"/>
                <w:color w:val="auto"/>
                <w:highlight w:val="none"/>
                <w:lang w:val="en-US" w:eastAsia="zh-CN"/>
              </w:rPr>
              <w:t>24</w:t>
            </w:r>
            <w:r>
              <w:rPr>
                <w:rFonts w:hint="eastAsia"/>
                <w:color w:val="auto"/>
                <w:szCs w:val="21"/>
                <w:highlight w:val="none"/>
              </w:rPr>
              <w:t>t/a</w:t>
            </w:r>
          </w:p>
        </w:tc>
      </w:tr>
    </w:tbl>
    <w:p>
      <w:pPr>
        <w:pStyle w:val="65"/>
        <w:spacing w:before="192" w:beforeLines="80" w:after="24"/>
        <w:ind w:firstLine="480"/>
        <w:jc w:val="left"/>
        <w:rPr>
          <w:rFonts w:ascii="Times New Roman"/>
          <w:snapToGrid w:val="0"/>
          <w:color w:val="auto"/>
          <w:spacing w:val="-6"/>
          <w:kern w:val="21"/>
          <w:szCs w:val="21"/>
          <w:highlight w:val="none"/>
        </w:rPr>
      </w:pPr>
      <w:r>
        <w:rPr>
          <w:rFonts w:ascii="Times New Roman"/>
          <w:snapToGrid w:val="0"/>
          <w:color w:val="auto"/>
          <w:kern w:val="21"/>
          <w:szCs w:val="21"/>
          <w:highlight w:val="none"/>
        </w:rPr>
        <w:t>注：</w:t>
      </w:r>
      <w:r>
        <w:rPr>
          <w:rFonts w:ascii="Times New Roman"/>
          <w:snapToGrid w:val="0"/>
          <w:color w:val="auto"/>
          <w:spacing w:val="-16"/>
          <w:kern w:val="21"/>
          <w:szCs w:val="21"/>
          <w:highlight w:val="none"/>
        </w:rPr>
        <w:fldChar w:fldCharType="begin"/>
      </w:r>
      <w:r>
        <w:rPr>
          <w:rFonts w:ascii="Times New Roman"/>
          <w:snapToGrid w:val="0"/>
          <w:color w:val="auto"/>
          <w:spacing w:val="-16"/>
          <w:kern w:val="21"/>
          <w:szCs w:val="21"/>
          <w:highlight w:val="none"/>
        </w:rPr>
        <w:instrText xml:space="preserve"> = 6 \* GB3 \* MERGEFORMAT </w:instrText>
      </w:r>
      <w:r>
        <w:rPr>
          <w:rFonts w:ascii="Times New Roman"/>
          <w:snapToGrid w:val="0"/>
          <w:color w:val="auto"/>
          <w:spacing w:val="-16"/>
          <w:kern w:val="21"/>
          <w:szCs w:val="21"/>
          <w:highlight w:val="none"/>
        </w:rPr>
        <w:fldChar w:fldCharType="separate"/>
      </w:r>
      <w:r>
        <w:rPr>
          <w:rFonts w:hint="eastAsia" w:hAnsi="宋体" w:cs="宋体"/>
          <w:color w:val="auto"/>
          <w:szCs w:val="21"/>
          <w:highlight w:val="none"/>
        </w:rPr>
        <w:t>⑥</w:t>
      </w:r>
      <w:r>
        <w:rPr>
          <w:rFonts w:ascii="Times New Roman"/>
          <w:snapToGrid w:val="0"/>
          <w:color w:val="auto"/>
          <w:spacing w:val="-16"/>
          <w:kern w:val="21"/>
          <w:szCs w:val="21"/>
          <w:highlight w:val="none"/>
        </w:rPr>
        <w:fldChar w:fldCharType="end"/>
      </w:r>
      <w:r>
        <w:rPr>
          <w:rFonts w:ascii="Times New Roman"/>
          <w:snapToGrid w:val="0"/>
          <w:color w:val="auto"/>
          <w:spacing w:val="-16"/>
          <w:kern w:val="21"/>
          <w:szCs w:val="21"/>
          <w:highlight w:val="none"/>
        </w:rPr>
        <w:t>=</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1 \* GB3 \* MERGEFORMAT </w:instrText>
      </w:r>
      <w:r>
        <w:rPr>
          <w:rFonts w:ascii="Times New Roman"/>
          <w:snapToGrid w:val="0"/>
          <w:color w:val="auto"/>
          <w:spacing w:val="-6"/>
          <w:kern w:val="21"/>
          <w:szCs w:val="21"/>
          <w:highlight w:val="none"/>
        </w:rPr>
        <w:fldChar w:fldCharType="separate"/>
      </w:r>
      <w:r>
        <w:rPr>
          <w:rFonts w:hint="eastAsia" w:hAnsi="宋体" w:cs="宋体"/>
          <w:color w:val="auto"/>
          <w:szCs w:val="21"/>
          <w:highlight w:val="none"/>
        </w:rPr>
        <w:t>①</w:t>
      </w:r>
      <w:r>
        <w:rPr>
          <w:rFonts w:ascii="Times New Roman"/>
          <w:snapToGrid w:val="0"/>
          <w:color w:val="auto"/>
          <w:spacing w:val="-6"/>
          <w:kern w:val="21"/>
          <w:szCs w:val="21"/>
          <w:highlight w:val="none"/>
        </w:rPr>
        <w:fldChar w:fldCharType="end"/>
      </w:r>
      <w:r>
        <w:rPr>
          <w:rFonts w:ascii="Times New Roman"/>
          <w:snapToGrid w:val="0"/>
          <w:color w:val="auto"/>
          <w:spacing w:val="-6"/>
          <w:kern w:val="21"/>
          <w:szCs w:val="21"/>
          <w:highlight w:val="none"/>
        </w:rPr>
        <w:t>+</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3 \* GB3 \* MERGEFORMAT </w:instrText>
      </w:r>
      <w:r>
        <w:rPr>
          <w:rFonts w:ascii="Times New Roman"/>
          <w:snapToGrid w:val="0"/>
          <w:color w:val="auto"/>
          <w:spacing w:val="-6"/>
          <w:kern w:val="21"/>
          <w:szCs w:val="21"/>
          <w:highlight w:val="none"/>
        </w:rPr>
        <w:fldChar w:fldCharType="separate"/>
      </w:r>
      <w:r>
        <w:rPr>
          <w:rFonts w:hint="eastAsia" w:hAnsi="宋体" w:cs="宋体"/>
          <w:color w:val="auto"/>
          <w:szCs w:val="21"/>
          <w:highlight w:val="none"/>
        </w:rPr>
        <w:t>③</w:t>
      </w:r>
      <w:r>
        <w:rPr>
          <w:rFonts w:ascii="Times New Roman"/>
          <w:snapToGrid w:val="0"/>
          <w:color w:val="auto"/>
          <w:spacing w:val="-6"/>
          <w:kern w:val="21"/>
          <w:szCs w:val="21"/>
          <w:highlight w:val="none"/>
        </w:rPr>
        <w:fldChar w:fldCharType="end"/>
      </w:r>
      <w:r>
        <w:rPr>
          <w:rFonts w:ascii="Times New Roman"/>
          <w:snapToGrid w:val="0"/>
          <w:color w:val="auto"/>
          <w:spacing w:val="-6"/>
          <w:kern w:val="21"/>
          <w:szCs w:val="21"/>
          <w:highlight w:val="none"/>
        </w:rPr>
        <w:t>+</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4 \* GB3 \* MERGEFORMAT </w:instrText>
      </w:r>
      <w:r>
        <w:rPr>
          <w:rFonts w:ascii="Times New Roman"/>
          <w:snapToGrid w:val="0"/>
          <w:color w:val="auto"/>
          <w:spacing w:val="-6"/>
          <w:kern w:val="21"/>
          <w:szCs w:val="21"/>
          <w:highlight w:val="none"/>
        </w:rPr>
        <w:fldChar w:fldCharType="separate"/>
      </w:r>
      <w:r>
        <w:rPr>
          <w:rFonts w:hint="eastAsia" w:hAnsi="宋体" w:cs="宋体"/>
          <w:color w:val="auto"/>
          <w:szCs w:val="21"/>
          <w:highlight w:val="none"/>
        </w:rPr>
        <w:t>④</w:t>
      </w:r>
      <w:r>
        <w:rPr>
          <w:rFonts w:ascii="Times New Roman"/>
          <w:snapToGrid w:val="0"/>
          <w:color w:val="auto"/>
          <w:spacing w:val="-6"/>
          <w:kern w:val="21"/>
          <w:szCs w:val="21"/>
          <w:highlight w:val="none"/>
        </w:rPr>
        <w:fldChar w:fldCharType="end"/>
      </w:r>
      <w:r>
        <w:rPr>
          <w:rFonts w:ascii="Times New Roman"/>
          <w:snapToGrid w:val="0"/>
          <w:color w:val="auto"/>
          <w:spacing w:val="-6"/>
          <w:kern w:val="21"/>
          <w:szCs w:val="21"/>
          <w:highlight w:val="none"/>
        </w:rPr>
        <w:t>-</w:t>
      </w:r>
      <w:r>
        <w:rPr>
          <w:rFonts w:ascii="Times New Roman"/>
          <w:snapToGrid w:val="0"/>
          <w:color w:val="auto"/>
          <w:spacing w:val="-16"/>
          <w:kern w:val="21"/>
          <w:szCs w:val="21"/>
          <w:highlight w:val="none"/>
        </w:rPr>
        <w:fldChar w:fldCharType="begin"/>
      </w:r>
      <w:r>
        <w:rPr>
          <w:rFonts w:ascii="Times New Roman"/>
          <w:snapToGrid w:val="0"/>
          <w:color w:val="auto"/>
          <w:spacing w:val="-16"/>
          <w:kern w:val="21"/>
          <w:szCs w:val="21"/>
          <w:highlight w:val="none"/>
        </w:rPr>
        <w:instrText xml:space="preserve"> = 5 \* GB3 \* MERGEFORMAT </w:instrText>
      </w:r>
      <w:r>
        <w:rPr>
          <w:rFonts w:ascii="Times New Roman"/>
          <w:snapToGrid w:val="0"/>
          <w:color w:val="auto"/>
          <w:spacing w:val="-16"/>
          <w:kern w:val="21"/>
          <w:szCs w:val="21"/>
          <w:highlight w:val="none"/>
        </w:rPr>
        <w:fldChar w:fldCharType="separate"/>
      </w:r>
      <w:r>
        <w:rPr>
          <w:rFonts w:hint="eastAsia" w:hAnsi="宋体" w:cs="宋体"/>
          <w:color w:val="auto"/>
          <w:szCs w:val="21"/>
          <w:highlight w:val="none"/>
        </w:rPr>
        <w:t>⑤</w:t>
      </w:r>
      <w:r>
        <w:rPr>
          <w:rFonts w:ascii="Times New Roman"/>
          <w:snapToGrid w:val="0"/>
          <w:color w:val="auto"/>
          <w:spacing w:val="-16"/>
          <w:kern w:val="21"/>
          <w:szCs w:val="21"/>
          <w:highlight w:val="none"/>
        </w:rPr>
        <w:fldChar w:fldCharType="end"/>
      </w:r>
      <w:r>
        <w:rPr>
          <w:rFonts w:ascii="Times New Roman"/>
          <w:snapToGrid w:val="0"/>
          <w:color w:val="auto"/>
          <w:spacing w:val="-16"/>
          <w:kern w:val="21"/>
          <w:szCs w:val="21"/>
          <w:highlight w:val="none"/>
        </w:rPr>
        <w:t>；</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7 \* GB3 \* MERGEFORMAT </w:instrText>
      </w:r>
      <w:r>
        <w:rPr>
          <w:rFonts w:ascii="Times New Roman"/>
          <w:snapToGrid w:val="0"/>
          <w:color w:val="auto"/>
          <w:spacing w:val="-6"/>
          <w:kern w:val="21"/>
          <w:szCs w:val="21"/>
          <w:highlight w:val="none"/>
        </w:rPr>
        <w:fldChar w:fldCharType="separate"/>
      </w:r>
      <w:r>
        <w:rPr>
          <w:rFonts w:hint="eastAsia" w:hAnsi="宋体" w:cs="宋体"/>
          <w:color w:val="auto"/>
          <w:szCs w:val="21"/>
          <w:highlight w:val="none"/>
        </w:rPr>
        <w:t>⑦</w:t>
      </w:r>
      <w:r>
        <w:rPr>
          <w:rFonts w:ascii="Times New Roman"/>
          <w:snapToGrid w:val="0"/>
          <w:color w:val="auto"/>
          <w:spacing w:val="-6"/>
          <w:kern w:val="21"/>
          <w:szCs w:val="21"/>
          <w:highlight w:val="none"/>
        </w:rPr>
        <w:fldChar w:fldCharType="end"/>
      </w:r>
      <w:r>
        <w:rPr>
          <w:rFonts w:ascii="Times New Roman"/>
          <w:snapToGrid w:val="0"/>
          <w:color w:val="auto"/>
          <w:spacing w:val="-6"/>
          <w:kern w:val="21"/>
          <w:szCs w:val="21"/>
          <w:highlight w:val="none"/>
        </w:rPr>
        <w:t>=</w:t>
      </w:r>
      <w:r>
        <w:rPr>
          <w:rFonts w:ascii="Times New Roman"/>
          <w:snapToGrid w:val="0"/>
          <w:color w:val="auto"/>
          <w:spacing w:val="-16"/>
          <w:kern w:val="21"/>
          <w:szCs w:val="21"/>
          <w:highlight w:val="none"/>
        </w:rPr>
        <w:fldChar w:fldCharType="begin"/>
      </w:r>
      <w:r>
        <w:rPr>
          <w:rFonts w:ascii="Times New Roman"/>
          <w:snapToGrid w:val="0"/>
          <w:color w:val="auto"/>
          <w:spacing w:val="-16"/>
          <w:kern w:val="21"/>
          <w:szCs w:val="21"/>
          <w:highlight w:val="none"/>
        </w:rPr>
        <w:instrText xml:space="preserve"> = 6 \* GB3 \* MERGEFORMAT </w:instrText>
      </w:r>
      <w:r>
        <w:rPr>
          <w:rFonts w:ascii="Times New Roman"/>
          <w:snapToGrid w:val="0"/>
          <w:color w:val="auto"/>
          <w:spacing w:val="-16"/>
          <w:kern w:val="21"/>
          <w:szCs w:val="21"/>
          <w:highlight w:val="none"/>
        </w:rPr>
        <w:fldChar w:fldCharType="separate"/>
      </w:r>
      <w:r>
        <w:rPr>
          <w:rFonts w:hint="eastAsia" w:hAnsi="宋体" w:cs="宋体"/>
          <w:color w:val="auto"/>
          <w:szCs w:val="21"/>
          <w:highlight w:val="none"/>
        </w:rPr>
        <w:t>⑥</w:t>
      </w:r>
      <w:r>
        <w:rPr>
          <w:rFonts w:ascii="Times New Roman"/>
          <w:snapToGrid w:val="0"/>
          <w:color w:val="auto"/>
          <w:spacing w:val="-16"/>
          <w:kern w:val="21"/>
          <w:szCs w:val="21"/>
          <w:highlight w:val="none"/>
        </w:rPr>
        <w:fldChar w:fldCharType="end"/>
      </w:r>
      <w:r>
        <w:rPr>
          <w:rFonts w:ascii="Times New Roman"/>
          <w:snapToGrid w:val="0"/>
          <w:color w:val="auto"/>
          <w:spacing w:val="-16"/>
          <w:kern w:val="21"/>
          <w:szCs w:val="21"/>
          <w:highlight w:val="none"/>
        </w:rPr>
        <w:t>-</w:t>
      </w:r>
      <w:r>
        <w:rPr>
          <w:rFonts w:ascii="Times New Roman"/>
          <w:snapToGrid w:val="0"/>
          <w:color w:val="auto"/>
          <w:spacing w:val="-6"/>
          <w:kern w:val="21"/>
          <w:szCs w:val="21"/>
          <w:highlight w:val="none"/>
        </w:rPr>
        <w:fldChar w:fldCharType="begin"/>
      </w:r>
      <w:r>
        <w:rPr>
          <w:rFonts w:ascii="Times New Roman"/>
          <w:snapToGrid w:val="0"/>
          <w:color w:val="auto"/>
          <w:spacing w:val="-6"/>
          <w:kern w:val="21"/>
          <w:szCs w:val="21"/>
          <w:highlight w:val="none"/>
        </w:rPr>
        <w:instrText xml:space="preserve"> = 1 \* GB3 \* MERGEFORMAT </w:instrText>
      </w:r>
      <w:r>
        <w:rPr>
          <w:rFonts w:ascii="Times New Roman"/>
          <w:snapToGrid w:val="0"/>
          <w:color w:val="auto"/>
          <w:spacing w:val="-6"/>
          <w:kern w:val="21"/>
          <w:szCs w:val="21"/>
          <w:highlight w:val="none"/>
        </w:rPr>
        <w:fldChar w:fldCharType="separate"/>
      </w:r>
      <w:r>
        <w:rPr>
          <w:rFonts w:hint="eastAsia" w:hAnsi="宋体" w:cs="宋体"/>
          <w:color w:val="auto"/>
          <w:szCs w:val="21"/>
          <w:highlight w:val="none"/>
        </w:rPr>
        <w:t>①</w:t>
      </w:r>
      <w:r>
        <w:rPr>
          <w:rFonts w:ascii="Times New Roman"/>
          <w:snapToGrid w:val="0"/>
          <w:color w:val="auto"/>
          <w:spacing w:val="-6"/>
          <w:kern w:val="21"/>
          <w:szCs w:val="21"/>
          <w:highlight w:val="none"/>
        </w:rPr>
        <w:fldChar w:fldCharType="end"/>
      </w:r>
    </w:p>
    <w:p>
      <w:pPr>
        <w:ind w:firstLine="480"/>
        <w:rPr>
          <w:color w:val="auto"/>
          <w:highlight w:val="none"/>
        </w:rPr>
      </w:pPr>
    </w:p>
    <w:p>
      <w:pPr>
        <w:ind w:firstLine="480"/>
        <w:rPr>
          <w:color w:val="auto"/>
          <w:highlight w:val="none"/>
        </w:rPr>
        <w:sectPr>
          <w:pgSz w:w="16838" w:h="11906" w:orient="landscape"/>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rPr>
          <w:rFonts w:hint="eastAsia"/>
          <w:color w:val="auto"/>
          <w:highlight w:val="none"/>
        </w:rPr>
      </w:pPr>
    </w:p>
    <w:sectPr>
      <w:headerReference r:id="rId6" w:type="default"/>
      <w:footerReference r:id="rId7" w:type="default"/>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宋体u.砸.葷.">
    <w:altName w:val="宋体"/>
    <w:panose1 w:val="00000000000000000000"/>
    <w:charset w:val="86"/>
    <w:family w:val="roman"/>
    <w:pitch w:val="default"/>
    <w:sig w:usb0="00000000" w:usb1="00000000" w:usb2="0000001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4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7E9EF6"/>
    <w:multiLevelType w:val="singleLevel"/>
    <w:tmpl w:val="0C7E9EF6"/>
    <w:lvl w:ilvl="0" w:tentative="0">
      <w:start w:val="1"/>
      <w:numFmt w:val="decimal"/>
      <w:suff w:val="nothing"/>
      <w:lvlText w:val="（%1）"/>
      <w:lvlJc w:val="left"/>
    </w:lvl>
  </w:abstractNum>
  <w:abstractNum w:abstractNumId="1">
    <w:nsid w:val="4F8DD58A"/>
    <w:multiLevelType w:val="singleLevel"/>
    <w:tmpl w:val="4F8DD58A"/>
    <w:lvl w:ilvl="0" w:tentative="0">
      <w:start w:val="1"/>
      <w:numFmt w:val="decimal"/>
      <w:suff w:val="nothing"/>
      <w:lvlText w:val="（%1）"/>
      <w:lvlJc w:val="left"/>
    </w:lvl>
  </w:abstractNum>
  <w:abstractNum w:abstractNumId="2">
    <w:nsid w:val="5E30C9EA"/>
    <w:multiLevelType w:val="singleLevel"/>
    <w:tmpl w:val="5E30C9EA"/>
    <w:lvl w:ilvl="0" w:tentative="0">
      <w:start w:val="1"/>
      <w:numFmt w:val="decimal"/>
      <w:suff w:val="nothing"/>
      <w:lvlText w:val="%1、"/>
      <w:lvlJc w:val="left"/>
    </w:lvl>
  </w:abstractNum>
  <w:abstractNum w:abstractNumId="3">
    <w:nsid w:val="7F0C3E49"/>
    <w:multiLevelType w:val="multilevel"/>
    <w:tmpl w:val="7F0C3E49"/>
    <w:lvl w:ilvl="0" w:tentative="0">
      <w:start w:val="1"/>
      <w:numFmt w:val="decimal"/>
      <w:pStyle w:val="57"/>
      <w:lvlText w:val="表%1"/>
      <w:lvlJc w:val="left"/>
      <w:pPr>
        <w:ind w:left="3113"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zMDllYTAzYWU3MjFmMzBjMjk5MDBjMThjNTM2MjQifQ=="/>
  </w:docVars>
  <w:rsids>
    <w:rsidRoot w:val="00A14947"/>
    <w:rsid w:val="00000861"/>
    <w:rsid w:val="0000205E"/>
    <w:rsid w:val="00005AAB"/>
    <w:rsid w:val="000060B3"/>
    <w:rsid w:val="000135C2"/>
    <w:rsid w:val="00013DB6"/>
    <w:rsid w:val="00024D0E"/>
    <w:rsid w:val="0004364B"/>
    <w:rsid w:val="00055DAC"/>
    <w:rsid w:val="000566B6"/>
    <w:rsid w:val="00061B1F"/>
    <w:rsid w:val="00062BDA"/>
    <w:rsid w:val="00063AA9"/>
    <w:rsid w:val="000733C4"/>
    <w:rsid w:val="00074783"/>
    <w:rsid w:val="00074C3A"/>
    <w:rsid w:val="000768D0"/>
    <w:rsid w:val="00077901"/>
    <w:rsid w:val="00077BD5"/>
    <w:rsid w:val="0008070B"/>
    <w:rsid w:val="000810AC"/>
    <w:rsid w:val="00081A02"/>
    <w:rsid w:val="00082231"/>
    <w:rsid w:val="00083FCF"/>
    <w:rsid w:val="00092D38"/>
    <w:rsid w:val="0009377B"/>
    <w:rsid w:val="00095530"/>
    <w:rsid w:val="0009785B"/>
    <w:rsid w:val="000A20C9"/>
    <w:rsid w:val="000A5B11"/>
    <w:rsid w:val="000A712D"/>
    <w:rsid w:val="000B058F"/>
    <w:rsid w:val="000B4467"/>
    <w:rsid w:val="000B4DB9"/>
    <w:rsid w:val="000C09AC"/>
    <w:rsid w:val="000C119D"/>
    <w:rsid w:val="000C767F"/>
    <w:rsid w:val="000D026B"/>
    <w:rsid w:val="000D03D3"/>
    <w:rsid w:val="000D265D"/>
    <w:rsid w:val="000D555E"/>
    <w:rsid w:val="000D5A44"/>
    <w:rsid w:val="000E3ED2"/>
    <w:rsid w:val="000E6E30"/>
    <w:rsid w:val="000F2514"/>
    <w:rsid w:val="001005DC"/>
    <w:rsid w:val="0010195C"/>
    <w:rsid w:val="00105F1D"/>
    <w:rsid w:val="001074DE"/>
    <w:rsid w:val="00113A30"/>
    <w:rsid w:val="001165D9"/>
    <w:rsid w:val="00117373"/>
    <w:rsid w:val="00121A48"/>
    <w:rsid w:val="00121B27"/>
    <w:rsid w:val="00127D9D"/>
    <w:rsid w:val="00131F42"/>
    <w:rsid w:val="001357F1"/>
    <w:rsid w:val="00140FA8"/>
    <w:rsid w:val="00142FEB"/>
    <w:rsid w:val="00143A2D"/>
    <w:rsid w:val="00145A41"/>
    <w:rsid w:val="00151675"/>
    <w:rsid w:val="00154CCD"/>
    <w:rsid w:val="00157435"/>
    <w:rsid w:val="0017504D"/>
    <w:rsid w:val="0017671A"/>
    <w:rsid w:val="00177422"/>
    <w:rsid w:val="00182E99"/>
    <w:rsid w:val="00183781"/>
    <w:rsid w:val="00184590"/>
    <w:rsid w:val="001870D1"/>
    <w:rsid w:val="0018781E"/>
    <w:rsid w:val="00191CAE"/>
    <w:rsid w:val="0019262D"/>
    <w:rsid w:val="001968F8"/>
    <w:rsid w:val="001A1944"/>
    <w:rsid w:val="001A1B35"/>
    <w:rsid w:val="001A48A2"/>
    <w:rsid w:val="001A673D"/>
    <w:rsid w:val="001A6F61"/>
    <w:rsid w:val="001A74B1"/>
    <w:rsid w:val="001B72B8"/>
    <w:rsid w:val="001C034E"/>
    <w:rsid w:val="001C2D59"/>
    <w:rsid w:val="001C69B3"/>
    <w:rsid w:val="001C7D9C"/>
    <w:rsid w:val="001D3453"/>
    <w:rsid w:val="001D5595"/>
    <w:rsid w:val="001D7874"/>
    <w:rsid w:val="001D7F22"/>
    <w:rsid w:val="001E25B4"/>
    <w:rsid w:val="001E5FC2"/>
    <w:rsid w:val="001E7B64"/>
    <w:rsid w:val="001F0F17"/>
    <w:rsid w:val="001F148E"/>
    <w:rsid w:val="001F3347"/>
    <w:rsid w:val="001F69E4"/>
    <w:rsid w:val="0021230F"/>
    <w:rsid w:val="002125B4"/>
    <w:rsid w:val="00213519"/>
    <w:rsid w:val="002155B8"/>
    <w:rsid w:val="00222AF0"/>
    <w:rsid w:val="00224839"/>
    <w:rsid w:val="002249B2"/>
    <w:rsid w:val="00226574"/>
    <w:rsid w:val="00227230"/>
    <w:rsid w:val="002278EC"/>
    <w:rsid w:val="0023280E"/>
    <w:rsid w:val="00236F6A"/>
    <w:rsid w:val="002375FD"/>
    <w:rsid w:val="002377D1"/>
    <w:rsid w:val="002406E5"/>
    <w:rsid w:val="0024369D"/>
    <w:rsid w:val="002503D6"/>
    <w:rsid w:val="002506BC"/>
    <w:rsid w:val="00254345"/>
    <w:rsid w:val="00254CAD"/>
    <w:rsid w:val="002563FF"/>
    <w:rsid w:val="00263513"/>
    <w:rsid w:val="00263CF4"/>
    <w:rsid w:val="00264557"/>
    <w:rsid w:val="00265587"/>
    <w:rsid w:val="002679EB"/>
    <w:rsid w:val="002805AB"/>
    <w:rsid w:val="002841B9"/>
    <w:rsid w:val="00284204"/>
    <w:rsid w:val="002850E4"/>
    <w:rsid w:val="00291773"/>
    <w:rsid w:val="00293E65"/>
    <w:rsid w:val="002947AB"/>
    <w:rsid w:val="002A168C"/>
    <w:rsid w:val="002A3DC7"/>
    <w:rsid w:val="002A66FE"/>
    <w:rsid w:val="002B0E96"/>
    <w:rsid w:val="002B4159"/>
    <w:rsid w:val="002B49E2"/>
    <w:rsid w:val="002B7B00"/>
    <w:rsid w:val="002B7C44"/>
    <w:rsid w:val="002C2B17"/>
    <w:rsid w:val="002C387A"/>
    <w:rsid w:val="002C5751"/>
    <w:rsid w:val="002D1A45"/>
    <w:rsid w:val="002D36C8"/>
    <w:rsid w:val="002D3DD0"/>
    <w:rsid w:val="002E1F3A"/>
    <w:rsid w:val="002E238F"/>
    <w:rsid w:val="002E298A"/>
    <w:rsid w:val="00301978"/>
    <w:rsid w:val="0030332C"/>
    <w:rsid w:val="003051C2"/>
    <w:rsid w:val="00312296"/>
    <w:rsid w:val="0031434F"/>
    <w:rsid w:val="00314F0E"/>
    <w:rsid w:val="00320AD6"/>
    <w:rsid w:val="00321D8E"/>
    <w:rsid w:val="00325928"/>
    <w:rsid w:val="00332863"/>
    <w:rsid w:val="0033684D"/>
    <w:rsid w:val="00337B42"/>
    <w:rsid w:val="00341B42"/>
    <w:rsid w:val="00343093"/>
    <w:rsid w:val="0034348F"/>
    <w:rsid w:val="00353830"/>
    <w:rsid w:val="00354BF1"/>
    <w:rsid w:val="00356653"/>
    <w:rsid w:val="0035694E"/>
    <w:rsid w:val="0035743F"/>
    <w:rsid w:val="00357BE2"/>
    <w:rsid w:val="0036170C"/>
    <w:rsid w:val="00362DBB"/>
    <w:rsid w:val="00366E0F"/>
    <w:rsid w:val="00375978"/>
    <w:rsid w:val="003775B0"/>
    <w:rsid w:val="00381A72"/>
    <w:rsid w:val="00384676"/>
    <w:rsid w:val="00386129"/>
    <w:rsid w:val="00390857"/>
    <w:rsid w:val="00394442"/>
    <w:rsid w:val="003954FA"/>
    <w:rsid w:val="00395AFC"/>
    <w:rsid w:val="003A4BF3"/>
    <w:rsid w:val="003B420D"/>
    <w:rsid w:val="003B46BE"/>
    <w:rsid w:val="003C22FB"/>
    <w:rsid w:val="003C5D1F"/>
    <w:rsid w:val="003C6C16"/>
    <w:rsid w:val="003C6E78"/>
    <w:rsid w:val="003D46E3"/>
    <w:rsid w:val="003D476F"/>
    <w:rsid w:val="003D6D71"/>
    <w:rsid w:val="003D794D"/>
    <w:rsid w:val="003D7B90"/>
    <w:rsid w:val="003E3058"/>
    <w:rsid w:val="003E3BCC"/>
    <w:rsid w:val="003E76A9"/>
    <w:rsid w:val="003F0809"/>
    <w:rsid w:val="003F6A8C"/>
    <w:rsid w:val="003F755C"/>
    <w:rsid w:val="00406F01"/>
    <w:rsid w:val="0041034C"/>
    <w:rsid w:val="0041430D"/>
    <w:rsid w:val="00416D50"/>
    <w:rsid w:val="00416FD5"/>
    <w:rsid w:val="00417772"/>
    <w:rsid w:val="00420E6A"/>
    <w:rsid w:val="00425A9E"/>
    <w:rsid w:val="0042657E"/>
    <w:rsid w:val="00426D6B"/>
    <w:rsid w:val="00427737"/>
    <w:rsid w:val="00431E6C"/>
    <w:rsid w:val="00433CE7"/>
    <w:rsid w:val="00445913"/>
    <w:rsid w:val="00446745"/>
    <w:rsid w:val="00452738"/>
    <w:rsid w:val="0045494B"/>
    <w:rsid w:val="00456091"/>
    <w:rsid w:val="00456EAB"/>
    <w:rsid w:val="00466321"/>
    <w:rsid w:val="00470251"/>
    <w:rsid w:val="00482296"/>
    <w:rsid w:val="00484B9B"/>
    <w:rsid w:val="004855F6"/>
    <w:rsid w:val="0048661E"/>
    <w:rsid w:val="004908C2"/>
    <w:rsid w:val="0049347D"/>
    <w:rsid w:val="00494670"/>
    <w:rsid w:val="004960EB"/>
    <w:rsid w:val="004A3823"/>
    <w:rsid w:val="004B57CF"/>
    <w:rsid w:val="004C1D05"/>
    <w:rsid w:val="004C5659"/>
    <w:rsid w:val="004D70E3"/>
    <w:rsid w:val="004D7187"/>
    <w:rsid w:val="004E6946"/>
    <w:rsid w:val="004F1008"/>
    <w:rsid w:val="004F1AD8"/>
    <w:rsid w:val="004F1E41"/>
    <w:rsid w:val="004F72A4"/>
    <w:rsid w:val="005000C0"/>
    <w:rsid w:val="005039CB"/>
    <w:rsid w:val="0050558F"/>
    <w:rsid w:val="00506286"/>
    <w:rsid w:val="00510813"/>
    <w:rsid w:val="00511990"/>
    <w:rsid w:val="00511DE0"/>
    <w:rsid w:val="00513CF6"/>
    <w:rsid w:val="00514870"/>
    <w:rsid w:val="00514B9B"/>
    <w:rsid w:val="00517F02"/>
    <w:rsid w:val="00524303"/>
    <w:rsid w:val="005258A2"/>
    <w:rsid w:val="00527CC9"/>
    <w:rsid w:val="00530161"/>
    <w:rsid w:val="005351EB"/>
    <w:rsid w:val="00536EA9"/>
    <w:rsid w:val="005401AE"/>
    <w:rsid w:val="00540217"/>
    <w:rsid w:val="00542E07"/>
    <w:rsid w:val="00545424"/>
    <w:rsid w:val="00546CE3"/>
    <w:rsid w:val="00547162"/>
    <w:rsid w:val="005543B6"/>
    <w:rsid w:val="00554A7B"/>
    <w:rsid w:val="00554A98"/>
    <w:rsid w:val="0055572C"/>
    <w:rsid w:val="0056106A"/>
    <w:rsid w:val="00561216"/>
    <w:rsid w:val="005720AE"/>
    <w:rsid w:val="00582B71"/>
    <w:rsid w:val="00590E93"/>
    <w:rsid w:val="00593C6F"/>
    <w:rsid w:val="00594D77"/>
    <w:rsid w:val="005969E4"/>
    <w:rsid w:val="005A06B7"/>
    <w:rsid w:val="005A1759"/>
    <w:rsid w:val="005A68A7"/>
    <w:rsid w:val="005B645E"/>
    <w:rsid w:val="005C048B"/>
    <w:rsid w:val="005C60F6"/>
    <w:rsid w:val="005C6ADC"/>
    <w:rsid w:val="005D32AF"/>
    <w:rsid w:val="005D36AB"/>
    <w:rsid w:val="005D36F0"/>
    <w:rsid w:val="005E0844"/>
    <w:rsid w:val="005E0E91"/>
    <w:rsid w:val="005E405F"/>
    <w:rsid w:val="005F376B"/>
    <w:rsid w:val="0060638D"/>
    <w:rsid w:val="0061557A"/>
    <w:rsid w:val="00617CC3"/>
    <w:rsid w:val="00617CCF"/>
    <w:rsid w:val="006241B4"/>
    <w:rsid w:val="006309E7"/>
    <w:rsid w:val="006363A6"/>
    <w:rsid w:val="0063667C"/>
    <w:rsid w:val="006377A6"/>
    <w:rsid w:val="00637A3D"/>
    <w:rsid w:val="006411EF"/>
    <w:rsid w:val="00642C47"/>
    <w:rsid w:val="0065380A"/>
    <w:rsid w:val="00657319"/>
    <w:rsid w:val="00665CD8"/>
    <w:rsid w:val="00667C6B"/>
    <w:rsid w:val="006748B8"/>
    <w:rsid w:val="00674F74"/>
    <w:rsid w:val="006775C3"/>
    <w:rsid w:val="00683AB3"/>
    <w:rsid w:val="006861A9"/>
    <w:rsid w:val="00691ABB"/>
    <w:rsid w:val="0069290A"/>
    <w:rsid w:val="00692B71"/>
    <w:rsid w:val="0069775A"/>
    <w:rsid w:val="00697813"/>
    <w:rsid w:val="006A05C5"/>
    <w:rsid w:val="006A3EE8"/>
    <w:rsid w:val="006A6A99"/>
    <w:rsid w:val="006A72BF"/>
    <w:rsid w:val="006B03F2"/>
    <w:rsid w:val="006B37DC"/>
    <w:rsid w:val="006B3FD4"/>
    <w:rsid w:val="006B4F68"/>
    <w:rsid w:val="006B7719"/>
    <w:rsid w:val="006C0592"/>
    <w:rsid w:val="006C272E"/>
    <w:rsid w:val="006C2DF8"/>
    <w:rsid w:val="006C3D18"/>
    <w:rsid w:val="006C5479"/>
    <w:rsid w:val="006D13B5"/>
    <w:rsid w:val="006D3EF8"/>
    <w:rsid w:val="006E12FF"/>
    <w:rsid w:val="006E4C05"/>
    <w:rsid w:val="006E5484"/>
    <w:rsid w:val="006E607E"/>
    <w:rsid w:val="006F0CD0"/>
    <w:rsid w:val="0070021A"/>
    <w:rsid w:val="00706C5D"/>
    <w:rsid w:val="007113B1"/>
    <w:rsid w:val="00713A0F"/>
    <w:rsid w:val="007143A8"/>
    <w:rsid w:val="007154AF"/>
    <w:rsid w:val="00715E44"/>
    <w:rsid w:val="00716DA1"/>
    <w:rsid w:val="00732922"/>
    <w:rsid w:val="0074317A"/>
    <w:rsid w:val="0074610E"/>
    <w:rsid w:val="0075162E"/>
    <w:rsid w:val="00754034"/>
    <w:rsid w:val="00756556"/>
    <w:rsid w:val="007618C4"/>
    <w:rsid w:val="0076397C"/>
    <w:rsid w:val="00766BA5"/>
    <w:rsid w:val="00767980"/>
    <w:rsid w:val="00770B19"/>
    <w:rsid w:val="0077463F"/>
    <w:rsid w:val="00777E21"/>
    <w:rsid w:val="007836EA"/>
    <w:rsid w:val="00784CDA"/>
    <w:rsid w:val="007906C4"/>
    <w:rsid w:val="007940EA"/>
    <w:rsid w:val="007967E8"/>
    <w:rsid w:val="00796F67"/>
    <w:rsid w:val="007A2170"/>
    <w:rsid w:val="007A22BF"/>
    <w:rsid w:val="007A3323"/>
    <w:rsid w:val="007A6C88"/>
    <w:rsid w:val="007B4B49"/>
    <w:rsid w:val="007B72B8"/>
    <w:rsid w:val="007B7A58"/>
    <w:rsid w:val="007C21B5"/>
    <w:rsid w:val="007C21CE"/>
    <w:rsid w:val="007C3701"/>
    <w:rsid w:val="007C453B"/>
    <w:rsid w:val="007E092B"/>
    <w:rsid w:val="007E4BD2"/>
    <w:rsid w:val="007E57B5"/>
    <w:rsid w:val="007F209B"/>
    <w:rsid w:val="007F7A82"/>
    <w:rsid w:val="00801393"/>
    <w:rsid w:val="00802F88"/>
    <w:rsid w:val="00803E94"/>
    <w:rsid w:val="0080533F"/>
    <w:rsid w:val="008109AB"/>
    <w:rsid w:val="0081293E"/>
    <w:rsid w:val="00815465"/>
    <w:rsid w:val="00816122"/>
    <w:rsid w:val="00817E9A"/>
    <w:rsid w:val="00820F8F"/>
    <w:rsid w:val="00821D21"/>
    <w:rsid w:val="0082580A"/>
    <w:rsid w:val="00827C69"/>
    <w:rsid w:val="008306BD"/>
    <w:rsid w:val="00831A80"/>
    <w:rsid w:val="00833743"/>
    <w:rsid w:val="008340A4"/>
    <w:rsid w:val="0083791E"/>
    <w:rsid w:val="00837E78"/>
    <w:rsid w:val="00843401"/>
    <w:rsid w:val="0084428E"/>
    <w:rsid w:val="008504B6"/>
    <w:rsid w:val="008659DF"/>
    <w:rsid w:val="0087135F"/>
    <w:rsid w:val="008717D1"/>
    <w:rsid w:val="00872C85"/>
    <w:rsid w:val="00872D94"/>
    <w:rsid w:val="00880364"/>
    <w:rsid w:val="00884178"/>
    <w:rsid w:val="00885689"/>
    <w:rsid w:val="00891592"/>
    <w:rsid w:val="00891E9E"/>
    <w:rsid w:val="0089520F"/>
    <w:rsid w:val="008A1705"/>
    <w:rsid w:val="008A2F68"/>
    <w:rsid w:val="008A3614"/>
    <w:rsid w:val="008A59F5"/>
    <w:rsid w:val="008B17A5"/>
    <w:rsid w:val="008B4FA6"/>
    <w:rsid w:val="008B5282"/>
    <w:rsid w:val="008B6924"/>
    <w:rsid w:val="008B7C17"/>
    <w:rsid w:val="008B7F90"/>
    <w:rsid w:val="008C07E5"/>
    <w:rsid w:val="008C1454"/>
    <w:rsid w:val="008C2D01"/>
    <w:rsid w:val="008C40E6"/>
    <w:rsid w:val="008C565D"/>
    <w:rsid w:val="008C6F6B"/>
    <w:rsid w:val="008D0F7A"/>
    <w:rsid w:val="008D17E9"/>
    <w:rsid w:val="008D337F"/>
    <w:rsid w:val="008D68E4"/>
    <w:rsid w:val="008D79B1"/>
    <w:rsid w:val="008E0506"/>
    <w:rsid w:val="008E0CFF"/>
    <w:rsid w:val="008E27EB"/>
    <w:rsid w:val="008E3187"/>
    <w:rsid w:val="008E5D6B"/>
    <w:rsid w:val="008E76F0"/>
    <w:rsid w:val="008F15FE"/>
    <w:rsid w:val="008F2D29"/>
    <w:rsid w:val="008F5187"/>
    <w:rsid w:val="008F60D8"/>
    <w:rsid w:val="008F6D66"/>
    <w:rsid w:val="009018B0"/>
    <w:rsid w:val="00902727"/>
    <w:rsid w:val="0090312B"/>
    <w:rsid w:val="00907E88"/>
    <w:rsid w:val="00911491"/>
    <w:rsid w:val="009120B9"/>
    <w:rsid w:val="0091736D"/>
    <w:rsid w:val="00922608"/>
    <w:rsid w:val="0093037A"/>
    <w:rsid w:val="00931EEF"/>
    <w:rsid w:val="00936199"/>
    <w:rsid w:val="009407B4"/>
    <w:rsid w:val="0094154D"/>
    <w:rsid w:val="00946ED7"/>
    <w:rsid w:val="0095155F"/>
    <w:rsid w:val="00954429"/>
    <w:rsid w:val="009563CE"/>
    <w:rsid w:val="0096296F"/>
    <w:rsid w:val="00973EE9"/>
    <w:rsid w:val="00973EFA"/>
    <w:rsid w:val="00974234"/>
    <w:rsid w:val="00976328"/>
    <w:rsid w:val="0097680D"/>
    <w:rsid w:val="00982438"/>
    <w:rsid w:val="0098339B"/>
    <w:rsid w:val="0098404C"/>
    <w:rsid w:val="00985283"/>
    <w:rsid w:val="00993935"/>
    <w:rsid w:val="00995992"/>
    <w:rsid w:val="0099666E"/>
    <w:rsid w:val="0099731D"/>
    <w:rsid w:val="009A03E5"/>
    <w:rsid w:val="009A0F3B"/>
    <w:rsid w:val="009A10DD"/>
    <w:rsid w:val="009A1BB4"/>
    <w:rsid w:val="009A1FD9"/>
    <w:rsid w:val="009A2628"/>
    <w:rsid w:val="009A3200"/>
    <w:rsid w:val="009A4350"/>
    <w:rsid w:val="009B0897"/>
    <w:rsid w:val="009B59CB"/>
    <w:rsid w:val="009B7BD9"/>
    <w:rsid w:val="009C5A11"/>
    <w:rsid w:val="009C7DD5"/>
    <w:rsid w:val="009C7E13"/>
    <w:rsid w:val="009E227D"/>
    <w:rsid w:val="009E3659"/>
    <w:rsid w:val="009E5019"/>
    <w:rsid w:val="009E5253"/>
    <w:rsid w:val="009F1C35"/>
    <w:rsid w:val="009F43F7"/>
    <w:rsid w:val="009F58F9"/>
    <w:rsid w:val="009F5948"/>
    <w:rsid w:val="00A04B79"/>
    <w:rsid w:val="00A04F1B"/>
    <w:rsid w:val="00A0501B"/>
    <w:rsid w:val="00A05F13"/>
    <w:rsid w:val="00A143AD"/>
    <w:rsid w:val="00A14947"/>
    <w:rsid w:val="00A2263E"/>
    <w:rsid w:val="00A328E1"/>
    <w:rsid w:val="00A32A83"/>
    <w:rsid w:val="00A34EFC"/>
    <w:rsid w:val="00A35802"/>
    <w:rsid w:val="00A368DB"/>
    <w:rsid w:val="00A423AA"/>
    <w:rsid w:val="00A42B4A"/>
    <w:rsid w:val="00A444A9"/>
    <w:rsid w:val="00A45768"/>
    <w:rsid w:val="00A53EC6"/>
    <w:rsid w:val="00A54E5B"/>
    <w:rsid w:val="00A55C0F"/>
    <w:rsid w:val="00A56967"/>
    <w:rsid w:val="00A61FB3"/>
    <w:rsid w:val="00A6673E"/>
    <w:rsid w:val="00A76C65"/>
    <w:rsid w:val="00A86157"/>
    <w:rsid w:val="00A8713F"/>
    <w:rsid w:val="00A90BA1"/>
    <w:rsid w:val="00A928CE"/>
    <w:rsid w:val="00A97A9A"/>
    <w:rsid w:val="00AA0671"/>
    <w:rsid w:val="00AA2531"/>
    <w:rsid w:val="00AB1E09"/>
    <w:rsid w:val="00AB3024"/>
    <w:rsid w:val="00AB38D5"/>
    <w:rsid w:val="00AB5330"/>
    <w:rsid w:val="00AB7747"/>
    <w:rsid w:val="00AC14CE"/>
    <w:rsid w:val="00AC2A56"/>
    <w:rsid w:val="00AC4639"/>
    <w:rsid w:val="00AC657B"/>
    <w:rsid w:val="00AD055E"/>
    <w:rsid w:val="00AD2054"/>
    <w:rsid w:val="00AD47A7"/>
    <w:rsid w:val="00AD575B"/>
    <w:rsid w:val="00AE21C7"/>
    <w:rsid w:val="00AE2D95"/>
    <w:rsid w:val="00AE4032"/>
    <w:rsid w:val="00AE7982"/>
    <w:rsid w:val="00AF003F"/>
    <w:rsid w:val="00AF0CBF"/>
    <w:rsid w:val="00AF113E"/>
    <w:rsid w:val="00AF257F"/>
    <w:rsid w:val="00AF33CF"/>
    <w:rsid w:val="00AF4D50"/>
    <w:rsid w:val="00AF6179"/>
    <w:rsid w:val="00B12080"/>
    <w:rsid w:val="00B1295A"/>
    <w:rsid w:val="00B13C1D"/>
    <w:rsid w:val="00B175C5"/>
    <w:rsid w:val="00B17FB0"/>
    <w:rsid w:val="00B20A45"/>
    <w:rsid w:val="00B22A97"/>
    <w:rsid w:val="00B22C5C"/>
    <w:rsid w:val="00B24F30"/>
    <w:rsid w:val="00B260AB"/>
    <w:rsid w:val="00B31ABF"/>
    <w:rsid w:val="00B337C6"/>
    <w:rsid w:val="00B33BE3"/>
    <w:rsid w:val="00B35670"/>
    <w:rsid w:val="00B420F3"/>
    <w:rsid w:val="00B4648B"/>
    <w:rsid w:val="00B5121D"/>
    <w:rsid w:val="00B53B5D"/>
    <w:rsid w:val="00B6055E"/>
    <w:rsid w:val="00B60F40"/>
    <w:rsid w:val="00B61BDD"/>
    <w:rsid w:val="00B6317D"/>
    <w:rsid w:val="00B7723F"/>
    <w:rsid w:val="00B77CA9"/>
    <w:rsid w:val="00B80534"/>
    <w:rsid w:val="00B8433C"/>
    <w:rsid w:val="00B87491"/>
    <w:rsid w:val="00B956AB"/>
    <w:rsid w:val="00BA29E9"/>
    <w:rsid w:val="00BA3F72"/>
    <w:rsid w:val="00BA4BA1"/>
    <w:rsid w:val="00BA7142"/>
    <w:rsid w:val="00BA7B92"/>
    <w:rsid w:val="00BB237C"/>
    <w:rsid w:val="00BB41A3"/>
    <w:rsid w:val="00BB46EE"/>
    <w:rsid w:val="00BB47E7"/>
    <w:rsid w:val="00BC32DC"/>
    <w:rsid w:val="00BC35B6"/>
    <w:rsid w:val="00BC5C87"/>
    <w:rsid w:val="00BC5FAC"/>
    <w:rsid w:val="00BD0912"/>
    <w:rsid w:val="00BD1B51"/>
    <w:rsid w:val="00BD4596"/>
    <w:rsid w:val="00BD4EA8"/>
    <w:rsid w:val="00BE1405"/>
    <w:rsid w:val="00BE312D"/>
    <w:rsid w:val="00BF1C20"/>
    <w:rsid w:val="00C0087D"/>
    <w:rsid w:val="00C10578"/>
    <w:rsid w:val="00C135BC"/>
    <w:rsid w:val="00C15C95"/>
    <w:rsid w:val="00C216D3"/>
    <w:rsid w:val="00C2596A"/>
    <w:rsid w:val="00C27537"/>
    <w:rsid w:val="00C322AF"/>
    <w:rsid w:val="00C328FE"/>
    <w:rsid w:val="00C33507"/>
    <w:rsid w:val="00C359D5"/>
    <w:rsid w:val="00C402CC"/>
    <w:rsid w:val="00C41428"/>
    <w:rsid w:val="00C4409D"/>
    <w:rsid w:val="00C44E72"/>
    <w:rsid w:val="00C45A06"/>
    <w:rsid w:val="00C47E5B"/>
    <w:rsid w:val="00C5294E"/>
    <w:rsid w:val="00C611C4"/>
    <w:rsid w:val="00C61E4B"/>
    <w:rsid w:val="00C61F9D"/>
    <w:rsid w:val="00C63D8E"/>
    <w:rsid w:val="00C64BFF"/>
    <w:rsid w:val="00C65D27"/>
    <w:rsid w:val="00C66521"/>
    <w:rsid w:val="00C66F6A"/>
    <w:rsid w:val="00C67C87"/>
    <w:rsid w:val="00C67C96"/>
    <w:rsid w:val="00C704E9"/>
    <w:rsid w:val="00C746AF"/>
    <w:rsid w:val="00C74D93"/>
    <w:rsid w:val="00C763C9"/>
    <w:rsid w:val="00C80057"/>
    <w:rsid w:val="00C821EE"/>
    <w:rsid w:val="00C82232"/>
    <w:rsid w:val="00C82913"/>
    <w:rsid w:val="00C970F0"/>
    <w:rsid w:val="00C972B1"/>
    <w:rsid w:val="00C978A8"/>
    <w:rsid w:val="00CA0681"/>
    <w:rsid w:val="00CA2CCE"/>
    <w:rsid w:val="00CA3F3C"/>
    <w:rsid w:val="00CA43FD"/>
    <w:rsid w:val="00CA7EF8"/>
    <w:rsid w:val="00CB0671"/>
    <w:rsid w:val="00CB5002"/>
    <w:rsid w:val="00CC454B"/>
    <w:rsid w:val="00CC489B"/>
    <w:rsid w:val="00CC5CC6"/>
    <w:rsid w:val="00CC6301"/>
    <w:rsid w:val="00CD2BCD"/>
    <w:rsid w:val="00CD3A4C"/>
    <w:rsid w:val="00CE10E9"/>
    <w:rsid w:val="00CE2910"/>
    <w:rsid w:val="00CE5393"/>
    <w:rsid w:val="00CE6CD5"/>
    <w:rsid w:val="00CF36BE"/>
    <w:rsid w:val="00CF5500"/>
    <w:rsid w:val="00CF6000"/>
    <w:rsid w:val="00D003F3"/>
    <w:rsid w:val="00D0364F"/>
    <w:rsid w:val="00D0613B"/>
    <w:rsid w:val="00D06834"/>
    <w:rsid w:val="00D14B2A"/>
    <w:rsid w:val="00D20BDD"/>
    <w:rsid w:val="00D20ECA"/>
    <w:rsid w:val="00D308ED"/>
    <w:rsid w:val="00D34193"/>
    <w:rsid w:val="00D36D86"/>
    <w:rsid w:val="00D428AA"/>
    <w:rsid w:val="00D50A34"/>
    <w:rsid w:val="00D53CC1"/>
    <w:rsid w:val="00D53EFA"/>
    <w:rsid w:val="00D54A21"/>
    <w:rsid w:val="00D557A3"/>
    <w:rsid w:val="00D65DE1"/>
    <w:rsid w:val="00D71EDE"/>
    <w:rsid w:val="00D90B65"/>
    <w:rsid w:val="00D94A7C"/>
    <w:rsid w:val="00D95896"/>
    <w:rsid w:val="00DA50C1"/>
    <w:rsid w:val="00DA6129"/>
    <w:rsid w:val="00DB032D"/>
    <w:rsid w:val="00DB2983"/>
    <w:rsid w:val="00DB3425"/>
    <w:rsid w:val="00DB60DE"/>
    <w:rsid w:val="00DC1257"/>
    <w:rsid w:val="00DC1E01"/>
    <w:rsid w:val="00DC3DC0"/>
    <w:rsid w:val="00DC426D"/>
    <w:rsid w:val="00DC5530"/>
    <w:rsid w:val="00DC5B2B"/>
    <w:rsid w:val="00DC6D3D"/>
    <w:rsid w:val="00DD318D"/>
    <w:rsid w:val="00DE70D7"/>
    <w:rsid w:val="00DF217B"/>
    <w:rsid w:val="00DF2E12"/>
    <w:rsid w:val="00DF36F9"/>
    <w:rsid w:val="00DF514A"/>
    <w:rsid w:val="00DF6690"/>
    <w:rsid w:val="00DF6804"/>
    <w:rsid w:val="00E01990"/>
    <w:rsid w:val="00E02630"/>
    <w:rsid w:val="00E0358D"/>
    <w:rsid w:val="00E04323"/>
    <w:rsid w:val="00E070A2"/>
    <w:rsid w:val="00E207B6"/>
    <w:rsid w:val="00E2114D"/>
    <w:rsid w:val="00E2656A"/>
    <w:rsid w:val="00E345FE"/>
    <w:rsid w:val="00E412D0"/>
    <w:rsid w:val="00E47B4A"/>
    <w:rsid w:val="00E56322"/>
    <w:rsid w:val="00E600A0"/>
    <w:rsid w:val="00E60982"/>
    <w:rsid w:val="00E62C62"/>
    <w:rsid w:val="00E642AC"/>
    <w:rsid w:val="00E654C1"/>
    <w:rsid w:val="00E65D97"/>
    <w:rsid w:val="00E662F2"/>
    <w:rsid w:val="00E705DF"/>
    <w:rsid w:val="00E72A5A"/>
    <w:rsid w:val="00E73141"/>
    <w:rsid w:val="00E73354"/>
    <w:rsid w:val="00E7335B"/>
    <w:rsid w:val="00E7523A"/>
    <w:rsid w:val="00E7636D"/>
    <w:rsid w:val="00E802A0"/>
    <w:rsid w:val="00E9242D"/>
    <w:rsid w:val="00E96BDF"/>
    <w:rsid w:val="00E96CF4"/>
    <w:rsid w:val="00EB0ABE"/>
    <w:rsid w:val="00EB5255"/>
    <w:rsid w:val="00EB5C1B"/>
    <w:rsid w:val="00EB5C47"/>
    <w:rsid w:val="00EB69A6"/>
    <w:rsid w:val="00EC332E"/>
    <w:rsid w:val="00ED0639"/>
    <w:rsid w:val="00ED4780"/>
    <w:rsid w:val="00ED50FC"/>
    <w:rsid w:val="00ED5D68"/>
    <w:rsid w:val="00EF43EC"/>
    <w:rsid w:val="00EF4755"/>
    <w:rsid w:val="00EF4A76"/>
    <w:rsid w:val="00EF7135"/>
    <w:rsid w:val="00F027DB"/>
    <w:rsid w:val="00F055B5"/>
    <w:rsid w:val="00F11FC0"/>
    <w:rsid w:val="00F14A7A"/>
    <w:rsid w:val="00F17C01"/>
    <w:rsid w:val="00F22985"/>
    <w:rsid w:val="00F24A31"/>
    <w:rsid w:val="00F32507"/>
    <w:rsid w:val="00F32A7B"/>
    <w:rsid w:val="00F32FF8"/>
    <w:rsid w:val="00F3383E"/>
    <w:rsid w:val="00F36E4E"/>
    <w:rsid w:val="00F465A7"/>
    <w:rsid w:val="00F50B7C"/>
    <w:rsid w:val="00F53303"/>
    <w:rsid w:val="00F550E6"/>
    <w:rsid w:val="00F65E91"/>
    <w:rsid w:val="00F732F4"/>
    <w:rsid w:val="00F74345"/>
    <w:rsid w:val="00F755E6"/>
    <w:rsid w:val="00F80A0A"/>
    <w:rsid w:val="00F81004"/>
    <w:rsid w:val="00F82B19"/>
    <w:rsid w:val="00F839F8"/>
    <w:rsid w:val="00F905CB"/>
    <w:rsid w:val="00F9212D"/>
    <w:rsid w:val="00F965DA"/>
    <w:rsid w:val="00FA05A4"/>
    <w:rsid w:val="00FA073E"/>
    <w:rsid w:val="00FA406A"/>
    <w:rsid w:val="00FB177E"/>
    <w:rsid w:val="00FB503A"/>
    <w:rsid w:val="00FB516C"/>
    <w:rsid w:val="00FB5F7E"/>
    <w:rsid w:val="00FD0236"/>
    <w:rsid w:val="00FD18F4"/>
    <w:rsid w:val="00FD54DB"/>
    <w:rsid w:val="00FD619F"/>
    <w:rsid w:val="00FE532C"/>
    <w:rsid w:val="00FF5245"/>
    <w:rsid w:val="012265E4"/>
    <w:rsid w:val="0123584C"/>
    <w:rsid w:val="01290F7E"/>
    <w:rsid w:val="015D1E09"/>
    <w:rsid w:val="01650BA3"/>
    <w:rsid w:val="01964270"/>
    <w:rsid w:val="019E3125"/>
    <w:rsid w:val="01B91C51"/>
    <w:rsid w:val="01C74429"/>
    <w:rsid w:val="02182ED7"/>
    <w:rsid w:val="02697903"/>
    <w:rsid w:val="027B3E2D"/>
    <w:rsid w:val="029702A0"/>
    <w:rsid w:val="02AC3CF1"/>
    <w:rsid w:val="02F96569"/>
    <w:rsid w:val="02FF7BF3"/>
    <w:rsid w:val="03001C2D"/>
    <w:rsid w:val="0312510D"/>
    <w:rsid w:val="032B05DA"/>
    <w:rsid w:val="034A6530"/>
    <w:rsid w:val="034C3206"/>
    <w:rsid w:val="035C5045"/>
    <w:rsid w:val="038A1428"/>
    <w:rsid w:val="03912F41"/>
    <w:rsid w:val="039F5298"/>
    <w:rsid w:val="03C249D5"/>
    <w:rsid w:val="03EA7B21"/>
    <w:rsid w:val="03EC63C9"/>
    <w:rsid w:val="0402462C"/>
    <w:rsid w:val="042315BE"/>
    <w:rsid w:val="04383680"/>
    <w:rsid w:val="044B1342"/>
    <w:rsid w:val="045B4A82"/>
    <w:rsid w:val="04B52C5F"/>
    <w:rsid w:val="04DC4690"/>
    <w:rsid w:val="052D6C99"/>
    <w:rsid w:val="05322CC6"/>
    <w:rsid w:val="057D5DAE"/>
    <w:rsid w:val="058A40EC"/>
    <w:rsid w:val="05BE78F1"/>
    <w:rsid w:val="05CE0012"/>
    <w:rsid w:val="05F80C64"/>
    <w:rsid w:val="05F83EAE"/>
    <w:rsid w:val="063C4A4E"/>
    <w:rsid w:val="063E7D85"/>
    <w:rsid w:val="06516266"/>
    <w:rsid w:val="067F1CC5"/>
    <w:rsid w:val="06B26F7C"/>
    <w:rsid w:val="070253E7"/>
    <w:rsid w:val="070954E4"/>
    <w:rsid w:val="071346C1"/>
    <w:rsid w:val="07191E30"/>
    <w:rsid w:val="07293586"/>
    <w:rsid w:val="07295285"/>
    <w:rsid w:val="072F4F4B"/>
    <w:rsid w:val="07384D98"/>
    <w:rsid w:val="07636392"/>
    <w:rsid w:val="07770C56"/>
    <w:rsid w:val="077F1071"/>
    <w:rsid w:val="0790055D"/>
    <w:rsid w:val="07A5520D"/>
    <w:rsid w:val="07A85B03"/>
    <w:rsid w:val="07AD2313"/>
    <w:rsid w:val="07DB0C2F"/>
    <w:rsid w:val="08283748"/>
    <w:rsid w:val="08663DB3"/>
    <w:rsid w:val="0890473A"/>
    <w:rsid w:val="0896495F"/>
    <w:rsid w:val="08C034C9"/>
    <w:rsid w:val="08C72F61"/>
    <w:rsid w:val="08CC4A1B"/>
    <w:rsid w:val="08CE3CE7"/>
    <w:rsid w:val="08E9737B"/>
    <w:rsid w:val="092217DD"/>
    <w:rsid w:val="093A7294"/>
    <w:rsid w:val="098552F6"/>
    <w:rsid w:val="09B21AD3"/>
    <w:rsid w:val="0A037FC9"/>
    <w:rsid w:val="0A263993"/>
    <w:rsid w:val="0A2D3AC2"/>
    <w:rsid w:val="0A4D56E8"/>
    <w:rsid w:val="0A5D1DCF"/>
    <w:rsid w:val="0AA755DF"/>
    <w:rsid w:val="0AA94286"/>
    <w:rsid w:val="0AD57BB7"/>
    <w:rsid w:val="0ADB2CF4"/>
    <w:rsid w:val="0AE40996"/>
    <w:rsid w:val="0AE812F2"/>
    <w:rsid w:val="0B0C10FF"/>
    <w:rsid w:val="0B120D44"/>
    <w:rsid w:val="0B1D2C96"/>
    <w:rsid w:val="0B2226D0"/>
    <w:rsid w:val="0B4B60CB"/>
    <w:rsid w:val="0B5347C1"/>
    <w:rsid w:val="0B625A41"/>
    <w:rsid w:val="0B815649"/>
    <w:rsid w:val="0B8928A1"/>
    <w:rsid w:val="0BD27BF6"/>
    <w:rsid w:val="0BEC03A7"/>
    <w:rsid w:val="0BFF61BD"/>
    <w:rsid w:val="0C3B3C7D"/>
    <w:rsid w:val="0C5B233E"/>
    <w:rsid w:val="0CA5180B"/>
    <w:rsid w:val="0CAB2EAE"/>
    <w:rsid w:val="0CE75980"/>
    <w:rsid w:val="0CFB1FE3"/>
    <w:rsid w:val="0CFE2CC9"/>
    <w:rsid w:val="0D054058"/>
    <w:rsid w:val="0D5A25F6"/>
    <w:rsid w:val="0D621C7D"/>
    <w:rsid w:val="0DB55A7E"/>
    <w:rsid w:val="0DC10CD1"/>
    <w:rsid w:val="0DED6EAB"/>
    <w:rsid w:val="0E0C7BC1"/>
    <w:rsid w:val="0E0F33E0"/>
    <w:rsid w:val="0E52151F"/>
    <w:rsid w:val="0E63197E"/>
    <w:rsid w:val="0E686F19"/>
    <w:rsid w:val="0E73034D"/>
    <w:rsid w:val="0E7E1783"/>
    <w:rsid w:val="0E842BE8"/>
    <w:rsid w:val="0E960C0D"/>
    <w:rsid w:val="0EA62937"/>
    <w:rsid w:val="0EAC3A79"/>
    <w:rsid w:val="0EB23443"/>
    <w:rsid w:val="0EB67103"/>
    <w:rsid w:val="0ECC7523"/>
    <w:rsid w:val="0EE53EE8"/>
    <w:rsid w:val="0EF137CD"/>
    <w:rsid w:val="0EF8372B"/>
    <w:rsid w:val="0F005F55"/>
    <w:rsid w:val="0F037349"/>
    <w:rsid w:val="0F1217BA"/>
    <w:rsid w:val="0F1249F8"/>
    <w:rsid w:val="0F13775A"/>
    <w:rsid w:val="0F205179"/>
    <w:rsid w:val="0F337F2E"/>
    <w:rsid w:val="0F514CF1"/>
    <w:rsid w:val="0F527CF4"/>
    <w:rsid w:val="0F5512C6"/>
    <w:rsid w:val="0F5F45FE"/>
    <w:rsid w:val="0F6215DB"/>
    <w:rsid w:val="0F7E6448"/>
    <w:rsid w:val="0F87169C"/>
    <w:rsid w:val="0F9A112B"/>
    <w:rsid w:val="0FB415D5"/>
    <w:rsid w:val="0FB44199"/>
    <w:rsid w:val="0FBD50BE"/>
    <w:rsid w:val="10246EEB"/>
    <w:rsid w:val="103358DC"/>
    <w:rsid w:val="106D2F64"/>
    <w:rsid w:val="10B63710"/>
    <w:rsid w:val="10EC5C5A"/>
    <w:rsid w:val="10F10820"/>
    <w:rsid w:val="1111121D"/>
    <w:rsid w:val="111C2F7A"/>
    <w:rsid w:val="11286567"/>
    <w:rsid w:val="11665CA1"/>
    <w:rsid w:val="11AC7198"/>
    <w:rsid w:val="11C5065A"/>
    <w:rsid w:val="11F01709"/>
    <w:rsid w:val="121B74F6"/>
    <w:rsid w:val="12241424"/>
    <w:rsid w:val="12301B77"/>
    <w:rsid w:val="123B4A97"/>
    <w:rsid w:val="125E3D7B"/>
    <w:rsid w:val="12640FA3"/>
    <w:rsid w:val="12B97DBE"/>
    <w:rsid w:val="13491142"/>
    <w:rsid w:val="135770A6"/>
    <w:rsid w:val="137D66EF"/>
    <w:rsid w:val="13857CA0"/>
    <w:rsid w:val="138F5AC7"/>
    <w:rsid w:val="13951726"/>
    <w:rsid w:val="13B00407"/>
    <w:rsid w:val="14396509"/>
    <w:rsid w:val="14A3095B"/>
    <w:rsid w:val="14B36158"/>
    <w:rsid w:val="14C217BA"/>
    <w:rsid w:val="14DD2C3C"/>
    <w:rsid w:val="14E47BAD"/>
    <w:rsid w:val="14F75209"/>
    <w:rsid w:val="150F013F"/>
    <w:rsid w:val="15112E97"/>
    <w:rsid w:val="159E787E"/>
    <w:rsid w:val="15BA6327"/>
    <w:rsid w:val="15BE1F84"/>
    <w:rsid w:val="15E92769"/>
    <w:rsid w:val="15EE7D7F"/>
    <w:rsid w:val="15FD61A0"/>
    <w:rsid w:val="160457F4"/>
    <w:rsid w:val="16087E1D"/>
    <w:rsid w:val="163B711A"/>
    <w:rsid w:val="16895CFA"/>
    <w:rsid w:val="168D57EA"/>
    <w:rsid w:val="168E3310"/>
    <w:rsid w:val="16BE24AD"/>
    <w:rsid w:val="16DB7A1C"/>
    <w:rsid w:val="1757542E"/>
    <w:rsid w:val="175E0F34"/>
    <w:rsid w:val="176D1177"/>
    <w:rsid w:val="17701D14"/>
    <w:rsid w:val="17735226"/>
    <w:rsid w:val="17A728DB"/>
    <w:rsid w:val="17B82AA2"/>
    <w:rsid w:val="17E054D2"/>
    <w:rsid w:val="180A2E6A"/>
    <w:rsid w:val="18347AFE"/>
    <w:rsid w:val="18736AA4"/>
    <w:rsid w:val="18786026"/>
    <w:rsid w:val="189F624C"/>
    <w:rsid w:val="18C1417D"/>
    <w:rsid w:val="18DF0B99"/>
    <w:rsid w:val="18F452E3"/>
    <w:rsid w:val="193E0E70"/>
    <w:rsid w:val="193F659B"/>
    <w:rsid w:val="1967397E"/>
    <w:rsid w:val="19D436A6"/>
    <w:rsid w:val="1A18186E"/>
    <w:rsid w:val="1A1C66C0"/>
    <w:rsid w:val="1A271C65"/>
    <w:rsid w:val="1A42393B"/>
    <w:rsid w:val="1A4C32C6"/>
    <w:rsid w:val="1A7840BB"/>
    <w:rsid w:val="1A976677"/>
    <w:rsid w:val="1A9A0F82"/>
    <w:rsid w:val="1AAD45DE"/>
    <w:rsid w:val="1AAE3F81"/>
    <w:rsid w:val="1AD8581B"/>
    <w:rsid w:val="1AFA43B2"/>
    <w:rsid w:val="1AFA5418"/>
    <w:rsid w:val="1B0111AB"/>
    <w:rsid w:val="1B046F80"/>
    <w:rsid w:val="1B291151"/>
    <w:rsid w:val="1B3267B5"/>
    <w:rsid w:val="1B40161D"/>
    <w:rsid w:val="1B441859"/>
    <w:rsid w:val="1B6606B1"/>
    <w:rsid w:val="1B7B5D17"/>
    <w:rsid w:val="1B866CAC"/>
    <w:rsid w:val="1B950C9D"/>
    <w:rsid w:val="1B96303B"/>
    <w:rsid w:val="1BA621EB"/>
    <w:rsid w:val="1BB2184F"/>
    <w:rsid w:val="1BCA6B98"/>
    <w:rsid w:val="1C133DAF"/>
    <w:rsid w:val="1C1918CE"/>
    <w:rsid w:val="1C220782"/>
    <w:rsid w:val="1C3A1F70"/>
    <w:rsid w:val="1C5E7925"/>
    <w:rsid w:val="1C752F08"/>
    <w:rsid w:val="1CA05B4B"/>
    <w:rsid w:val="1CA473E9"/>
    <w:rsid w:val="1CC45CDD"/>
    <w:rsid w:val="1CC74E53"/>
    <w:rsid w:val="1CE75528"/>
    <w:rsid w:val="1CFD070F"/>
    <w:rsid w:val="1D2B2E1C"/>
    <w:rsid w:val="1D412E8A"/>
    <w:rsid w:val="1D4F429C"/>
    <w:rsid w:val="1D5F6196"/>
    <w:rsid w:val="1D6132A5"/>
    <w:rsid w:val="1D891112"/>
    <w:rsid w:val="1D8E56D5"/>
    <w:rsid w:val="1DAD00E7"/>
    <w:rsid w:val="1DD12460"/>
    <w:rsid w:val="1DD27F86"/>
    <w:rsid w:val="1DF223D6"/>
    <w:rsid w:val="1E450758"/>
    <w:rsid w:val="1E594203"/>
    <w:rsid w:val="1E74103D"/>
    <w:rsid w:val="1E7A43DA"/>
    <w:rsid w:val="1E8A7A15"/>
    <w:rsid w:val="1EB4768C"/>
    <w:rsid w:val="1EB836A6"/>
    <w:rsid w:val="1EDA17E8"/>
    <w:rsid w:val="1F550E6F"/>
    <w:rsid w:val="1F777037"/>
    <w:rsid w:val="1F7D096C"/>
    <w:rsid w:val="1F7F4AEF"/>
    <w:rsid w:val="1F846E57"/>
    <w:rsid w:val="1FA47700"/>
    <w:rsid w:val="1FA66552"/>
    <w:rsid w:val="1FB439B0"/>
    <w:rsid w:val="1FE7539E"/>
    <w:rsid w:val="1FF648F0"/>
    <w:rsid w:val="200156E5"/>
    <w:rsid w:val="20340497"/>
    <w:rsid w:val="203A6A0B"/>
    <w:rsid w:val="20551B28"/>
    <w:rsid w:val="20656358"/>
    <w:rsid w:val="20671BE0"/>
    <w:rsid w:val="207B779C"/>
    <w:rsid w:val="20950863"/>
    <w:rsid w:val="20963CB8"/>
    <w:rsid w:val="20A81A1B"/>
    <w:rsid w:val="20B07FB6"/>
    <w:rsid w:val="20B27A4A"/>
    <w:rsid w:val="20B61DE1"/>
    <w:rsid w:val="20B646FB"/>
    <w:rsid w:val="20F36B91"/>
    <w:rsid w:val="21050555"/>
    <w:rsid w:val="210B3EDB"/>
    <w:rsid w:val="212B632B"/>
    <w:rsid w:val="213B74B1"/>
    <w:rsid w:val="2144119B"/>
    <w:rsid w:val="215A2310"/>
    <w:rsid w:val="218358F0"/>
    <w:rsid w:val="21A06B57"/>
    <w:rsid w:val="21DC7625"/>
    <w:rsid w:val="21DE318A"/>
    <w:rsid w:val="21DF308D"/>
    <w:rsid w:val="21EB5ABA"/>
    <w:rsid w:val="21EF5B80"/>
    <w:rsid w:val="21F7445F"/>
    <w:rsid w:val="2214303D"/>
    <w:rsid w:val="22561186"/>
    <w:rsid w:val="22576990"/>
    <w:rsid w:val="22664FFA"/>
    <w:rsid w:val="2275110A"/>
    <w:rsid w:val="227F600B"/>
    <w:rsid w:val="22993768"/>
    <w:rsid w:val="22A37B94"/>
    <w:rsid w:val="22BA6856"/>
    <w:rsid w:val="22DD212E"/>
    <w:rsid w:val="22E13F65"/>
    <w:rsid w:val="22F47480"/>
    <w:rsid w:val="231E6A44"/>
    <w:rsid w:val="23847757"/>
    <w:rsid w:val="23DE1C48"/>
    <w:rsid w:val="23DF1888"/>
    <w:rsid w:val="240210CD"/>
    <w:rsid w:val="241A28A0"/>
    <w:rsid w:val="242327B4"/>
    <w:rsid w:val="24305A06"/>
    <w:rsid w:val="24765B0F"/>
    <w:rsid w:val="249E719C"/>
    <w:rsid w:val="24BE2000"/>
    <w:rsid w:val="24BF09F7"/>
    <w:rsid w:val="24E862E1"/>
    <w:rsid w:val="252D53FE"/>
    <w:rsid w:val="255C446E"/>
    <w:rsid w:val="258B4177"/>
    <w:rsid w:val="25EC2D81"/>
    <w:rsid w:val="26121868"/>
    <w:rsid w:val="263317DE"/>
    <w:rsid w:val="264834DB"/>
    <w:rsid w:val="264F6618"/>
    <w:rsid w:val="2666570F"/>
    <w:rsid w:val="26A60202"/>
    <w:rsid w:val="27467637"/>
    <w:rsid w:val="27475541"/>
    <w:rsid w:val="27696DF6"/>
    <w:rsid w:val="277057A2"/>
    <w:rsid w:val="27731DE8"/>
    <w:rsid w:val="27822A1D"/>
    <w:rsid w:val="2783567B"/>
    <w:rsid w:val="27F531EF"/>
    <w:rsid w:val="281D62A2"/>
    <w:rsid w:val="2835183D"/>
    <w:rsid w:val="283C2BCC"/>
    <w:rsid w:val="286C7DB1"/>
    <w:rsid w:val="28C3261E"/>
    <w:rsid w:val="28FA4A35"/>
    <w:rsid w:val="29206EB8"/>
    <w:rsid w:val="29595666"/>
    <w:rsid w:val="297F21ED"/>
    <w:rsid w:val="29874881"/>
    <w:rsid w:val="298E38FB"/>
    <w:rsid w:val="29B449E4"/>
    <w:rsid w:val="29E325E0"/>
    <w:rsid w:val="2A1E7C3C"/>
    <w:rsid w:val="2A452503"/>
    <w:rsid w:val="2A581813"/>
    <w:rsid w:val="2A594ADF"/>
    <w:rsid w:val="2A68414C"/>
    <w:rsid w:val="2A707C4E"/>
    <w:rsid w:val="2A89206C"/>
    <w:rsid w:val="2A904588"/>
    <w:rsid w:val="2AB27175"/>
    <w:rsid w:val="2AC13B36"/>
    <w:rsid w:val="2AE9717C"/>
    <w:rsid w:val="2B084FE7"/>
    <w:rsid w:val="2B56201C"/>
    <w:rsid w:val="2B573C5E"/>
    <w:rsid w:val="2B8925CC"/>
    <w:rsid w:val="2BA72DE2"/>
    <w:rsid w:val="2BA936A8"/>
    <w:rsid w:val="2BB57C35"/>
    <w:rsid w:val="2C027C88"/>
    <w:rsid w:val="2C182758"/>
    <w:rsid w:val="2C315A5A"/>
    <w:rsid w:val="2C4B1C25"/>
    <w:rsid w:val="2C506C46"/>
    <w:rsid w:val="2C5B55EB"/>
    <w:rsid w:val="2C6D3C9C"/>
    <w:rsid w:val="2C9E3E55"/>
    <w:rsid w:val="2CB82A3D"/>
    <w:rsid w:val="2CD37E34"/>
    <w:rsid w:val="2CF03962"/>
    <w:rsid w:val="2D597849"/>
    <w:rsid w:val="2D9B673D"/>
    <w:rsid w:val="2D9E56F5"/>
    <w:rsid w:val="2DB41AC5"/>
    <w:rsid w:val="2DB624D9"/>
    <w:rsid w:val="2DBD47AF"/>
    <w:rsid w:val="2DCC054E"/>
    <w:rsid w:val="2DE51610"/>
    <w:rsid w:val="2DEA056F"/>
    <w:rsid w:val="2E6469D8"/>
    <w:rsid w:val="2E667F96"/>
    <w:rsid w:val="2E67296D"/>
    <w:rsid w:val="2E8226AB"/>
    <w:rsid w:val="2EA01192"/>
    <w:rsid w:val="2EA56B27"/>
    <w:rsid w:val="2EE60E93"/>
    <w:rsid w:val="2EF20A27"/>
    <w:rsid w:val="2F0719AD"/>
    <w:rsid w:val="2F4F7689"/>
    <w:rsid w:val="2F835584"/>
    <w:rsid w:val="2FA15A0A"/>
    <w:rsid w:val="2FCD7C40"/>
    <w:rsid w:val="2FD065E6"/>
    <w:rsid w:val="2FD96870"/>
    <w:rsid w:val="2FEA464D"/>
    <w:rsid w:val="2FFD70E5"/>
    <w:rsid w:val="300C2AE3"/>
    <w:rsid w:val="30107E63"/>
    <w:rsid w:val="30473F30"/>
    <w:rsid w:val="30474804"/>
    <w:rsid w:val="304A29AA"/>
    <w:rsid w:val="30580BC9"/>
    <w:rsid w:val="306D1F9F"/>
    <w:rsid w:val="306D4DF1"/>
    <w:rsid w:val="308058B2"/>
    <w:rsid w:val="310E0E7D"/>
    <w:rsid w:val="311E2ED7"/>
    <w:rsid w:val="31226757"/>
    <w:rsid w:val="3126266B"/>
    <w:rsid w:val="313F13D8"/>
    <w:rsid w:val="315619EE"/>
    <w:rsid w:val="315C449C"/>
    <w:rsid w:val="31737E7A"/>
    <w:rsid w:val="317C672F"/>
    <w:rsid w:val="31905D36"/>
    <w:rsid w:val="3195154F"/>
    <w:rsid w:val="31B82709"/>
    <w:rsid w:val="31CE1830"/>
    <w:rsid w:val="31D05482"/>
    <w:rsid w:val="31D65E3F"/>
    <w:rsid w:val="31FA1F4F"/>
    <w:rsid w:val="320C386D"/>
    <w:rsid w:val="32130E41"/>
    <w:rsid w:val="323676BF"/>
    <w:rsid w:val="32400B34"/>
    <w:rsid w:val="32935ADE"/>
    <w:rsid w:val="329E6876"/>
    <w:rsid w:val="32B70B21"/>
    <w:rsid w:val="32EE71B8"/>
    <w:rsid w:val="330C321A"/>
    <w:rsid w:val="33184235"/>
    <w:rsid w:val="33213084"/>
    <w:rsid w:val="33233306"/>
    <w:rsid w:val="333015F2"/>
    <w:rsid w:val="33324C4A"/>
    <w:rsid w:val="33401C37"/>
    <w:rsid w:val="334B6320"/>
    <w:rsid w:val="337B4EF0"/>
    <w:rsid w:val="33B91574"/>
    <w:rsid w:val="33D934D4"/>
    <w:rsid w:val="33DB598F"/>
    <w:rsid w:val="33E81E5A"/>
    <w:rsid w:val="33EC194A"/>
    <w:rsid w:val="33FE2F6A"/>
    <w:rsid w:val="340E07E5"/>
    <w:rsid w:val="340F5638"/>
    <w:rsid w:val="34111F5C"/>
    <w:rsid w:val="34235BF7"/>
    <w:rsid w:val="34273FA2"/>
    <w:rsid w:val="343B2487"/>
    <w:rsid w:val="343D21A6"/>
    <w:rsid w:val="345E211C"/>
    <w:rsid w:val="349124F1"/>
    <w:rsid w:val="34C6430D"/>
    <w:rsid w:val="34D67F04"/>
    <w:rsid w:val="34EB7E53"/>
    <w:rsid w:val="354E1C2A"/>
    <w:rsid w:val="35655ABE"/>
    <w:rsid w:val="358C5FA8"/>
    <w:rsid w:val="359A7DEC"/>
    <w:rsid w:val="359C2EFC"/>
    <w:rsid w:val="35C15DF1"/>
    <w:rsid w:val="35C30488"/>
    <w:rsid w:val="35F03248"/>
    <w:rsid w:val="36074A7F"/>
    <w:rsid w:val="36174C78"/>
    <w:rsid w:val="361764F6"/>
    <w:rsid w:val="364577C7"/>
    <w:rsid w:val="366E7EAA"/>
    <w:rsid w:val="36923549"/>
    <w:rsid w:val="36985DB9"/>
    <w:rsid w:val="36A858D0"/>
    <w:rsid w:val="36B75FBF"/>
    <w:rsid w:val="36BD0C45"/>
    <w:rsid w:val="370D32C4"/>
    <w:rsid w:val="373A6E70"/>
    <w:rsid w:val="37486ED9"/>
    <w:rsid w:val="374C0952"/>
    <w:rsid w:val="377455AB"/>
    <w:rsid w:val="378D51F2"/>
    <w:rsid w:val="37A702CD"/>
    <w:rsid w:val="37B7226F"/>
    <w:rsid w:val="37DA5F5D"/>
    <w:rsid w:val="37E00298"/>
    <w:rsid w:val="37EA2644"/>
    <w:rsid w:val="37FD1780"/>
    <w:rsid w:val="38160BCD"/>
    <w:rsid w:val="382F7CEA"/>
    <w:rsid w:val="38741144"/>
    <w:rsid w:val="3882287D"/>
    <w:rsid w:val="388760E5"/>
    <w:rsid w:val="38970454"/>
    <w:rsid w:val="38A40A8A"/>
    <w:rsid w:val="38B1362A"/>
    <w:rsid w:val="38B302F9"/>
    <w:rsid w:val="38E56968"/>
    <w:rsid w:val="38F12CD3"/>
    <w:rsid w:val="38F372D7"/>
    <w:rsid w:val="38F94775"/>
    <w:rsid w:val="39193522"/>
    <w:rsid w:val="392971ED"/>
    <w:rsid w:val="39325651"/>
    <w:rsid w:val="394E6C03"/>
    <w:rsid w:val="395C28BD"/>
    <w:rsid w:val="396C7089"/>
    <w:rsid w:val="39754190"/>
    <w:rsid w:val="3990277E"/>
    <w:rsid w:val="39A0781F"/>
    <w:rsid w:val="39B65D36"/>
    <w:rsid w:val="39CA12F8"/>
    <w:rsid w:val="3A064DE8"/>
    <w:rsid w:val="3A4D0C68"/>
    <w:rsid w:val="3A647D60"/>
    <w:rsid w:val="3A872856"/>
    <w:rsid w:val="3AA30A29"/>
    <w:rsid w:val="3AC56A51"/>
    <w:rsid w:val="3AC645D3"/>
    <w:rsid w:val="3AE01ADD"/>
    <w:rsid w:val="3AE315CD"/>
    <w:rsid w:val="3B0A4C6A"/>
    <w:rsid w:val="3B3763D1"/>
    <w:rsid w:val="3B4E4967"/>
    <w:rsid w:val="3B54214A"/>
    <w:rsid w:val="3B572B8B"/>
    <w:rsid w:val="3B6B264B"/>
    <w:rsid w:val="3B8339BE"/>
    <w:rsid w:val="3BC46D08"/>
    <w:rsid w:val="3BCE3827"/>
    <w:rsid w:val="3BD57167"/>
    <w:rsid w:val="3BFC6E29"/>
    <w:rsid w:val="3C2C4A34"/>
    <w:rsid w:val="3C2F6E1E"/>
    <w:rsid w:val="3C4F64BA"/>
    <w:rsid w:val="3C5462DE"/>
    <w:rsid w:val="3C62138D"/>
    <w:rsid w:val="3C992753"/>
    <w:rsid w:val="3CA16716"/>
    <w:rsid w:val="3CAD1E2A"/>
    <w:rsid w:val="3CDA245A"/>
    <w:rsid w:val="3D1E06B7"/>
    <w:rsid w:val="3D5D7C7A"/>
    <w:rsid w:val="3D6C58AA"/>
    <w:rsid w:val="3D765C40"/>
    <w:rsid w:val="3D931088"/>
    <w:rsid w:val="3DA70690"/>
    <w:rsid w:val="3DA825AF"/>
    <w:rsid w:val="3DB95200"/>
    <w:rsid w:val="3DC10BB7"/>
    <w:rsid w:val="3DC72AE0"/>
    <w:rsid w:val="3DCE38DA"/>
    <w:rsid w:val="3DD376D7"/>
    <w:rsid w:val="3DDB22EB"/>
    <w:rsid w:val="3E0F6298"/>
    <w:rsid w:val="3E185FAA"/>
    <w:rsid w:val="3E4405D4"/>
    <w:rsid w:val="3E752787"/>
    <w:rsid w:val="3EA01CAF"/>
    <w:rsid w:val="3EBC63BD"/>
    <w:rsid w:val="3EDA0523"/>
    <w:rsid w:val="3EDE4585"/>
    <w:rsid w:val="3F252970"/>
    <w:rsid w:val="3F2B709E"/>
    <w:rsid w:val="3F556FEB"/>
    <w:rsid w:val="3F93386E"/>
    <w:rsid w:val="3FAC753A"/>
    <w:rsid w:val="3FCC28F9"/>
    <w:rsid w:val="3FF27CA7"/>
    <w:rsid w:val="3FFF3D9C"/>
    <w:rsid w:val="402204A1"/>
    <w:rsid w:val="40297A82"/>
    <w:rsid w:val="403501D5"/>
    <w:rsid w:val="40532D51"/>
    <w:rsid w:val="405C6CD6"/>
    <w:rsid w:val="407A6407"/>
    <w:rsid w:val="408F1FDB"/>
    <w:rsid w:val="40C24A7F"/>
    <w:rsid w:val="40C80671"/>
    <w:rsid w:val="40CD1F44"/>
    <w:rsid w:val="40E57E4D"/>
    <w:rsid w:val="40FB570F"/>
    <w:rsid w:val="411C3143"/>
    <w:rsid w:val="412D1250"/>
    <w:rsid w:val="413B7A6D"/>
    <w:rsid w:val="41405083"/>
    <w:rsid w:val="41935367"/>
    <w:rsid w:val="41BE41FA"/>
    <w:rsid w:val="41F7221D"/>
    <w:rsid w:val="4200449D"/>
    <w:rsid w:val="422E312E"/>
    <w:rsid w:val="422E75D1"/>
    <w:rsid w:val="423A3BCC"/>
    <w:rsid w:val="424E57D2"/>
    <w:rsid w:val="427E5C8F"/>
    <w:rsid w:val="42905DC8"/>
    <w:rsid w:val="429643F2"/>
    <w:rsid w:val="42A81132"/>
    <w:rsid w:val="42AD39C5"/>
    <w:rsid w:val="42B26C49"/>
    <w:rsid w:val="42FC20DE"/>
    <w:rsid w:val="430B0DF5"/>
    <w:rsid w:val="430E40C4"/>
    <w:rsid w:val="432033BE"/>
    <w:rsid w:val="432307B8"/>
    <w:rsid w:val="433A6FE6"/>
    <w:rsid w:val="434075BC"/>
    <w:rsid w:val="43480868"/>
    <w:rsid w:val="4350713C"/>
    <w:rsid w:val="436653E0"/>
    <w:rsid w:val="43C4431A"/>
    <w:rsid w:val="43F67065"/>
    <w:rsid w:val="44052996"/>
    <w:rsid w:val="44402643"/>
    <w:rsid w:val="447C1CFC"/>
    <w:rsid w:val="449432F8"/>
    <w:rsid w:val="44B951CC"/>
    <w:rsid w:val="44CD14E0"/>
    <w:rsid w:val="44D25191"/>
    <w:rsid w:val="44F20B0B"/>
    <w:rsid w:val="44FA379B"/>
    <w:rsid w:val="45225BE4"/>
    <w:rsid w:val="452E5F4C"/>
    <w:rsid w:val="452F432E"/>
    <w:rsid w:val="4541177A"/>
    <w:rsid w:val="45433394"/>
    <w:rsid w:val="4548134F"/>
    <w:rsid w:val="4550160D"/>
    <w:rsid w:val="45612018"/>
    <w:rsid w:val="457277D5"/>
    <w:rsid w:val="45731A80"/>
    <w:rsid w:val="458946E9"/>
    <w:rsid w:val="458C4EF7"/>
    <w:rsid w:val="458D7798"/>
    <w:rsid w:val="45A47C0E"/>
    <w:rsid w:val="45BC4EF4"/>
    <w:rsid w:val="45C41ABC"/>
    <w:rsid w:val="45CB58E7"/>
    <w:rsid w:val="45E00BE3"/>
    <w:rsid w:val="45ED4088"/>
    <w:rsid w:val="46251E5B"/>
    <w:rsid w:val="462F6CBA"/>
    <w:rsid w:val="46511AE0"/>
    <w:rsid w:val="46577FD6"/>
    <w:rsid w:val="46671F68"/>
    <w:rsid w:val="467A0589"/>
    <w:rsid w:val="469524ED"/>
    <w:rsid w:val="46D955A7"/>
    <w:rsid w:val="46DA332D"/>
    <w:rsid w:val="46DE39A8"/>
    <w:rsid w:val="47133957"/>
    <w:rsid w:val="47217705"/>
    <w:rsid w:val="47514230"/>
    <w:rsid w:val="47677F43"/>
    <w:rsid w:val="478D6B48"/>
    <w:rsid w:val="47A07E0C"/>
    <w:rsid w:val="47C06CD1"/>
    <w:rsid w:val="47DE5BA1"/>
    <w:rsid w:val="48074DC8"/>
    <w:rsid w:val="4820176A"/>
    <w:rsid w:val="48313978"/>
    <w:rsid w:val="4870272E"/>
    <w:rsid w:val="48733014"/>
    <w:rsid w:val="48BA1BBF"/>
    <w:rsid w:val="493C25D4"/>
    <w:rsid w:val="49454B87"/>
    <w:rsid w:val="496166CE"/>
    <w:rsid w:val="49670139"/>
    <w:rsid w:val="497C50C6"/>
    <w:rsid w:val="49D15A99"/>
    <w:rsid w:val="49DC7715"/>
    <w:rsid w:val="4A023139"/>
    <w:rsid w:val="4A0262FB"/>
    <w:rsid w:val="4A123335"/>
    <w:rsid w:val="4A160D7D"/>
    <w:rsid w:val="4A6242BC"/>
    <w:rsid w:val="4A7B576F"/>
    <w:rsid w:val="4A8835F7"/>
    <w:rsid w:val="4A8F0E29"/>
    <w:rsid w:val="4AF561A9"/>
    <w:rsid w:val="4B5A585B"/>
    <w:rsid w:val="4B6650BF"/>
    <w:rsid w:val="4BAE17E9"/>
    <w:rsid w:val="4BF076A6"/>
    <w:rsid w:val="4BF733D2"/>
    <w:rsid w:val="4C0F5D7E"/>
    <w:rsid w:val="4C3776D1"/>
    <w:rsid w:val="4C47265F"/>
    <w:rsid w:val="4C4A0649"/>
    <w:rsid w:val="4C660D96"/>
    <w:rsid w:val="4C7B1665"/>
    <w:rsid w:val="4C7E5ECA"/>
    <w:rsid w:val="4C876AA5"/>
    <w:rsid w:val="4C9C4934"/>
    <w:rsid w:val="4CAD0BE6"/>
    <w:rsid w:val="4CD15729"/>
    <w:rsid w:val="4CF51418"/>
    <w:rsid w:val="4CFF4044"/>
    <w:rsid w:val="4D0E00FB"/>
    <w:rsid w:val="4D176606"/>
    <w:rsid w:val="4D312E65"/>
    <w:rsid w:val="4D445910"/>
    <w:rsid w:val="4D690786"/>
    <w:rsid w:val="4DEC4FB0"/>
    <w:rsid w:val="4DF55F84"/>
    <w:rsid w:val="4E075D8A"/>
    <w:rsid w:val="4E3E6DEE"/>
    <w:rsid w:val="4E481A1B"/>
    <w:rsid w:val="4E5E123E"/>
    <w:rsid w:val="4E9407BC"/>
    <w:rsid w:val="4EC00FAD"/>
    <w:rsid w:val="4ECC7F56"/>
    <w:rsid w:val="4ED11A10"/>
    <w:rsid w:val="4F6545A3"/>
    <w:rsid w:val="4F9843DC"/>
    <w:rsid w:val="4F9A62A6"/>
    <w:rsid w:val="4FC62A8C"/>
    <w:rsid w:val="4FCB4922"/>
    <w:rsid w:val="4FE20F0D"/>
    <w:rsid w:val="4FE51552"/>
    <w:rsid w:val="4FEE4B51"/>
    <w:rsid w:val="501F0167"/>
    <w:rsid w:val="5039527E"/>
    <w:rsid w:val="50410D1A"/>
    <w:rsid w:val="50493720"/>
    <w:rsid w:val="50504C4B"/>
    <w:rsid w:val="506A211C"/>
    <w:rsid w:val="50774673"/>
    <w:rsid w:val="509C6E7C"/>
    <w:rsid w:val="50FA5388"/>
    <w:rsid w:val="51257E49"/>
    <w:rsid w:val="51414A1D"/>
    <w:rsid w:val="514B3CFC"/>
    <w:rsid w:val="5157619E"/>
    <w:rsid w:val="5162104E"/>
    <w:rsid w:val="51844B18"/>
    <w:rsid w:val="51936EAF"/>
    <w:rsid w:val="51A72EFC"/>
    <w:rsid w:val="51AE428B"/>
    <w:rsid w:val="520356C5"/>
    <w:rsid w:val="522B58DB"/>
    <w:rsid w:val="524348E1"/>
    <w:rsid w:val="52990118"/>
    <w:rsid w:val="529E7037"/>
    <w:rsid w:val="53027B4A"/>
    <w:rsid w:val="53915C12"/>
    <w:rsid w:val="53A039CC"/>
    <w:rsid w:val="53A1505A"/>
    <w:rsid w:val="53FD75E2"/>
    <w:rsid w:val="540204AC"/>
    <w:rsid w:val="54063E08"/>
    <w:rsid w:val="543162F7"/>
    <w:rsid w:val="543437E8"/>
    <w:rsid w:val="546A2DEB"/>
    <w:rsid w:val="54CF2703"/>
    <w:rsid w:val="54D95921"/>
    <w:rsid w:val="54F73313"/>
    <w:rsid w:val="54F80955"/>
    <w:rsid w:val="55055DF5"/>
    <w:rsid w:val="55055F70"/>
    <w:rsid w:val="55173F27"/>
    <w:rsid w:val="5521543B"/>
    <w:rsid w:val="555170A7"/>
    <w:rsid w:val="555B64D8"/>
    <w:rsid w:val="557E2E1C"/>
    <w:rsid w:val="5587536D"/>
    <w:rsid w:val="558D3B57"/>
    <w:rsid w:val="559B174B"/>
    <w:rsid w:val="559C5290"/>
    <w:rsid w:val="55A91E88"/>
    <w:rsid w:val="55B17EA6"/>
    <w:rsid w:val="55CE0CF4"/>
    <w:rsid w:val="55E22755"/>
    <w:rsid w:val="562E7C75"/>
    <w:rsid w:val="564239D0"/>
    <w:rsid w:val="566B6874"/>
    <w:rsid w:val="566D4546"/>
    <w:rsid w:val="5696543F"/>
    <w:rsid w:val="56B0706B"/>
    <w:rsid w:val="56B22A9C"/>
    <w:rsid w:val="56F031A2"/>
    <w:rsid w:val="57041B98"/>
    <w:rsid w:val="5705749F"/>
    <w:rsid w:val="575B456D"/>
    <w:rsid w:val="578C37ED"/>
    <w:rsid w:val="57B72A76"/>
    <w:rsid w:val="57C3426C"/>
    <w:rsid w:val="57CE1F93"/>
    <w:rsid w:val="58093FC9"/>
    <w:rsid w:val="581304DA"/>
    <w:rsid w:val="584D65AC"/>
    <w:rsid w:val="587C5421"/>
    <w:rsid w:val="588743D1"/>
    <w:rsid w:val="5887701A"/>
    <w:rsid w:val="58AE691E"/>
    <w:rsid w:val="58E43182"/>
    <w:rsid w:val="58F00CE5"/>
    <w:rsid w:val="59170968"/>
    <w:rsid w:val="592A16CF"/>
    <w:rsid w:val="59594ADC"/>
    <w:rsid w:val="597205FD"/>
    <w:rsid w:val="597E09E7"/>
    <w:rsid w:val="599124C8"/>
    <w:rsid w:val="59995821"/>
    <w:rsid w:val="59AA17DC"/>
    <w:rsid w:val="59C0439F"/>
    <w:rsid w:val="59FB3DE5"/>
    <w:rsid w:val="5A3A3F5E"/>
    <w:rsid w:val="5A511C57"/>
    <w:rsid w:val="5A677BBD"/>
    <w:rsid w:val="5A7E5A6C"/>
    <w:rsid w:val="5A843DDB"/>
    <w:rsid w:val="5A983AE6"/>
    <w:rsid w:val="5AB87F28"/>
    <w:rsid w:val="5ABE2233"/>
    <w:rsid w:val="5ACB37B8"/>
    <w:rsid w:val="5B3C46B5"/>
    <w:rsid w:val="5B461090"/>
    <w:rsid w:val="5B7D2B84"/>
    <w:rsid w:val="5B823D60"/>
    <w:rsid w:val="5BDF5D95"/>
    <w:rsid w:val="5BFE7528"/>
    <w:rsid w:val="5C1318BA"/>
    <w:rsid w:val="5C7D6D34"/>
    <w:rsid w:val="5C8005D2"/>
    <w:rsid w:val="5C89392A"/>
    <w:rsid w:val="5CA72002"/>
    <w:rsid w:val="5CBC3D69"/>
    <w:rsid w:val="5CD13741"/>
    <w:rsid w:val="5CF377DB"/>
    <w:rsid w:val="5CFE60C6"/>
    <w:rsid w:val="5D1C42B7"/>
    <w:rsid w:val="5D210677"/>
    <w:rsid w:val="5D750D98"/>
    <w:rsid w:val="5D973E25"/>
    <w:rsid w:val="5DB6489C"/>
    <w:rsid w:val="5E2467F1"/>
    <w:rsid w:val="5E391C8F"/>
    <w:rsid w:val="5E4A70E9"/>
    <w:rsid w:val="5E683332"/>
    <w:rsid w:val="5E6D537C"/>
    <w:rsid w:val="5EA42C4C"/>
    <w:rsid w:val="5ED15115"/>
    <w:rsid w:val="5EEE0F96"/>
    <w:rsid w:val="5F015B56"/>
    <w:rsid w:val="5F1A2B43"/>
    <w:rsid w:val="5F775CBC"/>
    <w:rsid w:val="5F7E6BB3"/>
    <w:rsid w:val="5F90044E"/>
    <w:rsid w:val="5F9E3F7A"/>
    <w:rsid w:val="5FB837BB"/>
    <w:rsid w:val="5FCF155A"/>
    <w:rsid w:val="5FE80968"/>
    <w:rsid w:val="607466A0"/>
    <w:rsid w:val="60791478"/>
    <w:rsid w:val="60A54AAB"/>
    <w:rsid w:val="60CC405A"/>
    <w:rsid w:val="60ED796A"/>
    <w:rsid w:val="61296FE4"/>
    <w:rsid w:val="6155495D"/>
    <w:rsid w:val="6157283E"/>
    <w:rsid w:val="61597D0A"/>
    <w:rsid w:val="615A7643"/>
    <w:rsid w:val="61B07A64"/>
    <w:rsid w:val="61CE7201"/>
    <w:rsid w:val="61E215D8"/>
    <w:rsid w:val="61E3588B"/>
    <w:rsid w:val="620B00FB"/>
    <w:rsid w:val="621B3775"/>
    <w:rsid w:val="62364782"/>
    <w:rsid w:val="62465E1A"/>
    <w:rsid w:val="624D0F56"/>
    <w:rsid w:val="626F78C6"/>
    <w:rsid w:val="628A4057"/>
    <w:rsid w:val="629A11C6"/>
    <w:rsid w:val="62D062DC"/>
    <w:rsid w:val="62DB075A"/>
    <w:rsid w:val="62E82749"/>
    <w:rsid w:val="62EA49F7"/>
    <w:rsid w:val="63406D08"/>
    <w:rsid w:val="63576530"/>
    <w:rsid w:val="636874DE"/>
    <w:rsid w:val="637D6073"/>
    <w:rsid w:val="6394356A"/>
    <w:rsid w:val="63BD494D"/>
    <w:rsid w:val="63C61B2C"/>
    <w:rsid w:val="63CF256B"/>
    <w:rsid w:val="63D40BE9"/>
    <w:rsid w:val="63E01F11"/>
    <w:rsid w:val="6408782B"/>
    <w:rsid w:val="64102431"/>
    <w:rsid w:val="641C6E32"/>
    <w:rsid w:val="6422437D"/>
    <w:rsid w:val="64436AB5"/>
    <w:rsid w:val="64664551"/>
    <w:rsid w:val="64A5243A"/>
    <w:rsid w:val="64A730BA"/>
    <w:rsid w:val="64B976A1"/>
    <w:rsid w:val="64F531DE"/>
    <w:rsid w:val="650F287B"/>
    <w:rsid w:val="65373578"/>
    <w:rsid w:val="659B647C"/>
    <w:rsid w:val="65A075A5"/>
    <w:rsid w:val="65C15EE3"/>
    <w:rsid w:val="65FE36F1"/>
    <w:rsid w:val="662D7DB4"/>
    <w:rsid w:val="6659611C"/>
    <w:rsid w:val="66600C1F"/>
    <w:rsid w:val="6667285F"/>
    <w:rsid w:val="66C703C6"/>
    <w:rsid w:val="671F124A"/>
    <w:rsid w:val="672569C0"/>
    <w:rsid w:val="67543978"/>
    <w:rsid w:val="67672A43"/>
    <w:rsid w:val="67690C55"/>
    <w:rsid w:val="6776572B"/>
    <w:rsid w:val="677A33C6"/>
    <w:rsid w:val="680E1C93"/>
    <w:rsid w:val="681F6961"/>
    <w:rsid w:val="68610A2F"/>
    <w:rsid w:val="68805514"/>
    <w:rsid w:val="688F22C8"/>
    <w:rsid w:val="68EA5344"/>
    <w:rsid w:val="68F71C1C"/>
    <w:rsid w:val="68FC5484"/>
    <w:rsid w:val="691B3B5C"/>
    <w:rsid w:val="692C5D69"/>
    <w:rsid w:val="692D0ABF"/>
    <w:rsid w:val="69316E2F"/>
    <w:rsid w:val="693D1147"/>
    <w:rsid w:val="69483BFB"/>
    <w:rsid w:val="694E2071"/>
    <w:rsid w:val="69766163"/>
    <w:rsid w:val="697A3B33"/>
    <w:rsid w:val="69D40B06"/>
    <w:rsid w:val="69D44760"/>
    <w:rsid w:val="69D8593D"/>
    <w:rsid w:val="6A010FA4"/>
    <w:rsid w:val="6A152CA1"/>
    <w:rsid w:val="6A3D4F22"/>
    <w:rsid w:val="6A520EC7"/>
    <w:rsid w:val="6ABD56D4"/>
    <w:rsid w:val="6AC50223"/>
    <w:rsid w:val="6ACC03E5"/>
    <w:rsid w:val="6AF87E20"/>
    <w:rsid w:val="6B013226"/>
    <w:rsid w:val="6B105217"/>
    <w:rsid w:val="6B146AB5"/>
    <w:rsid w:val="6B1E7934"/>
    <w:rsid w:val="6B322639"/>
    <w:rsid w:val="6B402421"/>
    <w:rsid w:val="6B427AC6"/>
    <w:rsid w:val="6B445FE5"/>
    <w:rsid w:val="6B6537B4"/>
    <w:rsid w:val="6B6A6249"/>
    <w:rsid w:val="6BB14923"/>
    <w:rsid w:val="6BC77FCB"/>
    <w:rsid w:val="6BE16580"/>
    <w:rsid w:val="6BE93DDD"/>
    <w:rsid w:val="6BEA5A68"/>
    <w:rsid w:val="6C026E6B"/>
    <w:rsid w:val="6C376EFF"/>
    <w:rsid w:val="6C386A6F"/>
    <w:rsid w:val="6C636C38"/>
    <w:rsid w:val="6C903A1B"/>
    <w:rsid w:val="6CF66C90"/>
    <w:rsid w:val="6CFB4F66"/>
    <w:rsid w:val="6D0D34E8"/>
    <w:rsid w:val="6D0F1B4A"/>
    <w:rsid w:val="6D3C0545"/>
    <w:rsid w:val="6D76719A"/>
    <w:rsid w:val="6D9D5488"/>
    <w:rsid w:val="6DB34098"/>
    <w:rsid w:val="6DB545B6"/>
    <w:rsid w:val="6DE02FB4"/>
    <w:rsid w:val="6E082493"/>
    <w:rsid w:val="6E0D44DD"/>
    <w:rsid w:val="6E180E75"/>
    <w:rsid w:val="6E514CED"/>
    <w:rsid w:val="6E587EF0"/>
    <w:rsid w:val="6E657628"/>
    <w:rsid w:val="6EB563D5"/>
    <w:rsid w:val="6ED92677"/>
    <w:rsid w:val="6EF2535F"/>
    <w:rsid w:val="6EF30727"/>
    <w:rsid w:val="6F125A01"/>
    <w:rsid w:val="6F1C301B"/>
    <w:rsid w:val="6F225983"/>
    <w:rsid w:val="6F272D79"/>
    <w:rsid w:val="6F3F65FD"/>
    <w:rsid w:val="6F5676B5"/>
    <w:rsid w:val="6F5C24C6"/>
    <w:rsid w:val="6F9A6613"/>
    <w:rsid w:val="6FA2417A"/>
    <w:rsid w:val="6FAF0934"/>
    <w:rsid w:val="6FB940CF"/>
    <w:rsid w:val="6FC41245"/>
    <w:rsid w:val="6FFC5590"/>
    <w:rsid w:val="701F45FF"/>
    <w:rsid w:val="702A0B29"/>
    <w:rsid w:val="706D1DD0"/>
    <w:rsid w:val="70856B87"/>
    <w:rsid w:val="70890CA2"/>
    <w:rsid w:val="708A1546"/>
    <w:rsid w:val="70935192"/>
    <w:rsid w:val="70C67FD5"/>
    <w:rsid w:val="70D527EE"/>
    <w:rsid w:val="70E707C8"/>
    <w:rsid w:val="71092E34"/>
    <w:rsid w:val="712B4B58"/>
    <w:rsid w:val="71494FDF"/>
    <w:rsid w:val="714D0F73"/>
    <w:rsid w:val="715B5300"/>
    <w:rsid w:val="718129CA"/>
    <w:rsid w:val="71B72890"/>
    <w:rsid w:val="71D27F8A"/>
    <w:rsid w:val="71D451F0"/>
    <w:rsid w:val="71FF4B0D"/>
    <w:rsid w:val="723B526F"/>
    <w:rsid w:val="72553024"/>
    <w:rsid w:val="726102B7"/>
    <w:rsid w:val="72730565"/>
    <w:rsid w:val="72777ABE"/>
    <w:rsid w:val="72E476B5"/>
    <w:rsid w:val="72F62F44"/>
    <w:rsid w:val="73122968"/>
    <w:rsid w:val="731F5D5E"/>
    <w:rsid w:val="732B0B4C"/>
    <w:rsid w:val="737C78ED"/>
    <w:rsid w:val="738B18DE"/>
    <w:rsid w:val="7395092A"/>
    <w:rsid w:val="73A9748C"/>
    <w:rsid w:val="73BE4A07"/>
    <w:rsid w:val="73C51AD5"/>
    <w:rsid w:val="741E793C"/>
    <w:rsid w:val="744A31CF"/>
    <w:rsid w:val="745E3944"/>
    <w:rsid w:val="74933140"/>
    <w:rsid w:val="749649DF"/>
    <w:rsid w:val="74977F3F"/>
    <w:rsid w:val="749D1AE2"/>
    <w:rsid w:val="74B354B0"/>
    <w:rsid w:val="751A00A9"/>
    <w:rsid w:val="753C37D8"/>
    <w:rsid w:val="75571319"/>
    <w:rsid w:val="756B0B47"/>
    <w:rsid w:val="75AB44BA"/>
    <w:rsid w:val="75AD4DDE"/>
    <w:rsid w:val="75B82733"/>
    <w:rsid w:val="760E7F36"/>
    <w:rsid w:val="7613461F"/>
    <w:rsid w:val="7635099D"/>
    <w:rsid w:val="76541BEA"/>
    <w:rsid w:val="76A34D11"/>
    <w:rsid w:val="76E969F9"/>
    <w:rsid w:val="77071D3A"/>
    <w:rsid w:val="77762421"/>
    <w:rsid w:val="77891BFB"/>
    <w:rsid w:val="77AE0291"/>
    <w:rsid w:val="77B56B1F"/>
    <w:rsid w:val="77CF6762"/>
    <w:rsid w:val="77D04378"/>
    <w:rsid w:val="77D25518"/>
    <w:rsid w:val="77F02658"/>
    <w:rsid w:val="780307FC"/>
    <w:rsid w:val="780F09F4"/>
    <w:rsid w:val="78134384"/>
    <w:rsid w:val="78197F79"/>
    <w:rsid w:val="782162A5"/>
    <w:rsid w:val="78263E99"/>
    <w:rsid w:val="78507348"/>
    <w:rsid w:val="786C7F30"/>
    <w:rsid w:val="78A90480"/>
    <w:rsid w:val="78AE133E"/>
    <w:rsid w:val="78D94774"/>
    <w:rsid w:val="790006F7"/>
    <w:rsid w:val="79091316"/>
    <w:rsid w:val="79221B80"/>
    <w:rsid w:val="792C56FF"/>
    <w:rsid w:val="79450781"/>
    <w:rsid w:val="794A0B07"/>
    <w:rsid w:val="79D37B8A"/>
    <w:rsid w:val="79EE2DBB"/>
    <w:rsid w:val="7A14209F"/>
    <w:rsid w:val="7A146AD1"/>
    <w:rsid w:val="7A1F7224"/>
    <w:rsid w:val="7A2F56B9"/>
    <w:rsid w:val="7A364017"/>
    <w:rsid w:val="7A727261"/>
    <w:rsid w:val="7A8265E1"/>
    <w:rsid w:val="7AC600F1"/>
    <w:rsid w:val="7AD95625"/>
    <w:rsid w:val="7ADD260C"/>
    <w:rsid w:val="7AE2272C"/>
    <w:rsid w:val="7B187EFC"/>
    <w:rsid w:val="7B193C74"/>
    <w:rsid w:val="7B264F88"/>
    <w:rsid w:val="7B2D77C9"/>
    <w:rsid w:val="7B3D2CE1"/>
    <w:rsid w:val="7B3E36DA"/>
    <w:rsid w:val="7B686D42"/>
    <w:rsid w:val="7B7F4A9A"/>
    <w:rsid w:val="7B841746"/>
    <w:rsid w:val="7BD3198E"/>
    <w:rsid w:val="7BDE0BC1"/>
    <w:rsid w:val="7BF32717"/>
    <w:rsid w:val="7C0D27E3"/>
    <w:rsid w:val="7C360505"/>
    <w:rsid w:val="7C6C5AC7"/>
    <w:rsid w:val="7C791A94"/>
    <w:rsid w:val="7CC6544B"/>
    <w:rsid w:val="7D0239FF"/>
    <w:rsid w:val="7D4C20DE"/>
    <w:rsid w:val="7D5E40CD"/>
    <w:rsid w:val="7D6F2271"/>
    <w:rsid w:val="7D834497"/>
    <w:rsid w:val="7DA01638"/>
    <w:rsid w:val="7DCD56F2"/>
    <w:rsid w:val="7DD767E7"/>
    <w:rsid w:val="7DEB18F7"/>
    <w:rsid w:val="7DF033B2"/>
    <w:rsid w:val="7E0E5AF8"/>
    <w:rsid w:val="7E192908"/>
    <w:rsid w:val="7E221091"/>
    <w:rsid w:val="7E5B6A3D"/>
    <w:rsid w:val="7E6B1FAA"/>
    <w:rsid w:val="7E747B3F"/>
    <w:rsid w:val="7EA63A70"/>
    <w:rsid w:val="7EA939DA"/>
    <w:rsid w:val="7EDC7D00"/>
    <w:rsid w:val="7EDD2085"/>
    <w:rsid w:val="7EF04CF2"/>
    <w:rsid w:val="7F001CE7"/>
    <w:rsid w:val="7F0C421B"/>
    <w:rsid w:val="7F182D5C"/>
    <w:rsid w:val="7F3C5F37"/>
    <w:rsid w:val="7FDB3BED"/>
    <w:rsid w:val="7FE47E50"/>
    <w:rsid w:val="7FF16F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semiHidden="0" w:name="Normal Indent" w:locked="1"/>
    <w:lsdException w:unhideWhenUsed="0" w:uiPriority="0" w:semiHidden="0" w:name="footnote text" w:locked="1"/>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99" w:semiHidden="0" w:name="annotation reference"/>
    <w:lsdException w:unhideWhenUsed="0" w:uiPriority="0" w:semiHidden="0" w:name="line number" w:locked="1"/>
    <w:lsdException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qFormat="1" w:uiPriority="99" w:semiHidden="0" w:name="Salutation" w:locked="1"/>
    <w:lsdException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unhideWhenUsed="0" w:uiPriority="0" w:name="Normal Table"/>
    <w:lsdException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0" w:name="Balloon Text"/>
    <w:lsdException w:qFormat="1" w:unhideWhenUsed="0" w:uiPriority="0" w:semiHidden="0" w:name="Table Grid"/>
    <w:lsdException w:unhideWhenUsed="0" w:uiPriority="0" w:semiHidden="0"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99"/>
    <w:pPr>
      <w:keepNext/>
      <w:overflowPunct w:val="0"/>
      <w:snapToGrid w:val="0"/>
      <w:spacing w:line="360" w:lineRule="auto"/>
      <w:outlineLvl w:val="0"/>
    </w:pPr>
    <w:rPr>
      <w:b/>
      <w:bCs/>
      <w:color w:val="000000"/>
      <w:kern w:val="44"/>
      <w:sz w:val="30"/>
      <w:szCs w:val="30"/>
    </w:rPr>
  </w:style>
  <w:style w:type="paragraph" w:styleId="4">
    <w:name w:val="heading 2"/>
    <w:basedOn w:val="1"/>
    <w:next w:val="1"/>
    <w:link w:val="31"/>
    <w:qFormat/>
    <w:locked/>
    <w:uiPriority w:val="0"/>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32"/>
    <w:qFormat/>
    <w:locked/>
    <w:uiPriority w:val="0"/>
    <w:pPr>
      <w:keepNext/>
      <w:keepLines/>
      <w:spacing w:before="260" w:after="260" w:line="416" w:lineRule="auto"/>
      <w:outlineLvl w:val="2"/>
    </w:pPr>
    <w:rPr>
      <w:b/>
      <w:bCs/>
      <w:sz w:val="32"/>
      <w:szCs w:val="32"/>
    </w:rPr>
  </w:style>
  <w:style w:type="paragraph" w:styleId="6">
    <w:name w:val="heading 4"/>
    <w:basedOn w:val="1"/>
    <w:next w:val="1"/>
    <w:link w:val="33"/>
    <w:qFormat/>
    <w:locked/>
    <w:uiPriority w:val="0"/>
    <w:pPr>
      <w:keepNext/>
      <w:keepLines/>
      <w:spacing w:before="280" w:after="290" w:line="376" w:lineRule="auto"/>
      <w:outlineLvl w:val="3"/>
    </w:pPr>
    <w:rPr>
      <w:rFonts w:ascii="Cambria" w:hAnsi="Cambria" w:eastAsia="宋体" w:cs="Times New Roman"/>
      <w:b/>
      <w:bCs/>
      <w:sz w:val="28"/>
      <w:szCs w:val="28"/>
    </w:rPr>
  </w:style>
  <w:style w:type="paragraph" w:styleId="7">
    <w:name w:val="heading 5"/>
    <w:basedOn w:val="1"/>
    <w:next w:val="1"/>
    <w:unhideWhenUsed/>
    <w:qFormat/>
    <w:locked/>
    <w:uiPriority w:val="0"/>
    <w:pPr>
      <w:keepNext/>
      <w:keepLines/>
      <w:spacing w:beforeLines="0" w:beforeAutospacing="0" w:afterLines="0" w:afterAutospacing="0" w:line="360" w:lineRule="auto"/>
      <w:ind w:firstLine="0" w:firstLineChars="0"/>
      <w:jc w:val="center"/>
      <w:outlineLvl w:val="4"/>
    </w:pPr>
    <w:rPr>
      <w:rFonts w:ascii="Times New Roman" w:hAnsi="Times New Roman" w:eastAsia="宋体"/>
      <w:b/>
    </w:rPr>
  </w:style>
  <w:style w:type="character" w:default="1" w:styleId="27">
    <w:name w:val="Default Paragraph Font"/>
    <w:semiHidden/>
    <w:uiPriority w:val="0"/>
  </w:style>
  <w:style w:type="table" w:default="1" w:styleId="25">
    <w:name w:val="Normal Table"/>
    <w:semiHidden/>
    <w:uiPriority w:val="0"/>
    <w:tblPr>
      <w:tblCellMar>
        <w:top w:w="0" w:type="dxa"/>
        <w:left w:w="108" w:type="dxa"/>
        <w:bottom w:w="0" w:type="dxa"/>
        <w:right w:w="108" w:type="dxa"/>
      </w:tblCellMar>
    </w:tblPr>
  </w:style>
  <w:style w:type="paragraph" w:customStyle="1" w:styleId="2">
    <w:name w:val="样式 黑色 行距: 最小值 26 磅"/>
    <w:basedOn w:val="1"/>
    <w:qFormat/>
    <w:uiPriority w:val="0"/>
    <w:pPr>
      <w:ind w:firstLine="200" w:firstLineChars="200"/>
      <w:jc w:val="left"/>
    </w:pPr>
    <w:rPr>
      <w:rFonts w:eastAsia="楷体_GB2312" w:cs="宋体"/>
      <w:color w:val="000000"/>
      <w:spacing w:val="6"/>
      <w:sz w:val="28"/>
      <w:szCs w:val="20"/>
    </w:rPr>
  </w:style>
  <w:style w:type="paragraph" w:styleId="8">
    <w:name w:val="Normal Indent"/>
    <w:basedOn w:val="1"/>
    <w:next w:val="1"/>
    <w:link w:val="34"/>
    <w:unhideWhenUsed/>
    <w:locked/>
    <w:uiPriority w:val="0"/>
    <w:pPr>
      <w:spacing w:line="360" w:lineRule="auto"/>
      <w:ind w:firstLine="420" w:firstLineChars="200"/>
    </w:pPr>
    <w:rPr>
      <w:kern w:val="0"/>
      <w:sz w:val="24"/>
      <w:szCs w:val="22"/>
    </w:rPr>
  </w:style>
  <w:style w:type="paragraph" w:styleId="9">
    <w:name w:val="annotation text"/>
    <w:basedOn w:val="1"/>
    <w:link w:val="35"/>
    <w:qFormat/>
    <w:uiPriority w:val="99"/>
    <w:pPr>
      <w:jc w:val="left"/>
    </w:pPr>
    <w:rPr>
      <w:kern w:val="0"/>
      <w:sz w:val="24"/>
      <w:szCs w:val="20"/>
    </w:rPr>
  </w:style>
  <w:style w:type="paragraph" w:styleId="10">
    <w:name w:val="Salutation"/>
    <w:next w:val="1"/>
    <w:unhideWhenUsed/>
    <w:qFormat/>
    <w:locked/>
    <w:uiPriority w:val="99"/>
    <w:pPr>
      <w:widowControl w:val="0"/>
      <w:spacing w:line="307" w:lineRule="auto"/>
      <w:jc w:val="both"/>
    </w:pPr>
    <w:rPr>
      <w:rFonts w:ascii="Times New Roman" w:hAnsi="Times New Roman" w:eastAsia="宋体" w:cs="Times New Roman"/>
      <w:kern w:val="2"/>
      <w:sz w:val="21"/>
      <w:szCs w:val="24"/>
      <w:lang w:val="en-US" w:eastAsia="zh-CN" w:bidi="ar-SA"/>
    </w:rPr>
  </w:style>
  <w:style w:type="paragraph" w:styleId="11">
    <w:name w:val="Body Text"/>
    <w:basedOn w:val="1"/>
    <w:next w:val="1"/>
    <w:link w:val="36"/>
    <w:uiPriority w:val="0"/>
    <w:pPr>
      <w:widowControl/>
      <w:snapToGrid w:val="0"/>
      <w:spacing w:before="60" w:after="160" w:line="259" w:lineRule="auto"/>
      <w:ind w:right="113"/>
    </w:pPr>
    <w:rPr>
      <w:kern w:val="0"/>
      <w:sz w:val="18"/>
      <w:szCs w:val="20"/>
    </w:rPr>
  </w:style>
  <w:style w:type="paragraph" w:styleId="12">
    <w:name w:val="Body Text Indent"/>
    <w:basedOn w:val="1"/>
    <w:link w:val="37"/>
    <w:uiPriority w:val="0"/>
    <w:pPr>
      <w:spacing w:after="120"/>
      <w:ind w:left="420" w:leftChars="200"/>
    </w:pPr>
    <w:rPr>
      <w:kern w:val="0"/>
      <w:sz w:val="24"/>
      <w:szCs w:val="20"/>
    </w:rPr>
  </w:style>
  <w:style w:type="paragraph" w:styleId="13">
    <w:name w:val="Plain Text"/>
    <w:basedOn w:val="1"/>
    <w:next w:val="11"/>
    <w:link w:val="38"/>
    <w:locked/>
    <w:uiPriority w:val="0"/>
    <w:pPr>
      <w:spacing w:line="360" w:lineRule="auto"/>
      <w:ind w:firstLine="720" w:firstLineChars="200"/>
    </w:pPr>
    <w:rPr>
      <w:rFonts w:ascii="宋体" w:hAnsi="Courier New"/>
      <w:sz w:val="24"/>
      <w:szCs w:val="20"/>
    </w:rPr>
  </w:style>
  <w:style w:type="paragraph" w:styleId="14">
    <w:name w:val="Date"/>
    <w:basedOn w:val="1"/>
    <w:next w:val="1"/>
    <w:link w:val="39"/>
    <w:uiPriority w:val="0"/>
    <w:pPr>
      <w:ind w:left="100" w:leftChars="2500"/>
    </w:pPr>
    <w:rPr>
      <w:kern w:val="0"/>
      <w:sz w:val="24"/>
      <w:szCs w:val="20"/>
    </w:rPr>
  </w:style>
  <w:style w:type="paragraph" w:styleId="15">
    <w:name w:val="Balloon Text"/>
    <w:basedOn w:val="1"/>
    <w:link w:val="40"/>
    <w:semiHidden/>
    <w:uiPriority w:val="0"/>
    <w:rPr>
      <w:kern w:val="0"/>
      <w:sz w:val="18"/>
      <w:szCs w:val="20"/>
    </w:rPr>
  </w:style>
  <w:style w:type="paragraph" w:styleId="16">
    <w:name w:val="footer"/>
    <w:basedOn w:val="1"/>
    <w:link w:val="41"/>
    <w:uiPriority w:val="0"/>
    <w:pPr>
      <w:tabs>
        <w:tab w:val="center" w:pos="4153"/>
        <w:tab w:val="right" w:pos="8306"/>
      </w:tabs>
      <w:snapToGrid w:val="0"/>
      <w:jc w:val="left"/>
    </w:pPr>
    <w:rPr>
      <w:kern w:val="0"/>
      <w:sz w:val="18"/>
      <w:szCs w:val="20"/>
    </w:rPr>
  </w:style>
  <w:style w:type="paragraph" w:styleId="17">
    <w:name w:val="header"/>
    <w:basedOn w:val="1"/>
    <w:link w:val="42"/>
    <w:uiPriority w:val="0"/>
    <w:pPr>
      <w:pBdr>
        <w:bottom w:val="single" w:color="auto" w:sz="6" w:space="1"/>
      </w:pBdr>
      <w:tabs>
        <w:tab w:val="center" w:pos="4153"/>
        <w:tab w:val="right" w:pos="8306"/>
      </w:tabs>
      <w:snapToGrid w:val="0"/>
      <w:jc w:val="center"/>
    </w:pPr>
    <w:rPr>
      <w:kern w:val="0"/>
      <w:sz w:val="18"/>
      <w:szCs w:val="20"/>
    </w:rPr>
  </w:style>
  <w:style w:type="paragraph" w:styleId="18">
    <w:name w:val="toc 1"/>
    <w:basedOn w:val="1"/>
    <w:next w:val="1"/>
    <w:unhideWhenUsed/>
    <w:qFormat/>
    <w:locked/>
    <w:uiPriority w:val="39"/>
    <w:pPr>
      <w:autoSpaceDE w:val="0"/>
      <w:autoSpaceDN w:val="0"/>
      <w:spacing w:before="217"/>
      <w:ind w:left="526" w:hanging="206"/>
      <w:jc w:val="left"/>
    </w:pPr>
    <w:rPr>
      <w:rFonts w:ascii="宋体" w:hAnsi="宋体" w:cs="宋体"/>
      <w:b/>
      <w:bCs/>
      <w:kern w:val="0"/>
      <w:sz w:val="24"/>
      <w:lang w:val="zh-CN" w:bidi="zh-CN"/>
    </w:rPr>
  </w:style>
  <w:style w:type="paragraph" w:styleId="19">
    <w:name w:val="List"/>
    <w:basedOn w:val="1"/>
    <w:qFormat/>
    <w:locked/>
    <w:uiPriority w:val="0"/>
    <w:pPr>
      <w:ind w:left="200" w:hanging="200" w:hangingChars="200"/>
    </w:pPr>
  </w:style>
  <w:style w:type="paragraph" w:styleId="20">
    <w:name w:val="Normal (Web)"/>
    <w:basedOn w:val="1"/>
    <w:link w:val="43"/>
    <w:uiPriority w:val="0"/>
    <w:pPr>
      <w:widowControl/>
      <w:spacing w:before="100" w:beforeAutospacing="1" w:after="100" w:afterAutospacing="1"/>
      <w:jc w:val="left"/>
    </w:pPr>
    <w:rPr>
      <w:rFonts w:ascii="宋体" w:hAnsi="宋体"/>
      <w:kern w:val="0"/>
      <w:sz w:val="24"/>
      <w:szCs w:val="20"/>
    </w:rPr>
  </w:style>
  <w:style w:type="paragraph" w:styleId="21">
    <w:name w:val="Title"/>
    <w:basedOn w:val="1"/>
    <w:next w:val="1"/>
    <w:link w:val="44"/>
    <w:qFormat/>
    <w:locked/>
    <w:uiPriority w:val="0"/>
    <w:pPr>
      <w:spacing w:before="240" w:after="60"/>
      <w:jc w:val="center"/>
      <w:outlineLvl w:val="0"/>
    </w:pPr>
    <w:rPr>
      <w:rFonts w:ascii="Cambria" w:hAnsi="Cambria" w:cs="Times New Roman"/>
      <w:b/>
      <w:bCs/>
      <w:sz w:val="32"/>
      <w:szCs w:val="32"/>
    </w:rPr>
  </w:style>
  <w:style w:type="paragraph" w:styleId="22">
    <w:name w:val="annotation subject"/>
    <w:basedOn w:val="9"/>
    <w:next w:val="9"/>
    <w:link w:val="45"/>
    <w:semiHidden/>
    <w:uiPriority w:val="0"/>
    <w:rPr>
      <w:b/>
      <w:sz w:val="24"/>
      <w:szCs w:val="20"/>
    </w:rPr>
  </w:style>
  <w:style w:type="paragraph" w:styleId="23">
    <w:name w:val="Body Text First Indent"/>
    <w:basedOn w:val="11"/>
    <w:next w:val="1"/>
    <w:qFormat/>
    <w:locked/>
    <w:uiPriority w:val="0"/>
    <w:pPr>
      <w:widowControl w:val="0"/>
      <w:tabs>
        <w:tab w:val="left" w:pos="1620"/>
        <w:tab w:val="left" w:pos="2700"/>
      </w:tabs>
      <w:spacing w:line="240" w:lineRule="exact"/>
      <w:ind w:firstLine="420" w:firstLineChars="100"/>
      <w:jc w:val="center"/>
    </w:pPr>
    <w:rPr>
      <w:rFonts w:ascii="Times New Roman" w:hAnsi="Times New Roman" w:eastAsia="宋体" w:cs="Times New Roman"/>
      <w:kern w:val="2"/>
      <w:sz w:val="28"/>
      <w:szCs w:val="20"/>
      <w:lang w:val="en-US" w:eastAsia="zh-CN" w:bidi="ar-SA"/>
    </w:rPr>
  </w:style>
  <w:style w:type="paragraph" w:styleId="24">
    <w:name w:val="Body Text First Indent 2"/>
    <w:basedOn w:val="12"/>
    <w:next w:val="23"/>
    <w:qFormat/>
    <w:locked/>
    <w:uiPriority w:val="0"/>
    <w:pPr>
      <w:ind w:firstLine="420" w:firstLineChars="200"/>
    </w:pPr>
  </w:style>
  <w:style w:type="table" w:styleId="26">
    <w:name w:val="Table Grid"/>
    <w:basedOn w:val="25"/>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locked/>
    <w:uiPriority w:val="0"/>
  </w:style>
  <w:style w:type="character" w:styleId="29">
    <w:name w:val="Emphasis"/>
    <w:basedOn w:val="27"/>
    <w:qFormat/>
    <w:locked/>
    <w:uiPriority w:val="0"/>
    <w:rPr>
      <w:i/>
    </w:rPr>
  </w:style>
  <w:style w:type="character" w:styleId="30">
    <w:name w:val="annotation reference"/>
    <w:qFormat/>
    <w:uiPriority w:val="99"/>
    <w:rPr>
      <w:sz w:val="21"/>
    </w:rPr>
  </w:style>
  <w:style w:type="character" w:customStyle="1" w:styleId="31">
    <w:name w:val="标题 2 字符"/>
    <w:link w:val="4"/>
    <w:qFormat/>
    <w:uiPriority w:val="9"/>
    <w:rPr>
      <w:rFonts w:ascii="Cambria" w:hAnsi="Cambria" w:eastAsia="宋体" w:cs="Times New Roman"/>
      <w:b/>
      <w:bCs/>
      <w:kern w:val="2"/>
      <w:sz w:val="32"/>
      <w:szCs w:val="32"/>
    </w:rPr>
  </w:style>
  <w:style w:type="character" w:customStyle="1" w:styleId="32">
    <w:name w:val="标题 3 字符"/>
    <w:link w:val="5"/>
    <w:semiHidden/>
    <w:uiPriority w:val="0"/>
    <w:rPr>
      <w:b/>
      <w:bCs/>
      <w:kern w:val="2"/>
      <w:sz w:val="32"/>
      <w:szCs w:val="32"/>
    </w:rPr>
  </w:style>
  <w:style w:type="character" w:customStyle="1" w:styleId="33">
    <w:name w:val="标题 4 字符"/>
    <w:link w:val="6"/>
    <w:semiHidden/>
    <w:uiPriority w:val="0"/>
    <w:rPr>
      <w:rFonts w:ascii="Cambria" w:hAnsi="Cambria" w:eastAsia="宋体" w:cs="Times New Roman"/>
      <w:b/>
      <w:bCs/>
      <w:kern w:val="2"/>
      <w:sz w:val="28"/>
      <w:szCs w:val="28"/>
    </w:rPr>
  </w:style>
  <w:style w:type="character" w:customStyle="1" w:styleId="34">
    <w:name w:val="正文缩进 字符"/>
    <w:link w:val="8"/>
    <w:qFormat/>
    <w:uiPriority w:val="0"/>
    <w:rPr>
      <w:sz w:val="24"/>
      <w:szCs w:val="22"/>
    </w:rPr>
  </w:style>
  <w:style w:type="character" w:customStyle="1" w:styleId="35">
    <w:name w:val="批注文字 字符"/>
    <w:link w:val="9"/>
    <w:qFormat/>
    <w:locked/>
    <w:uiPriority w:val="99"/>
    <w:rPr>
      <w:rFonts w:ascii="Times New Roman" w:hAnsi="Times New Roman" w:eastAsia="宋体"/>
      <w:sz w:val="24"/>
    </w:rPr>
  </w:style>
  <w:style w:type="character" w:customStyle="1" w:styleId="36">
    <w:name w:val="正文文本 字符"/>
    <w:link w:val="11"/>
    <w:locked/>
    <w:uiPriority w:val="0"/>
    <w:rPr>
      <w:sz w:val="18"/>
    </w:rPr>
  </w:style>
  <w:style w:type="character" w:customStyle="1" w:styleId="37">
    <w:name w:val="正文文本缩进 字符"/>
    <w:link w:val="12"/>
    <w:semiHidden/>
    <w:locked/>
    <w:uiPriority w:val="0"/>
    <w:rPr>
      <w:rFonts w:ascii="Times New Roman" w:hAnsi="Times New Roman" w:eastAsia="宋体"/>
      <w:sz w:val="24"/>
    </w:rPr>
  </w:style>
  <w:style w:type="character" w:customStyle="1" w:styleId="38">
    <w:name w:val="纯文本 字符"/>
    <w:link w:val="13"/>
    <w:uiPriority w:val="0"/>
    <w:rPr>
      <w:rFonts w:ascii="宋体" w:hAnsi="Courier New"/>
      <w:kern w:val="2"/>
      <w:sz w:val="24"/>
    </w:rPr>
  </w:style>
  <w:style w:type="character" w:customStyle="1" w:styleId="39">
    <w:name w:val="日期 字符2"/>
    <w:link w:val="14"/>
    <w:locked/>
    <w:uiPriority w:val="0"/>
    <w:rPr>
      <w:rFonts w:ascii="Times New Roman" w:hAnsi="Times New Roman" w:eastAsia="宋体"/>
      <w:sz w:val="24"/>
    </w:rPr>
  </w:style>
  <w:style w:type="character" w:customStyle="1" w:styleId="40">
    <w:name w:val="批注框文本 字符"/>
    <w:link w:val="15"/>
    <w:semiHidden/>
    <w:locked/>
    <w:uiPriority w:val="0"/>
    <w:rPr>
      <w:rFonts w:ascii="Times New Roman" w:hAnsi="Times New Roman" w:eastAsia="宋体"/>
      <w:sz w:val="18"/>
    </w:rPr>
  </w:style>
  <w:style w:type="character" w:customStyle="1" w:styleId="41">
    <w:name w:val="页脚 字符1"/>
    <w:link w:val="16"/>
    <w:locked/>
    <w:uiPriority w:val="0"/>
    <w:rPr>
      <w:sz w:val="18"/>
    </w:rPr>
  </w:style>
  <w:style w:type="character" w:customStyle="1" w:styleId="42">
    <w:name w:val="页眉 字符"/>
    <w:link w:val="17"/>
    <w:locked/>
    <w:uiPriority w:val="0"/>
    <w:rPr>
      <w:sz w:val="18"/>
    </w:rPr>
  </w:style>
  <w:style w:type="character" w:customStyle="1" w:styleId="43">
    <w:name w:val="普通(网站) 字符"/>
    <w:link w:val="20"/>
    <w:locked/>
    <w:uiPriority w:val="0"/>
    <w:rPr>
      <w:rFonts w:ascii="宋体" w:hAnsi="宋体" w:eastAsia="宋体"/>
      <w:sz w:val="24"/>
    </w:rPr>
  </w:style>
  <w:style w:type="character" w:customStyle="1" w:styleId="44">
    <w:name w:val="标题 字符"/>
    <w:link w:val="21"/>
    <w:uiPriority w:val="0"/>
    <w:rPr>
      <w:rFonts w:ascii="Cambria" w:hAnsi="Cambria" w:cs="Times New Roman"/>
      <w:b/>
      <w:bCs/>
      <w:kern w:val="2"/>
      <w:sz w:val="32"/>
      <w:szCs w:val="32"/>
    </w:rPr>
  </w:style>
  <w:style w:type="character" w:customStyle="1" w:styleId="45">
    <w:name w:val="批注主题 字符"/>
    <w:link w:val="22"/>
    <w:semiHidden/>
    <w:locked/>
    <w:uiPriority w:val="0"/>
    <w:rPr>
      <w:rFonts w:ascii="Times New Roman" w:hAnsi="Times New Roman" w:eastAsia="宋体"/>
      <w:b/>
      <w:kern w:val="2"/>
      <w:sz w:val="24"/>
    </w:rPr>
  </w:style>
  <w:style w:type="character" w:customStyle="1" w:styleId="46">
    <w:name w:val="1表格 Char"/>
    <w:link w:val="47"/>
    <w:qFormat/>
    <w:uiPriority w:val="0"/>
    <w:rPr>
      <w:rFonts w:eastAsia="仿宋_GB2312"/>
      <w:kern w:val="2"/>
      <w:sz w:val="21"/>
      <w:szCs w:val="21"/>
    </w:rPr>
  </w:style>
  <w:style w:type="paragraph" w:customStyle="1" w:styleId="47">
    <w:name w:val="1表格"/>
    <w:basedOn w:val="1"/>
    <w:link w:val="46"/>
    <w:qFormat/>
    <w:uiPriority w:val="0"/>
    <w:pPr>
      <w:snapToGrid w:val="0"/>
      <w:jc w:val="center"/>
      <w:outlineLvl w:val="4"/>
    </w:pPr>
    <w:rPr>
      <w:rFonts w:eastAsia="仿宋_GB2312"/>
      <w:szCs w:val="21"/>
    </w:rPr>
  </w:style>
  <w:style w:type="character" w:customStyle="1" w:styleId="48">
    <w:name w:val="日期 字符"/>
    <w:semiHidden/>
    <w:qFormat/>
    <w:uiPriority w:val="0"/>
    <w:rPr>
      <w:rFonts w:ascii="Times New Roman" w:hAnsi="Times New Roman" w:eastAsia="宋体"/>
      <w:sz w:val="24"/>
    </w:rPr>
  </w:style>
  <w:style w:type="character" w:customStyle="1" w:styleId="49">
    <w:name w:val="日期 字符1"/>
    <w:qFormat/>
    <w:locked/>
    <w:uiPriority w:val="0"/>
    <w:rPr>
      <w:rFonts w:ascii="Times New Roman" w:hAnsi="Times New Roman" w:eastAsia="宋体"/>
      <w:sz w:val="24"/>
    </w:rPr>
  </w:style>
  <w:style w:type="character" w:customStyle="1" w:styleId="50">
    <w:name w:val="表格名称 Char"/>
    <w:link w:val="51"/>
    <w:qFormat/>
    <w:uiPriority w:val="0"/>
    <w:rPr>
      <w:b/>
      <w:kern w:val="2"/>
      <w:sz w:val="24"/>
      <w:szCs w:val="24"/>
    </w:rPr>
  </w:style>
  <w:style w:type="paragraph" w:customStyle="1" w:styleId="51">
    <w:name w:val="表格名称"/>
    <w:basedOn w:val="1"/>
    <w:next w:val="52"/>
    <w:link w:val="50"/>
    <w:qFormat/>
    <w:uiPriority w:val="0"/>
    <w:pPr>
      <w:spacing w:line="360" w:lineRule="auto"/>
      <w:jc w:val="center"/>
    </w:pPr>
    <w:rPr>
      <w:b/>
      <w:sz w:val="24"/>
    </w:rPr>
  </w:style>
  <w:style w:type="paragraph" w:customStyle="1" w:styleId="52">
    <w:name w:val="表格内文字"/>
    <w:basedOn w:val="51"/>
    <w:next w:val="1"/>
    <w:link w:val="53"/>
    <w:qFormat/>
    <w:uiPriority w:val="0"/>
    <w:pPr>
      <w:jc w:val="center"/>
    </w:pPr>
  </w:style>
  <w:style w:type="character" w:customStyle="1" w:styleId="53">
    <w:name w:val="表格内文字 Char"/>
    <w:link w:val="52"/>
    <w:qFormat/>
    <w:uiPriority w:val="0"/>
    <w:rPr>
      <w:kern w:val="2"/>
      <w:sz w:val="21"/>
      <w:szCs w:val="24"/>
    </w:rPr>
  </w:style>
  <w:style w:type="character" w:customStyle="1" w:styleId="54">
    <w:name w:val="正文格式111 Char"/>
    <w:link w:val="55"/>
    <w:qFormat/>
    <w:locked/>
    <w:uiPriority w:val="0"/>
    <w:rPr>
      <w:sz w:val="24"/>
    </w:rPr>
  </w:style>
  <w:style w:type="paragraph" w:customStyle="1" w:styleId="55">
    <w:name w:val="正文格式111"/>
    <w:basedOn w:val="1"/>
    <w:link w:val="54"/>
    <w:qFormat/>
    <w:uiPriority w:val="0"/>
    <w:pPr>
      <w:spacing w:line="420" w:lineRule="auto"/>
      <w:ind w:firstLine="480" w:firstLineChars="200"/>
    </w:pPr>
    <w:rPr>
      <w:kern w:val="0"/>
      <w:sz w:val="24"/>
      <w:szCs w:val="20"/>
    </w:rPr>
  </w:style>
  <w:style w:type="character" w:customStyle="1" w:styleId="56">
    <w:name w:val="表格标题 Char1"/>
    <w:link w:val="57"/>
    <w:qFormat/>
    <w:uiPriority w:val="0"/>
    <w:rPr>
      <w:b/>
      <w:sz w:val="24"/>
      <w:szCs w:val="24"/>
    </w:rPr>
  </w:style>
  <w:style w:type="paragraph" w:customStyle="1" w:styleId="57">
    <w:name w:val="表格标题"/>
    <w:basedOn w:val="1"/>
    <w:next w:val="1"/>
    <w:link w:val="56"/>
    <w:qFormat/>
    <w:uiPriority w:val="0"/>
    <w:pPr>
      <w:numPr>
        <w:ilvl w:val="0"/>
        <w:numId w:val="1"/>
      </w:numPr>
      <w:spacing w:line="360" w:lineRule="auto"/>
      <w:ind w:left="0" w:firstLine="0"/>
      <w:jc w:val="center"/>
      <w:outlineLvl w:val="4"/>
    </w:pPr>
    <w:rPr>
      <w:b/>
      <w:kern w:val="0"/>
      <w:sz w:val="24"/>
    </w:rPr>
  </w:style>
  <w:style w:type="character" w:customStyle="1" w:styleId="58">
    <w:name w:val="报告正文 Char"/>
    <w:link w:val="59"/>
    <w:qFormat/>
    <w:uiPriority w:val="0"/>
    <w:rPr>
      <w:color w:val="000000"/>
      <w:kern w:val="2"/>
      <w:sz w:val="24"/>
    </w:rPr>
  </w:style>
  <w:style w:type="paragraph" w:customStyle="1" w:styleId="59">
    <w:name w:val="闽创报告正文"/>
    <w:basedOn w:val="1"/>
    <w:link w:val="58"/>
    <w:qFormat/>
    <w:uiPriority w:val="0"/>
    <w:pPr>
      <w:tabs>
        <w:tab w:val="left" w:pos="0"/>
      </w:tabs>
      <w:spacing w:line="360" w:lineRule="auto"/>
      <w:ind w:firstLine="200" w:firstLineChars="200"/>
    </w:pPr>
    <w:rPr>
      <w:color w:val="000000"/>
      <w:sz w:val="24"/>
      <w:szCs w:val="20"/>
    </w:rPr>
  </w:style>
  <w:style w:type="character" w:customStyle="1" w:styleId="60">
    <w:name w:val="正文文本 字符1"/>
    <w:semiHidden/>
    <w:qFormat/>
    <w:uiPriority w:val="0"/>
    <w:rPr>
      <w:rFonts w:ascii="Times New Roman" w:hAnsi="Times New Roman" w:eastAsia="宋体"/>
      <w:sz w:val="24"/>
    </w:rPr>
  </w:style>
  <w:style w:type="character" w:customStyle="1" w:styleId="61">
    <w:name w:val="批注文字 字符1"/>
    <w:semiHidden/>
    <w:qFormat/>
    <w:uiPriority w:val="0"/>
    <w:rPr>
      <w:rFonts w:ascii="Times New Roman" w:hAnsi="Times New Roman" w:eastAsia="宋体"/>
      <w:sz w:val="24"/>
    </w:rPr>
  </w:style>
  <w:style w:type="character" w:customStyle="1" w:styleId="62">
    <w:name w:val="表格内容 Char"/>
    <w:link w:val="63"/>
    <w:qFormat/>
    <w:uiPriority w:val="0"/>
    <w:rPr>
      <w:kern w:val="2"/>
      <w:sz w:val="21"/>
      <w:szCs w:val="22"/>
    </w:rPr>
  </w:style>
  <w:style w:type="paragraph" w:customStyle="1" w:styleId="63">
    <w:name w:val="表格内容"/>
    <w:basedOn w:val="19"/>
    <w:next w:val="1"/>
    <w:link w:val="62"/>
    <w:qFormat/>
    <w:uiPriority w:val="0"/>
    <w:pPr>
      <w:jc w:val="center"/>
    </w:pPr>
    <w:rPr>
      <w:szCs w:val="22"/>
    </w:rPr>
  </w:style>
  <w:style w:type="character" w:customStyle="1" w:styleId="64">
    <w:name w:val="表格 Char"/>
    <w:link w:val="65"/>
    <w:qFormat/>
    <w:locked/>
    <w:uiPriority w:val="0"/>
    <w:rPr>
      <w:rFonts w:ascii="宋体"/>
      <w:sz w:val="21"/>
    </w:rPr>
  </w:style>
  <w:style w:type="paragraph" w:customStyle="1" w:styleId="65">
    <w:name w:val="表格"/>
    <w:basedOn w:val="1"/>
    <w:next w:val="1"/>
    <w:link w:val="64"/>
    <w:qFormat/>
    <w:uiPriority w:val="0"/>
    <w:pPr>
      <w:adjustRightInd w:val="0"/>
      <w:snapToGrid w:val="0"/>
      <w:spacing w:beforeLines="10" w:afterLines="10" w:line="259" w:lineRule="auto"/>
      <w:jc w:val="center"/>
    </w:pPr>
    <w:rPr>
      <w:rFonts w:ascii="宋体"/>
      <w:kern w:val="0"/>
      <w:szCs w:val="20"/>
    </w:rPr>
  </w:style>
  <w:style w:type="character" w:customStyle="1" w:styleId="66">
    <w:name w:val="纯文本 字符1"/>
    <w:qFormat/>
    <w:uiPriority w:val="0"/>
    <w:rPr>
      <w:rFonts w:ascii="宋体" w:hAnsi="Courier New" w:cs="Courier New"/>
      <w:kern w:val="2"/>
      <w:sz w:val="21"/>
      <w:szCs w:val="21"/>
    </w:rPr>
  </w:style>
  <w:style w:type="character" w:customStyle="1" w:styleId="67">
    <w:name w:val="w报告表标题1.1.1 Char"/>
    <w:link w:val="68"/>
    <w:qFormat/>
    <w:uiPriority w:val="0"/>
    <w:rPr>
      <w:rFonts w:ascii="等线" w:hAnsi="等线" w:eastAsia="宋体"/>
      <w:b/>
      <w:kern w:val="0"/>
      <w:sz w:val="24"/>
      <w:szCs w:val="20"/>
    </w:rPr>
  </w:style>
  <w:style w:type="paragraph" w:customStyle="1" w:styleId="68">
    <w:name w:val="w报告表标题1.1.1"/>
    <w:basedOn w:val="1"/>
    <w:link w:val="67"/>
    <w:uiPriority w:val="0"/>
    <w:pPr>
      <w:numPr>
        <w:ilvl w:val="2"/>
        <w:numId w:val="0"/>
      </w:numPr>
      <w:tabs>
        <w:tab w:val="left" w:pos="0"/>
      </w:tabs>
      <w:spacing w:before="20" w:beforeLines="20" w:after="20" w:afterLines="20"/>
      <w:ind w:left="720" w:hanging="720"/>
    </w:pPr>
    <w:rPr>
      <w:rFonts w:ascii="等线" w:hAnsi="等线" w:eastAsia="宋体"/>
      <w:b/>
      <w:kern w:val="0"/>
      <w:sz w:val="24"/>
      <w:szCs w:val="20"/>
    </w:rPr>
  </w:style>
  <w:style w:type="character" w:customStyle="1" w:styleId="69">
    <w:name w:val="无间隔 字符"/>
    <w:link w:val="70"/>
    <w:uiPriority w:val="1"/>
    <w:rPr>
      <w:rFonts w:ascii="Calibri" w:hAnsi="Calibri"/>
      <w:sz w:val="22"/>
      <w:szCs w:val="22"/>
    </w:rPr>
  </w:style>
  <w:style w:type="paragraph" w:styleId="70">
    <w:name w:val="No Spacing"/>
    <w:basedOn w:val="71"/>
    <w:link w:val="69"/>
    <w:qFormat/>
    <w:uiPriority w:val="1"/>
    <w:pPr>
      <w:tabs>
        <w:tab w:val="right" w:pos="8502"/>
        <w:tab w:val="right" w:pos="8802"/>
      </w:tabs>
    </w:pPr>
    <w:rPr>
      <w:rFonts w:ascii="Calibri" w:hAnsi="Calibri"/>
      <w:sz w:val="22"/>
      <w:szCs w:val="22"/>
      <w:lang w:val="en-US" w:eastAsia="zh-CN" w:bidi="ar-SA"/>
    </w:rPr>
  </w:style>
  <w:style w:type="paragraph" w:customStyle="1" w:styleId="71">
    <w:name w:val="无间隔1"/>
    <w:basedOn w:val="1"/>
    <w:next w:val="11"/>
    <w:qFormat/>
    <w:uiPriority w:val="1"/>
    <w:pPr>
      <w:pageBreakBefore/>
      <w:tabs>
        <w:tab w:val="right" w:pos="8502"/>
        <w:tab w:val="right" w:pos="8802"/>
      </w:tabs>
      <w:kinsoku w:val="0"/>
      <w:autoSpaceDE w:val="0"/>
      <w:autoSpaceDN w:val="0"/>
      <w:adjustRightInd w:val="0"/>
      <w:snapToGrid w:val="0"/>
      <w:spacing w:line="240" w:lineRule="auto"/>
      <w:jc w:val="left"/>
      <w:textAlignment w:val="baseline"/>
      <w:outlineLvl w:val="6"/>
    </w:pPr>
    <w:rPr>
      <w:rFonts w:cs="Arial"/>
      <w:b/>
      <w:sz w:val="24"/>
    </w:rPr>
  </w:style>
  <w:style w:type="character" w:customStyle="1" w:styleId="72">
    <w:name w:val="表格内容 Char1"/>
    <w:qFormat/>
    <w:uiPriority w:val="0"/>
    <w:rPr>
      <w:rFonts w:ascii="宋体" w:hAnsi="宋体" w:eastAsia="宋体"/>
      <w:kern w:val="0"/>
      <w:sz w:val="21"/>
    </w:rPr>
  </w:style>
  <w:style w:type="character" w:customStyle="1" w:styleId="73">
    <w:name w:val="zhang正文 Char1"/>
    <w:link w:val="74"/>
    <w:qFormat/>
    <w:uiPriority w:val="0"/>
    <w:rPr>
      <w:rFonts w:eastAsia="楷体_GB2312"/>
      <w:sz w:val="28"/>
    </w:rPr>
  </w:style>
  <w:style w:type="paragraph" w:customStyle="1" w:styleId="74">
    <w:name w:val="zhang正文"/>
    <w:basedOn w:val="12"/>
    <w:link w:val="73"/>
    <w:qFormat/>
    <w:uiPriority w:val="0"/>
    <w:pPr>
      <w:autoSpaceDE w:val="0"/>
      <w:autoSpaceDN w:val="0"/>
      <w:adjustRightInd w:val="0"/>
      <w:snapToGrid w:val="0"/>
      <w:spacing w:after="0" w:line="500" w:lineRule="exact"/>
      <w:ind w:left="0" w:leftChars="0" w:firstLine="539"/>
      <w:textAlignment w:val="baseline"/>
    </w:pPr>
    <w:rPr>
      <w:rFonts w:eastAsia="楷体_GB2312"/>
      <w:sz w:val="28"/>
    </w:rPr>
  </w:style>
  <w:style w:type="character" w:customStyle="1" w:styleId="75">
    <w:name w:val="图文标题 Char"/>
    <w:link w:val="76"/>
    <w:qFormat/>
    <w:uiPriority w:val="0"/>
    <w:rPr>
      <w:rFonts w:ascii="Arial" w:hAnsi="Arial"/>
      <w:b/>
      <w:kern w:val="2"/>
      <w:sz w:val="24"/>
      <w:szCs w:val="22"/>
    </w:rPr>
  </w:style>
  <w:style w:type="paragraph" w:customStyle="1" w:styleId="76">
    <w:name w:val="图文标题"/>
    <w:basedOn w:val="1"/>
    <w:next w:val="1"/>
    <w:link w:val="75"/>
    <w:qFormat/>
    <w:uiPriority w:val="0"/>
    <w:pPr>
      <w:spacing w:line="360" w:lineRule="auto"/>
      <w:jc w:val="center"/>
    </w:pPr>
    <w:rPr>
      <w:rFonts w:ascii="Arial" w:hAnsi="Arial"/>
      <w:b/>
      <w:sz w:val="24"/>
      <w:szCs w:val="22"/>
    </w:rPr>
  </w:style>
  <w:style w:type="character" w:customStyle="1" w:styleId="77">
    <w:name w:val="页脚 字符"/>
    <w:qFormat/>
    <w:uiPriority w:val="99"/>
  </w:style>
  <w:style w:type="paragraph" w:customStyle="1" w:styleId="78">
    <w:name w:val="文本"/>
    <w:basedOn w:val="1"/>
    <w:qFormat/>
    <w:uiPriority w:val="0"/>
    <w:pPr>
      <w:spacing w:line="360" w:lineRule="auto"/>
      <w:ind w:firstLine="200" w:firstLineChars="200"/>
    </w:pPr>
    <w:rPr>
      <w:rFonts w:ascii="Calibri" w:hAnsi="Calibri" w:cs="宋体"/>
      <w:sz w:val="24"/>
    </w:rPr>
  </w:style>
  <w:style w:type="paragraph" w:customStyle="1" w:styleId="79">
    <w:name w:val="正文_11"/>
    <w:qFormat/>
    <w:uiPriority w:val="0"/>
    <w:pPr>
      <w:widowControl w:val="0"/>
      <w:jc w:val="both"/>
    </w:pPr>
    <w:rPr>
      <w:rFonts w:ascii="Calibri" w:hAnsi="Calibri" w:eastAsia="宋体" w:cs="Times New Roman"/>
      <w:kern w:val="2"/>
      <w:sz w:val="21"/>
      <w:lang w:val="en-US" w:eastAsia="zh-CN" w:bidi="ar-SA"/>
    </w:rPr>
  </w:style>
  <w:style w:type="paragraph" w:customStyle="1" w:styleId="80">
    <w:name w:val="表头"/>
    <w:basedOn w:val="1"/>
    <w:qFormat/>
    <w:uiPriority w:val="0"/>
    <w:pPr>
      <w:spacing w:line="360" w:lineRule="auto"/>
      <w:jc w:val="center"/>
    </w:pPr>
    <w:rPr>
      <w:b/>
      <w:sz w:val="24"/>
      <w:szCs w:val="22"/>
    </w:rPr>
  </w:style>
  <w:style w:type="paragraph" w:customStyle="1" w:styleId="81">
    <w:name w:val="Table Paragraph"/>
    <w:basedOn w:val="1"/>
    <w:qFormat/>
    <w:uiPriority w:val="1"/>
    <w:pPr>
      <w:adjustRightInd w:val="0"/>
      <w:snapToGrid w:val="0"/>
      <w:spacing w:line="480" w:lineRule="exact"/>
      <w:ind w:firstLine="200" w:firstLineChars="200"/>
      <w:jc w:val="center"/>
    </w:pPr>
    <w:rPr>
      <w:rFonts w:eastAsia="Times New Roman"/>
      <w:sz w:val="24"/>
      <w:lang w:val="zh-CN" w:bidi="zh-CN"/>
    </w:rPr>
  </w:style>
  <w:style w:type="paragraph" w:customStyle="1" w:styleId="82">
    <w:name w:val="w报告表正文"/>
    <w:basedOn w:val="1"/>
    <w:qFormat/>
    <w:uiPriority w:val="0"/>
    <w:pPr>
      <w:spacing w:line="360" w:lineRule="auto"/>
      <w:ind w:firstLine="720" w:firstLineChars="200"/>
    </w:pPr>
    <w:rPr>
      <w:rFonts w:ascii="Times New Roman" w:hAnsi="Times New Roman" w:eastAsia="宋体"/>
      <w:sz w:val="24"/>
    </w:rPr>
  </w:style>
  <w:style w:type="paragraph" w:customStyle="1" w:styleId="83">
    <w:name w:val="注释"/>
    <w:qFormat/>
    <w:uiPriority w:val="0"/>
    <w:pPr>
      <w:widowControl w:val="0"/>
      <w:adjustRightInd w:val="0"/>
      <w:snapToGrid w:val="0"/>
      <w:spacing w:line="360" w:lineRule="auto"/>
      <w:jc w:val="both"/>
      <w:textAlignment w:val="baseline"/>
    </w:pPr>
    <w:rPr>
      <w:rFonts w:ascii="Calibri" w:hAnsi="Calibri" w:eastAsia="宋体" w:cs="宋体"/>
      <w:snapToGrid w:val="0"/>
      <w:spacing w:val="4"/>
      <w:kern w:val="0"/>
      <w:sz w:val="24"/>
      <w:szCs w:val="21"/>
      <w:lang w:val="en-US" w:eastAsia="zh-CN" w:bidi="ar-SA"/>
    </w:rPr>
  </w:style>
  <w:style w:type="paragraph" w:customStyle="1" w:styleId="84">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111正文的格式"/>
    <w:basedOn w:val="1"/>
    <w:qFormat/>
    <w:uiPriority w:val="0"/>
    <w:pPr>
      <w:adjustRightInd w:val="0"/>
      <w:snapToGrid w:val="0"/>
      <w:spacing w:line="360" w:lineRule="auto"/>
      <w:ind w:firstLine="480" w:firstLineChars="200"/>
    </w:pPr>
    <w:rPr>
      <w:color w:val="0000FF"/>
      <w:sz w:val="24"/>
    </w:rPr>
  </w:style>
  <w:style w:type="paragraph" w:customStyle="1" w:styleId="86">
    <w:name w:val="Default"/>
    <w:qFormat/>
    <w:uiPriority w:val="0"/>
    <w:pPr>
      <w:widowControl w:val="0"/>
      <w:autoSpaceDE w:val="0"/>
      <w:autoSpaceDN w:val="0"/>
      <w:adjustRightInd w:val="0"/>
    </w:pPr>
    <w:rPr>
      <w:rFonts w:ascii="宋体u.砸.葷." w:hAnsi="Times New Roman" w:eastAsia="宋体u.砸.葷." w:cs="宋体u.砸.葷."/>
      <w:color w:val="000000"/>
      <w:sz w:val="24"/>
      <w:szCs w:val="24"/>
      <w:lang w:val="en-US" w:eastAsia="zh-CN" w:bidi="ar-SA"/>
    </w:rPr>
  </w:style>
  <w:style w:type="paragraph" w:customStyle="1" w:styleId="87">
    <w:name w:val="表内容"/>
    <w:basedOn w:val="1"/>
    <w:qFormat/>
    <w:uiPriority w:val="0"/>
    <w:pPr>
      <w:widowControl/>
      <w:jc w:val="center"/>
    </w:pPr>
    <w:rPr>
      <w:kern w:val="0"/>
      <w:lang w:val="en-GB"/>
    </w:rPr>
  </w:style>
  <w:style w:type="paragraph" w:customStyle="1" w:styleId="88">
    <w:name w:val="图头t"/>
    <w:basedOn w:val="13"/>
    <w:qFormat/>
    <w:uiPriority w:val="0"/>
    <w:pPr>
      <w:spacing w:line="360" w:lineRule="auto"/>
      <w:ind w:firstLine="0" w:firstLineChars="0"/>
      <w:jc w:val="center"/>
    </w:pPr>
    <w:rPr>
      <w:rFonts w:ascii="Times New Roman" w:hAnsi="Times New Roman"/>
      <w:b/>
    </w:rPr>
  </w:style>
  <w:style w:type="paragraph" w:customStyle="1" w:styleId="89">
    <w:name w:val="正文(首行缩进)"/>
    <w:qFormat/>
    <w:uiPriority w:val="0"/>
    <w:pPr>
      <w:widowControl w:val="0"/>
      <w:adjustRightInd w:val="0"/>
      <w:snapToGrid w:val="0"/>
      <w:spacing w:beforeAutospacing="0" w:afterAutospacing="0" w:line="360" w:lineRule="auto"/>
      <w:ind w:firstLine="200" w:firstLineChars="200"/>
      <w:jc w:val="both"/>
    </w:pPr>
    <w:rPr>
      <w:rFonts w:ascii="Calibri" w:hAnsi="Calibri" w:eastAsia="宋体" w:cs="Times New Roman"/>
      <w:snapToGrid w:val="0"/>
      <w:kern w:val="2"/>
      <w:sz w:val="24"/>
      <w:szCs w:val="24"/>
      <w:lang w:val="en-US" w:eastAsia="zh-CN" w:bidi="ar-SA"/>
    </w:rPr>
  </w:style>
  <w:style w:type="paragraph" w:customStyle="1" w:styleId="90">
    <w:name w:val="5文章(治)"/>
    <w:basedOn w:val="1"/>
    <w:qFormat/>
    <w:uiPriority w:val="0"/>
    <w:pPr>
      <w:spacing w:line="360" w:lineRule="auto"/>
      <w:ind w:firstLine="560" w:firstLineChars="200"/>
    </w:pPr>
    <w:rPr>
      <w:rFonts w:ascii="Times New Roman" w:hAnsi="Times New Roman" w:eastAsia="宋体" w:cs="Times New Roman"/>
      <w:sz w:val="24"/>
      <w:szCs w:val="20"/>
    </w:rPr>
  </w:style>
  <w:style w:type="paragraph" w:customStyle="1" w:styleId="91">
    <w:name w:val="表头bt"/>
    <w:next w:val="1"/>
    <w:qFormat/>
    <w:uiPriority w:val="0"/>
    <w:pPr>
      <w:widowControl w:val="0"/>
      <w:spacing w:line="360" w:lineRule="auto"/>
      <w:ind w:firstLine="0" w:firstLineChars="0"/>
      <w:jc w:val="center"/>
    </w:pPr>
    <w:rPr>
      <w:rFonts w:ascii="Times New Roman" w:hAnsi="Times New Roman" w:eastAsia="宋体" w:cs="Times New Roman"/>
      <w:b/>
      <w:kern w:val="2"/>
      <w:sz w:val="24"/>
      <w:szCs w:val="24"/>
      <w:lang w:val="en-US" w:eastAsia="zh-CN" w:bidi="ar-SA"/>
    </w:rPr>
  </w:style>
  <w:style w:type="paragraph" w:customStyle="1" w:styleId="92">
    <w:name w:val="正文1"/>
    <w:basedOn w:val="12"/>
    <w:qFormat/>
    <w:uiPriority w:val="0"/>
    <w:pPr>
      <w:adjustRightInd w:val="0"/>
      <w:snapToGrid w:val="0"/>
      <w:spacing w:after="0" w:line="360" w:lineRule="auto"/>
      <w:ind w:left="0" w:leftChars="0" w:firstLine="200" w:firstLineChars="200"/>
      <w:textAlignment w:val="center"/>
    </w:pPr>
    <w:rPr>
      <w:szCs w:val="28"/>
    </w:rPr>
  </w:style>
  <w:style w:type="paragraph" w:customStyle="1" w:styleId="93">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94">
    <w:name w:val="默认段落字体 Para Char Char Char Char"/>
    <w:basedOn w:val="1"/>
    <w:qFormat/>
    <w:uiPriority w:val="0"/>
    <w:pPr>
      <w:adjustRightInd w:val="0"/>
      <w:snapToGrid w:val="0"/>
      <w:spacing w:line="360" w:lineRule="auto"/>
      <w:ind w:firstLine="200" w:firstLineChars="200"/>
    </w:pPr>
    <w:rPr>
      <w:rFonts w:ascii="宋体" w:hAnsi="宋体" w:cs="宋体"/>
      <w:sz w:val="24"/>
    </w:rPr>
  </w:style>
  <w:style w:type="paragraph" w:customStyle="1" w:styleId="95">
    <w:name w:val="w表格内容"/>
    <w:basedOn w:val="1"/>
    <w:qFormat/>
    <w:uiPriority w:val="0"/>
    <w:pPr>
      <w:jc w:val="center"/>
    </w:pPr>
    <w:rPr>
      <w:rFonts w:ascii="Times New Roman" w:hAnsi="Times New Roman" w:eastAsia="宋体"/>
    </w:rPr>
  </w:style>
  <w:style w:type="paragraph" w:customStyle="1" w:styleId="96">
    <w:name w:val="标题3"/>
    <w:basedOn w:val="1"/>
    <w:qFormat/>
    <w:uiPriority w:val="0"/>
    <w:pPr>
      <w:spacing w:line="360" w:lineRule="auto"/>
      <w:outlineLvl w:val="2"/>
    </w:pPr>
    <w:rPr>
      <w:b/>
      <w:sz w:val="24"/>
    </w:rPr>
  </w:style>
  <w:style w:type="paragraph" w:styleId="97">
    <w:name w:val="List Paragraph"/>
    <w:basedOn w:val="1"/>
    <w:qFormat/>
    <w:uiPriority w:val="34"/>
    <w:pPr>
      <w:spacing w:line="360" w:lineRule="auto"/>
      <w:ind w:firstLine="420" w:firstLineChars="200"/>
    </w:pPr>
    <w:rPr>
      <w:rFonts w:ascii="Calibri" w:hAnsi="Calibri" w:eastAsia="宋体" w:cs="Times New Roman"/>
      <w:sz w:val="24"/>
      <w:szCs w:val="22"/>
    </w:rPr>
  </w:style>
  <w:style w:type="paragraph" w:customStyle="1" w:styleId="98">
    <w:name w:val="表正文"/>
    <w:basedOn w:val="1"/>
    <w:qFormat/>
    <w:uiPriority w:val="0"/>
    <w:pPr>
      <w:spacing w:line="360" w:lineRule="auto"/>
      <w:ind w:firstLine="200" w:firstLineChars="200"/>
    </w:pPr>
    <w:rPr>
      <w:sz w:val="24"/>
    </w:rPr>
  </w:style>
  <w:style w:type="paragraph" w:customStyle="1" w:styleId="99">
    <w:name w:val="BGZX"/>
    <w:next w:val="1"/>
    <w:qFormat/>
    <w:uiPriority w:val="0"/>
    <w:pPr>
      <w:widowControl w:val="0"/>
      <w:spacing w:line="360" w:lineRule="auto"/>
      <w:ind w:firstLine="482" w:firstLineChars="200"/>
      <w:jc w:val="both"/>
      <w:textAlignment w:val="center"/>
    </w:pPr>
    <w:rPr>
      <w:rFonts w:ascii="Times New Roman" w:hAnsi="Times New Roman" w:eastAsia="宋体" w:cs="Times New Roman"/>
      <w:b/>
      <w:sz w:val="24"/>
      <w:lang w:val="en-US" w:eastAsia="zh-CN" w:bidi="ar-SA"/>
    </w:rPr>
  </w:style>
  <w:style w:type="paragraph" w:customStyle="1" w:styleId="100">
    <w:name w:val="标题1"/>
    <w:basedOn w:val="20"/>
    <w:qFormat/>
    <w:uiPriority w:val="0"/>
    <w:pPr>
      <w:jc w:val="center"/>
      <w:outlineLvl w:val="0"/>
    </w:pPr>
    <w:rPr>
      <w:rFonts w:ascii="黑体" w:hAnsi="黑体" w:eastAsia="黑体"/>
      <w:snapToGrid w:val="0"/>
      <w:sz w:val="30"/>
      <w:szCs w:val="30"/>
    </w:rPr>
  </w:style>
  <w:style w:type="paragraph" w:customStyle="1" w:styleId="101">
    <w:name w:val="表格字体"/>
    <w:basedOn w:val="1"/>
    <w:qFormat/>
    <w:uiPriority w:val="0"/>
    <w:pPr>
      <w:spacing w:line="240" w:lineRule="auto"/>
      <w:ind w:firstLine="0" w:firstLineChars="0"/>
      <w:jc w:val="center"/>
    </w:pPr>
    <w:rPr>
      <w:sz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3" Type="http://schemas.openxmlformats.org/officeDocument/2006/relationships/fontTable" Target="fontTable.xml"/><Relationship Id="rId52" Type="http://schemas.openxmlformats.org/officeDocument/2006/relationships/numbering" Target="numbering.xml"/><Relationship Id="rId51" Type="http://schemas.openxmlformats.org/officeDocument/2006/relationships/image" Target="media/image22.wmf"/><Relationship Id="rId50" Type="http://schemas.openxmlformats.org/officeDocument/2006/relationships/oleObject" Target="embeddings/oleObject21.bin"/><Relationship Id="rId5" Type="http://schemas.openxmlformats.org/officeDocument/2006/relationships/footer" Target="footer3.xml"/><Relationship Id="rId49" Type="http://schemas.openxmlformats.org/officeDocument/2006/relationships/image" Target="media/image21.wmf"/><Relationship Id="rId48" Type="http://schemas.openxmlformats.org/officeDocument/2006/relationships/oleObject" Target="embeddings/oleObject20.bin"/><Relationship Id="rId47" Type="http://schemas.openxmlformats.org/officeDocument/2006/relationships/image" Target="media/image20.wmf"/><Relationship Id="rId46" Type="http://schemas.openxmlformats.org/officeDocument/2006/relationships/oleObject" Target="embeddings/oleObject19.bin"/><Relationship Id="rId45" Type="http://schemas.openxmlformats.org/officeDocument/2006/relationships/image" Target="media/image19.wmf"/><Relationship Id="rId44" Type="http://schemas.openxmlformats.org/officeDocument/2006/relationships/oleObject" Target="embeddings/oleObject18.bin"/><Relationship Id="rId43" Type="http://schemas.openxmlformats.org/officeDocument/2006/relationships/image" Target="media/image18.wmf"/><Relationship Id="rId42" Type="http://schemas.openxmlformats.org/officeDocument/2006/relationships/oleObject" Target="embeddings/oleObject17.bin"/><Relationship Id="rId41" Type="http://schemas.openxmlformats.org/officeDocument/2006/relationships/image" Target="media/image17.wmf"/><Relationship Id="rId40" Type="http://schemas.openxmlformats.org/officeDocument/2006/relationships/oleObject" Target="embeddings/oleObject16.bin"/><Relationship Id="rId4" Type="http://schemas.openxmlformats.org/officeDocument/2006/relationships/footer" Target="footer2.xml"/><Relationship Id="rId39" Type="http://schemas.openxmlformats.org/officeDocument/2006/relationships/image" Target="media/image16.wmf"/><Relationship Id="rId38" Type="http://schemas.openxmlformats.org/officeDocument/2006/relationships/oleObject" Target="embeddings/oleObject15.bin"/><Relationship Id="rId37" Type="http://schemas.openxmlformats.org/officeDocument/2006/relationships/image" Target="media/image15.wmf"/><Relationship Id="rId36" Type="http://schemas.openxmlformats.org/officeDocument/2006/relationships/oleObject" Target="embeddings/oleObject14.bin"/><Relationship Id="rId35" Type="http://schemas.openxmlformats.org/officeDocument/2006/relationships/image" Target="media/image14.wmf"/><Relationship Id="rId34" Type="http://schemas.openxmlformats.org/officeDocument/2006/relationships/oleObject" Target="embeddings/oleObject13.bin"/><Relationship Id="rId33" Type="http://schemas.openxmlformats.org/officeDocument/2006/relationships/image" Target="media/image13.wmf"/><Relationship Id="rId32" Type="http://schemas.openxmlformats.org/officeDocument/2006/relationships/oleObject" Target="embeddings/oleObject12.bin"/><Relationship Id="rId31" Type="http://schemas.openxmlformats.org/officeDocument/2006/relationships/image" Target="media/image12.wmf"/><Relationship Id="rId30" Type="http://schemas.openxmlformats.org/officeDocument/2006/relationships/oleObject" Target="embeddings/oleObject11.bin"/><Relationship Id="rId3" Type="http://schemas.openxmlformats.org/officeDocument/2006/relationships/footer" Target="footer1.xml"/><Relationship Id="rId29" Type="http://schemas.openxmlformats.org/officeDocument/2006/relationships/image" Target="media/image11.png"/><Relationship Id="rId28" Type="http://schemas.openxmlformats.org/officeDocument/2006/relationships/image" Target="media/image10.wmf"/><Relationship Id="rId27" Type="http://schemas.openxmlformats.org/officeDocument/2006/relationships/oleObject" Target="embeddings/oleObject10.bin"/><Relationship Id="rId26" Type="http://schemas.openxmlformats.org/officeDocument/2006/relationships/image" Target="media/image9.wmf"/><Relationship Id="rId25" Type="http://schemas.openxmlformats.org/officeDocument/2006/relationships/oleObject" Target="embeddings/oleObject9.bin"/><Relationship Id="rId24" Type="http://schemas.openxmlformats.org/officeDocument/2006/relationships/image" Target="media/image8.wmf"/><Relationship Id="rId23" Type="http://schemas.openxmlformats.org/officeDocument/2006/relationships/oleObject" Target="embeddings/oleObject8.bin"/><Relationship Id="rId22" Type="http://schemas.openxmlformats.org/officeDocument/2006/relationships/image" Target="media/image7.wmf"/><Relationship Id="rId21" Type="http://schemas.openxmlformats.org/officeDocument/2006/relationships/oleObject" Target="embeddings/oleObject7.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Company>微软中国</Company>
  <Pages>43</Pages>
  <Words>22566</Words>
  <Characters>25954</Characters>
  <Lines>160</Lines>
  <Paragraphs>45</Paragraphs>
  <TotalTime>45</TotalTime>
  <ScaleCrop>false</ScaleCrop>
  <LinksUpToDate>false</LinksUpToDate>
  <CharactersWithSpaces>26133</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2021-03-04T02:24:00Z</dcterms:created>
  <dc:creator>lhj</dc:creator>
  <cp:lastModifiedBy>Miamas</cp:lastModifiedBy>
  <cp:lastPrinted>2021-06-22T03:00:00Z</cp:lastPrinted>
  <dcterms:modified xsi:type="dcterms:W3CDTF">2023-02-17T02:29:14Z</dcterms:modified>
  <dc:title>附件2</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4E1AA096177E4FAC91AB982ECD746887</vt:lpwstr>
  </property>
</Properties>
</file>