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adjustRightInd w:val="0"/>
        <w:snapToGrid w:val="0"/>
        <w:jc w:val="center"/>
        <w:outlineLvl w:val="0"/>
        <w:rPr>
          <w:rFonts w:hint="eastAsia" w:ascii="方正小标宋_GBK" w:eastAsia="方正小标宋_GBK"/>
          <w:bCs/>
          <w:color w:val="000000" w:themeColor="text1"/>
          <w:sz w:val="72"/>
          <w:szCs w:val="72"/>
          <w:highlight w:val="none"/>
          <w14:textFill>
            <w14:solidFill>
              <w14:schemeClr w14:val="tx1"/>
            </w14:solidFill>
          </w14:textFill>
        </w:rPr>
      </w:pPr>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p>
    <w:p>
      <w:pPr>
        <w:shd w:val="clear"/>
        <w:adjustRightInd w:val="0"/>
        <w:snapToGrid w:val="0"/>
        <w:spacing w:before="192" w:beforeLines="80"/>
        <w:jc w:val="center"/>
        <w:rPr>
          <w:rFonts w:hint="eastAsia" w:ascii="楷体_GB2312" w:eastAsia="楷体_GB2312"/>
          <w:bCs/>
          <w:color w:val="000000" w:themeColor="text1"/>
          <w:sz w:val="48"/>
          <w:szCs w:val="48"/>
          <w:highlight w:val="none"/>
          <w:lang w:eastAsia="zh-CN"/>
          <w14:textFill>
            <w14:solidFill>
              <w14:schemeClr w14:val="tx1"/>
            </w14:solidFill>
          </w14:textFill>
        </w:rPr>
      </w:pPr>
      <w:r>
        <w:rPr>
          <w:rFonts w:hint="eastAsia" w:ascii="楷体_GB2312" w:eastAsia="楷体_GB2312"/>
          <w:bCs/>
          <w:color w:val="000000" w:themeColor="text1"/>
          <w:sz w:val="48"/>
          <w:szCs w:val="48"/>
          <w:highlight w:val="none"/>
          <w:lang w:eastAsia="zh-CN"/>
          <w14:textFill>
            <w14:solidFill>
              <w14:schemeClr w14:val="tx1"/>
            </w14:solidFill>
          </w14:textFill>
        </w:rPr>
        <w:t>(</w:t>
      </w:r>
      <w:r>
        <w:rPr>
          <w:rFonts w:hint="eastAsia" w:ascii="楷体_GB2312" w:eastAsia="楷体_GB2312"/>
          <w:bCs/>
          <w:color w:val="000000" w:themeColor="text1"/>
          <w:sz w:val="48"/>
          <w:szCs w:val="48"/>
          <w:highlight w:val="none"/>
          <w:lang w:val="en-US" w:eastAsia="zh-CN"/>
          <w14:textFill>
            <w14:solidFill>
              <w14:schemeClr w14:val="tx1"/>
            </w14:solidFill>
          </w14:textFill>
        </w:rPr>
        <w:t>公示版</w:t>
      </w:r>
      <w:r>
        <w:rPr>
          <w:rFonts w:hint="eastAsia" w:ascii="楷体_GB2312" w:eastAsia="楷体_GB2312"/>
          <w:bCs/>
          <w:color w:val="000000" w:themeColor="text1"/>
          <w:sz w:val="48"/>
          <w:szCs w:val="48"/>
          <w:highlight w:val="none"/>
          <w:lang w:eastAsia="zh-CN"/>
          <w14:textFill>
            <w14:solidFill>
              <w14:schemeClr w14:val="tx1"/>
            </w14:solidFill>
          </w14:textFill>
        </w:rPr>
        <w:t>)</w:t>
      </w:r>
    </w:p>
    <w:p>
      <w:pPr>
        <w:shd w:val="clear"/>
        <w:adjustRightInd w:val="0"/>
        <w:snapToGrid w:val="0"/>
        <w:spacing w:line="288" w:lineRule="auto"/>
        <w:jc w:val="center"/>
        <w:outlineLvl w:val="0"/>
        <w:rPr>
          <w:rFonts w:ascii="华文仿宋" w:hAnsi="华文仿宋" w:eastAsia="华文仿宋" w:cs="华文仿宋"/>
          <w:color w:val="000000" w:themeColor="text1"/>
          <w:kern w:val="44"/>
          <w:sz w:val="44"/>
          <w:szCs w:val="44"/>
          <w:highlight w:val="none"/>
          <w14:textFill>
            <w14:solidFill>
              <w14:schemeClr w14:val="tx1"/>
            </w14:solidFill>
          </w14:textFill>
        </w:rPr>
      </w:pPr>
    </w:p>
    <w:p>
      <w:pPr>
        <w:shd w:val="clear"/>
        <w:jc w:val="center"/>
        <w:rPr>
          <w:rFonts w:eastAsia="仿宋"/>
          <w:color w:val="000000" w:themeColor="text1"/>
          <w:sz w:val="52"/>
          <w:szCs w:val="52"/>
          <w:highlight w:val="none"/>
          <w14:textFill>
            <w14:solidFill>
              <w14:schemeClr w14:val="tx1"/>
            </w14:solidFill>
          </w14:textFill>
        </w:rPr>
      </w:pPr>
    </w:p>
    <w:p>
      <w:pPr>
        <w:shd w:val="clear"/>
        <w:ind w:firstLine="1040"/>
        <w:rPr>
          <w:rFonts w:eastAsia="仿宋"/>
          <w:color w:val="000000" w:themeColor="text1"/>
          <w:sz w:val="44"/>
          <w:szCs w:val="44"/>
          <w:highlight w:val="none"/>
          <w14:textFill>
            <w14:solidFill>
              <w14:schemeClr w14:val="tx1"/>
            </w14:solidFill>
          </w14:textFill>
        </w:rPr>
      </w:pPr>
    </w:p>
    <w:p>
      <w:pPr>
        <w:shd w:val="clear"/>
        <w:ind w:firstLine="1040"/>
        <w:rPr>
          <w:rFonts w:eastAsia="仿宋"/>
          <w:color w:val="000000" w:themeColor="text1"/>
          <w:sz w:val="44"/>
          <w:szCs w:val="44"/>
          <w:highlight w:val="none"/>
          <w14:textFill>
            <w14:solidFill>
              <w14:schemeClr w14:val="tx1"/>
            </w14:solidFill>
          </w14:textFill>
        </w:rPr>
      </w:pPr>
    </w:p>
    <w:p>
      <w:pPr>
        <w:shd w:val="clear"/>
        <w:ind w:firstLine="1040"/>
        <w:rPr>
          <w:rFonts w:eastAsia="仿宋"/>
          <w:color w:val="000000" w:themeColor="text1"/>
          <w:sz w:val="44"/>
          <w:szCs w:val="44"/>
          <w:highlight w:val="none"/>
          <w14:textFill>
            <w14:solidFill>
              <w14:schemeClr w14:val="tx1"/>
            </w14:solidFill>
          </w14:textFill>
        </w:rPr>
      </w:pPr>
    </w:p>
    <w:p>
      <w:pPr>
        <w:shd w:val="clear"/>
        <w:ind w:firstLine="1040"/>
        <w:rPr>
          <w:rFonts w:eastAsia="仿宋"/>
          <w:color w:val="000000" w:themeColor="text1"/>
          <w:sz w:val="44"/>
          <w:szCs w:val="44"/>
          <w:highlight w:val="none"/>
          <w14:textFill>
            <w14:solidFill>
              <w14:schemeClr w14:val="tx1"/>
            </w14:solidFill>
          </w14:textFill>
        </w:rPr>
      </w:pPr>
    </w:p>
    <w:p>
      <w:pPr>
        <w:keepNext w:val="0"/>
        <w:keepLines w:val="0"/>
        <w:widowControl/>
        <w:suppressLineNumbers w:val="0"/>
        <w:shd w:val="clear"/>
        <w:ind w:firstLine="720" w:firstLineChars="200"/>
        <w:jc w:val="left"/>
        <w:rPr>
          <w:rFonts w:hint="default" w:ascii="仿宋_GB2312" w:eastAsia="仿宋_GB2312"/>
          <w:color w:val="000000" w:themeColor="text1"/>
          <w:sz w:val="30"/>
          <w:szCs w:val="30"/>
          <w:highlight w:val="none"/>
          <w:u w:val="single"/>
          <w:lang w:val="en-US"/>
          <w14:textFill>
            <w14:solidFill>
              <w14:schemeClr w14:val="tx1"/>
            </w14:solidFill>
          </w14:textFill>
        </w:rPr>
      </w:pPr>
      <w:r>
        <w:rPr>
          <w:rFonts w:hint="eastAsia" w:ascii="仿宋_GB2312" w:hAnsi="Times New Roman" w:eastAsia="仿宋_GB2312" w:cs="Times New Roman"/>
          <w:color w:val="000000" w:themeColor="text1"/>
          <w:sz w:val="36"/>
          <w:szCs w:val="36"/>
          <w:highlight w:val="none"/>
          <w14:textFill>
            <w14:solidFill>
              <w14:schemeClr w14:val="tx1"/>
            </w14:solidFill>
          </w14:textFill>
        </w:rPr>
        <w:t>项目名称：</w:t>
      </w:r>
      <w:r>
        <w:rPr>
          <w:rFonts w:hint="eastAsia" w:ascii="仿宋_GB2312"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8"/>
          <w:szCs w:val="28"/>
          <w:highlight w:val="none"/>
          <w:u w:val="single"/>
          <w:lang w:val="en-US" w:eastAsia="zh-CN" w:bidi="ar"/>
          <w14:textFill>
            <w14:solidFill>
              <w14:schemeClr w14:val="tx1"/>
            </w14:solidFill>
          </w14:textFill>
        </w:rPr>
        <w:t>福鼎市贯岭镇Y869透溪线公路工程</w:t>
      </w:r>
      <w:r>
        <w:rPr>
          <w:rFonts w:hint="eastAsia" w:cs="Times New Roman"/>
          <w:b w:val="0"/>
          <w:bCs w:val="0"/>
          <w:color w:val="000000" w:themeColor="text1"/>
          <w:kern w:val="0"/>
          <w:sz w:val="28"/>
          <w:szCs w:val="28"/>
          <w:highlight w:val="none"/>
          <w:u w:val="single"/>
          <w:lang w:val="en-US" w:eastAsia="zh-CN" w:bidi="ar"/>
          <w14:textFill>
            <w14:solidFill>
              <w14:schemeClr w14:val="tx1"/>
            </w14:solidFill>
          </w14:textFill>
        </w:rPr>
        <w:t xml:space="preserve">   </w:t>
      </w:r>
    </w:p>
    <w:p>
      <w:pPr>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720" w:firstLineChars="200"/>
        <w:textAlignment w:val="auto"/>
        <w:rPr>
          <w:rFonts w:hint="eastAsia" w:ascii="仿宋_GB2312" w:eastAsia="宋体"/>
          <w:color w:val="000000" w:themeColor="text1"/>
          <w:sz w:val="30"/>
          <w:szCs w:val="30"/>
          <w:highlight w:val="none"/>
          <w:u w:val="single"/>
          <w:lang w:val="en-US" w:eastAsia="zh-CN"/>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建设单位</w:t>
      </w:r>
      <w:r>
        <w:rPr>
          <w:rFonts w:hint="eastAsia" w:ascii="仿宋_GB2312" w:eastAsia="仿宋_GB2312"/>
          <w:color w:val="000000" w:themeColor="text1"/>
          <w:sz w:val="36"/>
          <w:szCs w:val="36"/>
          <w:highlight w:val="none"/>
          <w:lang w:eastAsia="zh-CN"/>
          <w14:textFill>
            <w14:solidFill>
              <w14:schemeClr w14:val="tx1"/>
            </w14:solidFill>
          </w14:textFill>
        </w:rPr>
        <w:t>(</w:t>
      </w:r>
      <w:r>
        <w:rPr>
          <w:rFonts w:hint="eastAsia" w:ascii="仿宋_GB2312" w:eastAsia="仿宋_GB2312"/>
          <w:color w:val="000000" w:themeColor="text1"/>
          <w:sz w:val="36"/>
          <w:szCs w:val="36"/>
          <w:highlight w:val="none"/>
          <w14:textFill>
            <w14:solidFill>
              <w14:schemeClr w14:val="tx1"/>
            </w14:solidFill>
          </w14:textFill>
        </w:rPr>
        <w:t>盖章</w:t>
      </w:r>
      <w:r>
        <w:rPr>
          <w:rFonts w:hint="eastAsia" w:ascii="仿宋_GB2312" w:eastAsia="仿宋_GB2312"/>
          <w:color w:val="000000" w:themeColor="text1"/>
          <w:sz w:val="36"/>
          <w:szCs w:val="36"/>
          <w:highlight w:val="none"/>
          <w:lang w:eastAsia="zh-CN"/>
          <w14:textFill>
            <w14:solidFill>
              <w14:schemeClr w14:val="tx1"/>
            </w14:solidFill>
          </w14:textFill>
        </w:rPr>
        <w:t>)</w:t>
      </w:r>
      <w:r>
        <w:rPr>
          <w:rFonts w:hint="eastAsia" w:ascii="仿宋_GB2312" w:eastAsia="仿宋_GB2312"/>
          <w:color w:val="000000" w:themeColor="text1"/>
          <w:sz w:val="36"/>
          <w:szCs w:val="36"/>
          <w:highlight w:val="none"/>
          <w14:textFill>
            <w14:solidFill>
              <w14:schemeClr w14:val="tx1"/>
            </w14:solidFill>
          </w14:textFill>
        </w:rPr>
        <w:t>：</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kern w:val="0"/>
          <w:sz w:val="28"/>
          <w:szCs w:val="28"/>
          <w:highlight w:val="none"/>
          <w:u w:val="single"/>
          <w:lang w:val="en-US" w:eastAsia="zh-CN" w:bidi="ar"/>
          <w14:textFill>
            <w14:solidFill>
              <w14:schemeClr w14:val="tx1"/>
            </w14:solidFill>
          </w14:textFill>
        </w:rPr>
        <w:t>福鼎市贯岭镇人民政府</w:t>
      </w:r>
      <w:r>
        <w:rPr>
          <w:rFonts w:hint="eastAsia" w:cs="Times New Roman"/>
          <w:b w:val="0"/>
          <w:bCs w:val="0"/>
          <w:color w:val="000000" w:themeColor="text1"/>
          <w:kern w:val="0"/>
          <w:sz w:val="28"/>
          <w:szCs w:val="28"/>
          <w:highlight w:val="none"/>
          <w:u w:val="single"/>
          <w:lang w:val="en-US" w:eastAsia="zh-CN" w:bidi="ar"/>
          <w14:textFill>
            <w14:solidFill>
              <w14:schemeClr w14:val="tx1"/>
            </w14:solidFill>
          </w14:textFill>
        </w:rPr>
        <w:t xml:space="preserve">    </w:t>
      </w:r>
      <w:r>
        <w:rPr>
          <w:rFonts w:hint="eastAsia"/>
          <w:color w:val="000000" w:themeColor="text1"/>
          <w:sz w:val="28"/>
          <w:szCs w:val="28"/>
          <w:highlight w:val="none"/>
          <w:u w:val="single"/>
          <w:lang w:val="en-US" w:eastAsia="zh-CN"/>
          <w14:textFill>
            <w14:solidFill>
              <w14:schemeClr w14:val="tx1"/>
            </w14:solidFill>
          </w14:textFill>
        </w:rPr>
        <w:t xml:space="preserve"> </w:t>
      </w:r>
    </w:p>
    <w:p>
      <w:pPr>
        <w:shd w:val="clear"/>
        <w:adjustRightInd w:val="0"/>
        <w:snapToGrid w:val="0"/>
        <w:spacing w:line="360" w:lineRule="auto"/>
        <w:ind w:firstLine="720" w:firstLineChars="200"/>
        <w:rPr>
          <w:rFonts w:hint="eastAsia"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编制日期：</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r>
        <w:rPr>
          <w:rFonts w:ascii="仿宋_GB2312" w:eastAsia="仿宋_GB2312"/>
          <w:color w:val="000000" w:themeColor="text1"/>
          <w:sz w:val="30"/>
          <w:szCs w:val="30"/>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2022</w:t>
      </w:r>
      <w:r>
        <w:rPr>
          <w:rFonts w:hint="default" w:ascii="Times New Roman" w:hAnsi="Times New Roman" w:eastAsia="宋体" w:cs="Times New Roman"/>
          <w:color w:val="000000" w:themeColor="text1"/>
          <w:sz w:val="28"/>
          <w:szCs w:val="28"/>
          <w:highlight w:val="none"/>
          <w:u w:val="single"/>
          <w14:textFill>
            <w14:solidFill>
              <w14:schemeClr w14:val="tx1"/>
            </w14:solidFill>
          </w14:textFill>
        </w:rPr>
        <w:t>年</w:t>
      </w:r>
      <w:r>
        <w:rPr>
          <w:rFonts w:hint="default"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7</w:t>
      </w:r>
      <w:r>
        <w:rPr>
          <w:rFonts w:hint="default" w:ascii="Times New Roman" w:hAnsi="Times New Roman" w:eastAsia="宋体" w:cs="Times New Roman"/>
          <w:color w:val="000000" w:themeColor="text1"/>
          <w:sz w:val="28"/>
          <w:szCs w:val="28"/>
          <w:highlight w:val="none"/>
          <w:u w:val="single"/>
          <w14:textFill>
            <w14:solidFill>
              <w14:schemeClr w14:val="tx1"/>
            </w14:solidFill>
          </w14:textFill>
        </w:rPr>
        <w:t>月</w:t>
      </w:r>
      <w:r>
        <w:rPr>
          <w:rFonts w:ascii="仿宋_GB2312" w:eastAsia="仿宋_GB2312"/>
          <w:color w:val="000000" w:themeColor="text1"/>
          <w:sz w:val="28"/>
          <w:szCs w:val="28"/>
          <w:highlight w:val="none"/>
          <w:u w:val="single"/>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p>
    <w:p>
      <w:pPr>
        <w:shd w:val="clear"/>
        <w:adjustRightInd w:val="0"/>
        <w:snapToGrid w:val="0"/>
        <w:spacing w:line="288" w:lineRule="auto"/>
        <w:ind w:firstLine="1040"/>
        <w:rPr>
          <w:rFonts w:ascii="仿宋_GB2312" w:eastAsia="仿宋_GB2312"/>
          <w:color w:val="000000" w:themeColor="text1"/>
          <w:sz w:val="36"/>
          <w:szCs w:val="36"/>
          <w:highlight w:val="none"/>
          <w:u w:val="single"/>
          <w14:textFill>
            <w14:solidFill>
              <w14:schemeClr w14:val="tx1"/>
            </w14:solidFill>
          </w14:textFill>
        </w:rPr>
      </w:pPr>
    </w:p>
    <w:p>
      <w:pPr>
        <w:shd w:val="clea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pPr>
        <w:shd w:val="clea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pPr>
        <w:shd w:val="clear"/>
        <w:adjustRightInd w:val="0"/>
        <w:snapToGrid w:val="0"/>
        <w:spacing w:line="288" w:lineRule="auto"/>
        <w:ind w:firstLine="1040"/>
        <w:rPr>
          <w:rFonts w:hint="eastAsia" w:ascii="仿宋_GB2312" w:eastAsia="仿宋_GB2312"/>
          <w:color w:val="000000" w:themeColor="text1"/>
          <w:sz w:val="36"/>
          <w:szCs w:val="36"/>
          <w:highlight w:val="none"/>
          <w14:textFill>
            <w14:solidFill>
              <w14:schemeClr w14:val="tx1"/>
            </w14:solidFill>
          </w14:textFill>
        </w:rPr>
      </w:pPr>
    </w:p>
    <w:p>
      <w:pPr>
        <w:shd w:val="clear"/>
        <w:adjustRightInd w:val="0"/>
        <w:snapToGrid w:val="0"/>
        <w:spacing w:line="288" w:lineRule="auto"/>
        <w:ind w:firstLine="1040"/>
        <w:rPr>
          <w:rFonts w:hint="eastAsia" w:ascii="仿宋_GB2312" w:eastAsia="仿宋_GB2312"/>
          <w:color w:val="000000" w:themeColor="text1"/>
          <w:sz w:val="36"/>
          <w:szCs w:val="36"/>
          <w:highlight w:val="none"/>
          <w14:textFill>
            <w14:solidFill>
              <w14:schemeClr w14:val="tx1"/>
            </w14:solidFill>
          </w14:textFill>
        </w:rPr>
      </w:pPr>
    </w:p>
    <w:p>
      <w:pPr>
        <w:shd w:val="clear"/>
        <w:adjustRightInd w:val="0"/>
        <w:snapToGrid w:val="0"/>
        <w:spacing w:line="288" w:lineRule="auto"/>
        <w:jc w:val="center"/>
        <w:rPr>
          <w:rFonts w:ascii="楷体_GB2312" w:eastAsia="楷体_GB2312"/>
          <w:color w:val="000000" w:themeColor="text1"/>
          <w:sz w:val="36"/>
          <w:szCs w:val="36"/>
          <w:highlight w:val="none"/>
          <w14:textFill>
            <w14:solidFill>
              <w14:schemeClr w14:val="tx1"/>
            </w14:solidFill>
          </w14:textFill>
        </w:rPr>
      </w:pPr>
      <w:r>
        <w:rPr>
          <w:rFonts w:hint="eastAsia" w:ascii="楷体_GB2312" w:eastAsia="楷体_GB2312"/>
          <w:color w:val="000000" w:themeColor="text1"/>
          <w:sz w:val="36"/>
          <w:szCs w:val="36"/>
          <w:highlight w:val="none"/>
          <w14:textFill>
            <w14:solidFill>
              <w14:schemeClr w14:val="tx1"/>
            </w14:solidFill>
          </w14:textFill>
        </w:rPr>
        <w:t>中华人民共和国生态环境部制</w:t>
      </w:r>
    </w:p>
    <w:p>
      <w:pPr>
        <w:shd w:val="clea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pPr>
        <w:shd w:val="clear"/>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p>
    <w:tbl>
      <w:tblPr>
        <w:tblStyle w:val="13"/>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24"/>
        <w:gridCol w:w="3145"/>
        <w:gridCol w:w="1854"/>
        <w:gridCol w:w="27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建设项目名称</w:t>
            </w:r>
          </w:p>
        </w:tc>
        <w:tc>
          <w:tcPr>
            <w:tcW w:w="7706" w:type="dxa"/>
            <w:gridSpan w:val="3"/>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157" w:beforeLines="50" w:beforeAutospacing="0" w:after="157" w:afterLines="50" w:afterAutospacing="0" w:line="240" w:lineRule="auto"/>
              <w:ind w:left="0" w:right="0" w:firstLine="0" w:firstLineChars="0"/>
              <w:jc w:val="center"/>
              <w:textAlignment w:val="auto"/>
              <w:outlineLvl w:val="0"/>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14:textFill>
                  <w14:solidFill>
                    <w14:schemeClr w14:val="tx1"/>
                  </w14:solidFill>
                </w14:textFill>
              </w:rPr>
              <w:t>福鼎市贯岭镇Y869透溪线公路工程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项目代码</w:t>
            </w:r>
          </w:p>
        </w:tc>
        <w:tc>
          <w:tcPr>
            <w:tcW w:w="7706" w:type="dxa"/>
            <w:gridSpan w:val="3"/>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2112-350982-04-01-401165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建设单位联系人</w:t>
            </w:r>
          </w:p>
        </w:tc>
        <w:tc>
          <w:tcPr>
            <w:tcW w:w="3145"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王祖理</w:t>
            </w:r>
          </w:p>
        </w:tc>
        <w:tc>
          <w:tcPr>
            <w:tcW w:w="1854"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联系方式</w:t>
            </w:r>
          </w:p>
        </w:tc>
        <w:tc>
          <w:tcPr>
            <w:tcW w:w="2707"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13515068977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建设地点</w:t>
            </w:r>
          </w:p>
        </w:tc>
        <w:tc>
          <w:tcPr>
            <w:tcW w:w="7706" w:type="dxa"/>
            <w:gridSpan w:val="3"/>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福建省</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自治区</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福鼎市</w:t>
            </w:r>
            <w:r>
              <w:rPr>
                <w:rFonts w:hint="default" w:ascii="Times New Roman" w:hAnsi="Times New Roman" w:eastAsia="宋体" w:cs="Times New Roman"/>
                <w:color w:val="000000" w:themeColor="text1"/>
                <w:sz w:val="24"/>
                <w:szCs w:val="24"/>
                <w:highlight w:val="none"/>
                <w14:textFill>
                  <w14:solidFill>
                    <w14:schemeClr w14:val="tx1"/>
                  </w14:solidFill>
                </w14:textFill>
              </w:rPr>
              <w:t>市</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县</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区</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u w:val="single"/>
                <w:lang w:val="en-US" w:eastAsia="zh-CN"/>
                <w14:textFill>
                  <w14:solidFill>
                    <w14:schemeClr w14:val="tx1"/>
                  </w14:solidFill>
                </w14:textFill>
              </w:rPr>
              <w:t>贯岭镇</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街道</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u w:val="single"/>
                <w:lang w:val="en-US" w:eastAsia="zh-CN"/>
                <w14:textFill>
                  <w14:solidFill>
                    <w14:schemeClr w14:val="tx1"/>
                  </w14:solidFill>
                </w14:textFill>
              </w:rPr>
              <w:t>溪底村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地理坐标</w:t>
            </w:r>
          </w:p>
        </w:tc>
        <w:tc>
          <w:tcPr>
            <w:tcW w:w="7706" w:type="dxa"/>
            <w:gridSpan w:val="3"/>
            <w:shd w:val="clear" w:color="auto" w:fill="auto"/>
            <w:noWrap w:val="0"/>
            <w:vAlign w:val="center"/>
          </w:tcPr>
          <w:p>
            <w:pPr>
              <w:keepNext w:val="0"/>
              <w:keepLines w:val="0"/>
              <w:pageBreakBefore w:val="0"/>
              <w:widowControl/>
              <w:suppressLineNumbers w:val="0"/>
              <w:shd w:val="clear"/>
              <w:kinsoku/>
              <w:wordWrap/>
              <w:overflowPunct/>
              <w:topLinePunct w:val="0"/>
              <w:autoSpaceDE/>
              <w:autoSpaceDN/>
              <w:bidi w:val="0"/>
              <w:spacing w:before="0" w:beforeAutospacing="0" w:after="0" w:afterAutospacing="0"/>
              <w:ind w:left="0" w:right="0"/>
              <w:jc w:val="left"/>
              <w:textAlignment w:val="auto"/>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起点坐标：</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东经120度</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12</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分</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26.471</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秒，北纬27度</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23</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分</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49.544</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秒</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suppressLineNumbers w:val="0"/>
              <w:shd w:val="clea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终点坐标：</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东经120度</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11</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分</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57.754</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秒，北纬27度</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24</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分</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55.208</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秒</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建设项目行业类别</w:t>
            </w:r>
          </w:p>
        </w:tc>
        <w:tc>
          <w:tcPr>
            <w:tcW w:w="3145" w:type="dxa"/>
            <w:shd w:val="clear" w:color="auto" w:fill="auto"/>
            <w:noWrap w:val="0"/>
            <w:vAlign w:val="center"/>
          </w:tcPr>
          <w:p>
            <w:pPr>
              <w:keepNext w:val="0"/>
              <w:keepLines w:val="0"/>
              <w:pageBreakBefore w:val="0"/>
              <w:widowControl/>
              <w:suppressLineNumbers w:val="0"/>
              <w:shd w:val="clea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五十</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二</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交通运输业、管道运输业-130等级公路-其他</w:t>
            </w:r>
          </w:p>
        </w:tc>
        <w:tc>
          <w:tcPr>
            <w:tcW w:w="1854"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用地</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用海</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面积</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/长度</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km</w:t>
            </w:r>
            <w:r>
              <w:rPr>
                <w:rFonts w:hint="eastAsia" w:cs="Times New Roman"/>
                <w:color w:val="000000" w:themeColor="text1"/>
                <w:sz w:val="24"/>
                <w:szCs w:val="24"/>
                <w:highlight w:val="none"/>
                <w:lang w:eastAsia="zh-CN"/>
                <w14:textFill>
                  <w14:solidFill>
                    <w14:schemeClr w14:val="tx1"/>
                  </w14:solidFill>
                </w14:textFill>
              </w:rPr>
              <w:t>)</w:t>
            </w:r>
          </w:p>
        </w:tc>
        <w:tc>
          <w:tcPr>
            <w:tcW w:w="2707" w:type="dxa"/>
            <w:shd w:val="clear" w:color="auto" w:fill="auto"/>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总长</w:t>
            </w:r>
            <w:r>
              <w:rPr>
                <w:rFonts w:hint="eastAsia" w:cs="Times New Roman"/>
                <w:color w:val="000000" w:themeColor="text1"/>
                <w:kern w:val="0"/>
                <w:sz w:val="24"/>
                <w:szCs w:val="24"/>
                <w:highlight w:val="none"/>
                <w:lang w:val="en-US" w:eastAsia="zh-CN" w:bidi="ar"/>
                <w14:textFill>
                  <w14:solidFill>
                    <w14:schemeClr w14:val="tx1"/>
                  </w14:solidFill>
                </w14:textFill>
              </w:rPr>
              <w:t>2.948k</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建设性质</w:t>
            </w:r>
          </w:p>
        </w:tc>
        <w:tc>
          <w:tcPr>
            <w:tcW w:w="3145"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新建</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迁建</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扩建</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1854"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申报情形</w:t>
            </w:r>
          </w:p>
        </w:tc>
        <w:tc>
          <w:tcPr>
            <w:tcW w:w="2707" w:type="dxa"/>
            <w:shd w:val="clear" w:color="auto" w:fill="auto"/>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首次申报项目</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不予批准后再次申报项目</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超五年重新审核项目</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项目审批</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核准/备案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部门</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选填</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314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福鼎市交通运输局</w:t>
            </w:r>
          </w:p>
        </w:tc>
        <w:tc>
          <w:tcPr>
            <w:tcW w:w="1854"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项目审批</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核准/</w:t>
            </w:r>
          </w:p>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备案</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文号</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选填</w:t>
            </w:r>
            <w:r>
              <w:rPr>
                <w:rFonts w:hint="eastAsia" w:cs="Times New Roman"/>
                <w:color w:val="000000" w:themeColor="text1"/>
                <w:sz w:val="24"/>
                <w:szCs w:val="24"/>
                <w:highlight w:val="none"/>
                <w:lang w:eastAsia="zh-CN"/>
                <w14:textFill>
                  <w14:solidFill>
                    <w14:schemeClr w14:val="tx1"/>
                  </w14:solidFill>
                </w14:textFill>
              </w:rPr>
              <w:t>)</w:t>
            </w:r>
          </w:p>
        </w:tc>
        <w:tc>
          <w:tcPr>
            <w:tcW w:w="2707"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鼎</w:t>
            </w:r>
            <w:r>
              <w:rPr>
                <w:rFonts w:hint="eastAsia" w:cs="Times New Roman"/>
                <w:color w:val="000000" w:themeColor="text1"/>
                <w:sz w:val="24"/>
                <w:szCs w:val="24"/>
                <w:highlight w:val="none"/>
                <w:lang w:val="en-US" w:eastAsia="zh-CN"/>
                <w14:textFill>
                  <w14:solidFill>
                    <w14:schemeClr w14:val="tx1"/>
                  </w14:solidFill>
                </w14:textFill>
              </w:rPr>
              <w:t>交</w:t>
            </w:r>
            <w:r>
              <w:rPr>
                <w:rFonts w:hint="default" w:ascii="Times New Roman" w:hAnsi="Times New Roman" w:eastAsia="宋体" w:cs="Times New Roman"/>
                <w:color w:val="000000" w:themeColor="text1"/>
                <w:sz w:val="24"/>
                <w:szCs w:val="24"/>
                <w:highlight w:val="none"/>
                <w14:textFill>
                  <w14:solidFill>
                    <w14:schemeClr w14:val="tx1"/>
                  </w14:solidFill>
                </w14:textFill>
              </w:rPr>
              <w:t>审[2021]</w:t>
            </w:r>
            <w:r>
              <w:rPr>
                <w:rFonts w:hint="eastAsia" w:cs="Times New Roman"/>
                <w:color w:val="000000" w:themeColor="text1"/>
                <w:sz w:val="24"/>
                <w:szCs w:val="24"/>
                <w:highlight w:val="none"/>
                <w:lang w:val="en-US" w:eastAsia="zh-CN"/>
                <w14:textFill>
                  <w14:solidFill>
                    <w14:schemeClr w14:val="tx1"/>
                  </w14:solidFill>
                </w14:textFill>
              </w:rPr>
              <w:t>52</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总投资</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万元</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314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955.8</w:t>
            </w:r>
          </w:p>
        </w:tc>
        <w:tc>
          <w:tcPr>
            <w:tcW w:w="1854" w:type="dxa"/>
            <w:shd w:val="clear" w:color="auto" w:fill="auto"/>
            <w:noWrap w:val="0"/>
            <w:tcMar>
              <w:top w:w="16" w:type="dxa"/>
              <w:left w:w="16" w:type="dxa"/>
              <w:right w:w="16"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r>
              <w:rPr>
                <w:rFonts w:hint="eastAsia" w:cs="Times New Roman"/>
                <w:color w:val="000000" w:themeColor="text1"/>
                <w:sz w:val="24"/>
                <w:szCs w:val="24"/>
                <w:highlight w:val="none"/>
                <w:lang w:eastAsia="zh-CN"/>
                <w14:textFill>
                  <w14:solidFill>
                    <w14:schemeClr w14:val="tx1"/>
                  </w14:solidFill>
                </w14:textFill>
              </w:rPr>
              <w:t>)</w:t>
            </w:r>
          </w:p>
        </w:tc>
        <w:tc>
          <w:tcPr>
            <w:tcW w:w="2707"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环保投资占比</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314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8.58</w:t>
            </w:r>
          </w:p>
        </w:tc>
        <w:tc>
          <w:tcPr>
            <w:tcW w:w="1854" w:type="dxa"/>
            <w:shd w:val="clear" w:color="auto" w:fill="auto"/>
            <w:noWrap w:val="0"/>
            <w:tcMar>
              <w:top w:w="16" w:type="dxa"/>
              <w:left w:w="16" w:type="dxa"/>
              <w:right w:w="16"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2707"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是否开工建设</w:t>
            </w:r>
          </w:p>
        </w:tc>
        <w:tc>
          <w:tcPr>
            <w:tcW w:w="7706" w:type="dxa"/>
            <w:gridSpan w:val="3"/>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否</w:t>
            </w:r>
          </w:p>
          <w:p>
            <w:pPr>
              <w:keepNext w:val="0"/>
              <w:keepLines w:val="0"/>
              <w:suppressLineNumbers w:val="0"/>
              <w:shd w:val="clear"/>
              <w:adjustRightInd w:val="0"/>
              <w:snapToGrid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是</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起点处开挖部分路基，现已停工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专项评价设置情况</w:t>
            </w:r>
          </w:p>
        </w:tc>
        <w:tc>
          <w:tcPr>
            <w:tcW w:w="7706" w:type="dxa"/>
            <w:gridSpan w:val="3"/>
            <w:shd w:val="clear" w:color="auto" w:fill="auto"/>
            <w:noWrap w:val="0"/>
            <w:tcMar>
              <w:top w:w="16" w:type="dxa"/>
              <w:left w:w="16" w:type="dxa"/>
              <w:right w:w="16" w:type="dxa"/>
            </w:tcMar>
            <w:vAlign w:val="center"/>
          </w:tcPr>
          <w:tbl>
            <w:tblPr>
              <w:tblStyle w:val="14"/>
              <w:tblW w:w="7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417"/>
              <w:gridCol w:w="1523"/>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专项评价的类别</w:t>
                  </w:r>
                </w:p>
              </w:tc>
              <w:tc>
                <w:tcPr>
                  <w:tcW w:w="4417"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设置原则</w:t>
                  </w:r>
                </w:p>
              </w:tc>
              <w:tc>
                <w:tcPr>
                  <w:tcW w:w="1523"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本项目情况</w:t>
                  </w:r>
                </w:p>
              </w:tc>
              <w:tc>
                <w:tcPr>
                  <w:tcW w:w="657"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地表水</w:t>
                  </w:r>
                </w:p>
              </w:tc>
              <w:tc>
                <w:tcPr>
                  <w:tcW w:w="4417" w:type="dxa"/>
                  <w:noWrap w:val="0"/>
                  <w:vAlign w:val="center"/>
                </w:tcPr>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水力发电：引水式发电，涉及调峰发电的项目</w:t>
                  </w:r>
                </w:p>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人工湖、人工湿地：全部</w:t>
                  </w:r>
                </w:p>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水库：全部</w:t>
                  </w:r>
                </w:p>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引水工程：全部</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配套的管线工程等除外</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p>
                <w:p>
                  <w:pPr>
                    <w:keepNext w:val="0"/>
                    <w:keepLines w:val="0"/>
                    <w:widowControl/>
                    <w:suppressLineNumbers w:val="0"/>
                    <w:shd w:val="clear"/>
                    <w:spacing w:before="0" w:beforeAutospacing="0" w:after="0" w:afterAutospacing="0"/>
                    <w:ind w:left="0" w:right="0"/>
                    <w:jc w:val="left"/>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防洪除涝工程：包含水库的项目河湖整治：涉及清淤且底泥存在重金属污染的项目</w:t>
                  </w:r>
                </w:p>
              </w:tc>
              <w:tc>
                <w:tcPr>
                  <w:tcW w:w="1523" w:type="dxa"/>
                  <w:noWrap w:val="0"/>
                  <w:vAlign w:val="center"/>
                </w:tcPr>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lang w:val="en-US"/>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本项目为公路工程</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不涉及左列情形</w:t>
                  </w:r>
                </w:p>
              </w:tc>
              <w:tc>
                <w:tcPr>
                  <w:tcW w:w="657" w:type="dxa"/>
                  <w:noWrap w:val="0"/>
                  <w:vAlign w:val="center"/>
                </w:tcPr>
                <w:p>
                  <w:pPr>
                    <w:keepNext w:val="0"/>
                    <w:keepLines w:val="0"/>
                    <w:widowControl/>
                    <w:suppressLineNumbers w:val="0"/>
                    <w:shd w:val="clear"/>
                    <w:spacing w:before="0" w:beforeAutospacing="0" w:after="0" w:afterAutospacing="0"/>
                    <w:ind w:left="0" w:right="0"/>
                    <w:jc w:val="center"/>
                    <w:rPr>
                      <w:rFonts w:hint="default" w:ascii="宋" w:hAnsi="宋" w:eastAsia="宋" w:cs="宋"/>
                      <w:color w:val="000000" w:themeColor="text1"/>
                      <w:kern w:val="0"/>
                      <w:sz w:val="21"/>
                      <w:szCs w:val="21"/>
                      <w:highlight w:val="none"/>
                      <w:lang w:val="en-US" w:eastAsia="zh-CN" w:bidi="ar"/>
                      <w14:textFill>
                        <w14:solidFill>
                          <w14:schemeClr w14:val="tx1"/>
                        </w14:solidFill>
                      </w14:textFill>
                    </w:rPr>
                  </w:pP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地下水</w:t>
                  </w:r>
                </w:p>
              </w:tc>
              <w:tc>
                <w:tcPr>
                  <w:tcW w:w="4417" w:type="dxa"/>
                  <w:noWrap w:val="0"/>
                  <w:vAlign w:val="center"/>
                </w:tcPr>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炉底石油和天然气开采：全部</w:t>
                  </w:r>
                </w:p>
                <w:p>
                  <w:pPr>
                    <w:keepNext w:val="0"/>
                    <w:keepLines w:val="0"/>
                    <w:widowControl/>
                    <w:suppressLineNumbers w:val="0"/>
                    <w:shd w:val="clear"/>
                    <w:spacing w:before="0" w:beforeAutospacing="0" w:after="0" w:afterAutospacing="0"/>
                    <w:ind w:left="0" w:right="0"/>
                    <w:jc w:val="left"/>
                    <w:rPr>
                      <w:rFonts w:hint="default" w:ascii="宋" w:hAnsi="宋" w:eastAsia="宋" w:cs="宋"/>
                      <w:color w:val="000000" w:themeColor="text1"/>
                      <w:kern w:val="0"/>
                      <w:sz w:val="21"/>
                      <w:szCs w:val="21"/>
                      <w:highlight w:val="none"/>
                      <w:lang w:val="en-US" w:eastAsia="zh-CN" w:bidi="ar"/>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地下水</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含矿泉水</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开采：全部</w:t>
                  </w:r>
                </w:p>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水利、水电、交通等：含穿越可溶岩地层隧道的项目</w:t>
                  </w:r>
                </w:p>
              </w:tc>
              <w:tc>
                <w:tcPr>
                  <w:tcW w:w="1523" w:type="dxa"/>
                  <w:noWrap w:val="0"/>
                  <w:vAlign w:val="center"/>
                </w:tcPr>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本项目为公路工程</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不涉及左列情形</w:t>
                  </w:r>
                </w:p>
              </w:tc>
              <w:tc>
                <w:tcPr>
                  <w:tcW w:w="657" w:type="dxa"/>
                  <w:noWrap w:val="0"/>
                  <w:vAlign w:val="center"/>
                </w:tcPr>
                <w:p>
                  <w:pPr>
                    <w:keepNext w:val="0"/>
                    <w:keepLines w:val="0"/>
                    <w:widowControl/>
                    <w:suppressLineNumbers w:val="0"/>
                    <w:shd w:val="clear"/>
                    <w:spacing w:before="0" w:beforeAutospacing="0" w:after="0" w:afterAutospacing="0"/>
                    <w:ind w:left="0" w:right="0"/>
                    <w:jc w:val="center"/>
                    <w:rPr>
                      <w:rFonts w:hint="default" w:ascii="宋" w:hAnsi="宋" w:eastAsia="宋" w:cs="宋"/>
                      <w:color w:val="000000" w:themeColor="text1"/>
                      <w:kern w:val="0"/>
                      <w:sz w:val="21"/>
                      <w:szCs w:val="21"/>
                      <w:highlight w:val="none"/>
                      <w:lang w:val="en-US" w:eastAsia="zh-CN" w:bidi="ar"/>
                      <w14:textFill>
                        <w14:solidFill>
                          <w14:schemeClr w14:val="tx1"/>
                        </w14:solidFill>
                      </w14:textFill>
                    </w:rPr>
                  </w:pP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生态</w:t>
                  </w:r>
                </w:p>
              </w:tc>
              <w:tc>
                <w:tcPr>
                  <w:tcW w:w="4417" w:type="dxa"/>
                  <w:noWrap w:val="0"/>
                  <w:vAlign w:val="center"/>
                </w:tcPr>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涉及环境敏感区</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不包括饮用水水源保护区，以居住、医疗卫生、文化教育、科研、行政办公为主要功能的区域，以及文物保护单位</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的项目</w:t>
                  </w:r>
                </w:p>
              </w:tc>
              <w:tc>
                <w:tcPr>
                  <w:tcW w:w="1523"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本项目涉及的环境敏感区为二级饮用水水源保护区，不涉及</w:t>
                  </w:r>
                  <w:r>
                    <w:rPr>
                      <w:rFonts w:hint="eastAsia" w:cs="Times New Roman"/>
                      <w:color w:val="000000" w:themeColor="text1"/>
                      <w:kern w:val="0"/>
                      <w:sz w:val="21"/>
                      <w:szCs w:val="21"/>
                      <w:highlight w:val="none"/>
                      <w:vertAlign w:val="baseline"/>
                      <w:lang w:val="en-US" w:eastAsia="zh-CN"/>
                      <w14:textFill>
                        <w14:solidFill>
                          <w14:schemeClr w14:val="tx1"/>
                        </w14:solidFill>
                      </w14:textFill>
                    </w:rPr>
                    <w:t>其他环境敏感区</w:t>
                  </w:r>
                </w:p>
              </w:tc>
              <w:tc>
                <w:tcPr>
                  <w:tcW w:w="657"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大气</w:t>
                  </w:r>
                </w:p>
              </w:tc>
              <w:tc>
                <w:tcPr>
                  <w:tcW w:w="4417" w:type="dxa"/>
                  <w:noWrap w:val="0"/>
                  <w:vAlign w:val="center"/>
                </w:tcPr>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油气、液体化工码头：全部</w:t>
                  </w:r>
                </w:p>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干散货</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含煤炭、矿石</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、件杂、多用途、通用码头：涉及粉尘、挥发性有机物排放的项目</w:t>
                  </w:r>
                </w:p>
              </w:tc>
              <w:tc>
                <w:tcPr>
                  <w:tcW w:w="1523"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本项目为公路工程</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不涉及左列情形</w:t>
                  </w:r>
                </w:p>
              </w:tc>
              <w:tc>
                <w:tcPr>
                  <w:tcW w:w="657"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噪声</w:t>
                  </w:r>
                </w:p>
              </w:tc>
              <w:tc>
                <w:tcPr>
                  <w:tcW w:w="4417" w:type="dxa"/>
                  <w:noWrap w:val="0"/>
                  <w:vAlign w:val="center"/>
                </w:tcPr>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公路、铁路、机场等交通运输业涉及环境敏感区</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以居住、医疗卫生、文化教育、科研、行政办公为主要功能的区域</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的项目</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p>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城市道路</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不含维护、不含支路、人行天桥、人行地道</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：全部</w:t>
                  </w:r>
                </w:p>
              </w:tc>
              <w:tc>
                <w:tcPr>
                  <w:tcW w:w="1523"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vertAlign w:val="baseline"/>
                      <w:lang w:val="en-US"/>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w:t>
                  </w:r>
                  <w:r>
                    <w:rPr>
                      <w:rFonts w:hint="eastAsia" w:cs="Times New Roman"/>
                      <w:color w:val="000000" w:themeColor="text1"/>
                      <w:kern w:val="0"/>
                      <w:sz w:val="21"/>
                      <w:szCs w:val="21"/>
                      <w:highlight w:val="none"/>
                      <w:vertAlign w:val="baseline"/>
                      <w:lang w:val="en-US" w:eastAsia="zh-CN"/>
                      <w14:textFill>
                        <w14:solidFill>
                          <w14:schemeClr w14:val="tx1"/>
                        </w14:solidFill>
                      </w14:textFill>
                    </w:rPr>
                    <w:t>为公路项目，路线不涉及以</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居住、医疗卫生、文化教育、科研、行政办公</w:t>
                  </w:r>
                  <w:r>
                    <w:rPr>
                      <w:rFonts w:hint="eastAsia" w:cs="Times New Roman"/>
                      <w:color w:val="000000" w:themeColor="text1"/>
                      <w:kern w:val="0"/>
                      <w:sz w:val="21"/>
                      <w:szCs w:val="21"/>
                      <w:highlight w:val="none"/>
                      <w:vertAlign w:val="baseline"/>
                      <w:lang w:val="en-US" w:eastAsia="zh-CN"/>
                      <w14:textFill>
                        <w14:solidFill>
                          <w14:schemeClr w14:val="tx1"/>
                        </w14:solidFill>
                      </w14:textFill>
                    </w:rPr>
                    <w:t>为主要功能的区域</w:t>
                  </w:r>
                </w:p>
              </w:tc>
              <w:tc>
                <w:tcPr>
                  <w:tcW w:w="657"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环境风险</w:t>
                  </w:r>
                </w:p>
              </w:tc>
              <w:tc>
                <w:tcPr>
                  <w:tcW w:w="4417" w:type="dxa"/>
                  <w:noWrap w:val="0"/>
                  <w:vAlign w:val="center"/>
                </w:tcPr>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石油和天然气开采：全部</w:t>
                  </w:r>
                </w:p>
                <w:p>
                  <w:pPr>
                    <w:keepNext w:val="0"/>
                    <w:keepLines w:val="0"/>
                    <w:widowControl/>
                    <w:suppressLineNumbers w:val="0"/>
                    <w:shd w:val="clear"/>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油气、液体化工码头：全部</w:t>
                  </w:r>
                </w:p>
                <w:p>
                  <w:pPr>
                    <w:keepNext w:val="0"/>
                    <w:keepLines w:val="0"/>
                    <w:widowControl/>
                    <w:suppressLineNumbers w:val="0"/>
                    <w:shd w:val="clear"/>
                    <w:spacing w:before="0" w:beforeAutospacing="0" w:after="0" w:afterAutospacing="0"/>
                    <w:ind w:left="0" w:right="0"/>
                    <w:jc w:val="left"/>
                    <w:rPr>
                      <w:rFonts w:hint="default" w:ascii="Times New Roman" w:hAnsi="Times New Roman" w:cs="Times New Roman"/>
                      <w:color w:val="000000" w:themeColor="text1"/>
                      <w:kern w:val="0"/>
                      <w:sz w:val="21"/>
                      <w:szCs w:val="21"/>
                      <w:highlight w:val="none"/>
                      <w:vertAlign w:val="baseli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原油、成品油、天然气管线</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不含城镇天然气管线、企业厂区内管线</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，危险化学品输送管线</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不含企业厂区内管线</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 xml:space="preserve">：全部 </w:t>
                  </w:r>
                </w:p>
              </w:tc>
              <w:tc>
                <w:tcPr>
                  <w:tcW w:w="1523"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本项目为公路工程</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不涉及左列情形</w:t>
                  </w:r>
                </w:p>
              </w:tc>
              <w:tc>
                <w:tcPr>
                  <w:tcW w:w="657" w:type="dxa"/>
                  <w:noWrap w:val="0"/>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无</w:t>
                  </w:r>
                </w:p>
              </w:tc>
            </w:tr>
          </w:tbl>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规划情况</w:t>
            </w:r>
          </w:p>
        </w:tc>
        <w:tc>
          <w:tcPr>
            <w:tcW w:w="7706" w:type="dxa"/>
            <w:gridSpan w:val="3"/>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规划环境影响评价情况</w:t>
            </w:r>
          </w:p>
        </w:tc>
        <w:tc>
          <w:tcPr>
            <w:tcW w:w="7706" w:type="dxa"/>
            <w:gridSpan w:val="3"/>
            <w:shd w:val="clear" w:color="auto" w:fill="auto"/>
            <w:noWrap w:val="0"/>
            <w:tcMar>
              <w:top w:w="16" w:type="dxa"/>
              <w:left w:w="16" w:type="dxa"/>
              <w:right w:w="16" w:type="dxa"/>
            </w:tcMar>
            <w:vAlign w:val="center"/>
          </w:tcPr>
          <w:p>
            <w:pPr>
              <w:keepNext w:val="0"/>
              <w:keepLines w:val="0"/>
              <w:pageBreakBefore w:val="0"/>
              <w:suppressLineNumbers w:val="0"/>
              <w:shd w:val="clear"/>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规划及</w:t>
            </w:r>
            <w:r>
              <w:rPr>
                <w:rFonts w:hint="eastAsia" w:ascii="宋体" w:hAnsi="宋体" w:eastAsia="宋体" w:cs="宋体"/>
                <w:color w:val="000000" w:themeColor="text1"/>
                <w:sz w:val="24"/>
                <w:szCs w:val="24"/>
                <w:highlight w:val="none"/>
                <w14:textFill>
                  <w14:solidFill>
                    <w14:schemeClr w14:val="tx1"/>
                  </w14:solidFill>
                </w14:textFill>
              </w:rPr>
              <w:t>规划环境影响评价</w:t>
            </w:r>
            <w:r>
              <w:rPr>
                <w:rFonts w:hint="eastAsia" w:ascii="宋体" w:hAnsi="宋体" w:eastAsia="宋体" w:cs="宋体"/>
                <w:color w:val="000000" w:themeColor="text1"/>
                <w:kern w:val="0"/>
                <w:sz w:val="24"/>
                <w:szCs w:val="24"/>
                <w:highlight w:val="none"/>
                <w14:textFill>
                  <w14:solidFill>
                    <w14:schemeClr w14:val="tx1"/>
                  </w14:solidFill>
                </w14:textFill>
              </w:rPr>
              <w:t>符合性分析</w:t>
            </w:r>
          </w:p>
        </w:tc>
        <w:tc>
          <w:tcPr>
            <w:tcW w:w="7706" w:type="dxa"/>
            <w:gridSpan w:val="3"/>
            <w:shd w:val="clear" w:color="auto" w:fill="auto"/>
            <w:noWrap w:val="0"/>
            <w:tcMar>
              <w:top w:w="16" w:type="dxa"/>
              <w:left w:w="16" w:type="dxa"/>
              <w:right w:w="16"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before="157" w:beforeLines="5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24" w:type="dxa"/>
            <w:shd w:val="clear" w:color="auto" w:fill="auto"/>
            <w:noWrap w:val="0"/>
            <w:tcMar>
              <w:top w:w="16" w:type="dxa"/>
              <w:left w:w="16" w:type="dxa"/>
              <w:right w:w="16" w:type="dxa"/>
            </w:tcMar>
            <w:vAlign w:val="center"/>
          </w:tcPr>
          <w:p>
            <w:pPr>
              <w:keepNext w:val="0"/>
              <w:keepLines w:val="0"/>
              <w:suppressLineNumbers w:val="0"/>
              <w:shd w:val="clear"/>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bookmarkStart w:id="0" w:name="_Hlk56690880"/>
            <w:r>
              <w:rPr>
                <w:rFonts w:hint="eastAsia" w:ascii="宋体" w:hAnsi="宋体" w:eastAsia="宋体" w:cs="宋体"/>
                <w:color w:val="000000" w:themeColor="text1"/>
                <w:kern w:val="0"/>
                <w:sz w:val="24"/>
                <w:szCs w:val="24"/>
                <w:highlight w:val="none"/>
                <w14:textFill>
                  <w14:solidFill>
                    <w14:schemeClr w14:val="tx1"/>
                  </w14:solidFill>
                </w14:textFill>
              </w:rPr>
              <w:t>其他符合性分析</w:t>
            </w:r>
            <w:bookmarkEnd w:id="0"/>
          </w:p>
        </w:tc>
        <w:tc>
          <w:tcPr>
            <w:tcW w:w="7706" w:type="dxa"/>
            <w:gridSpan w:val="3"/>
            <w:shd w:val="clear" w:color="auto" w:fill="auto"/>
            <w:noWrap w:val="0"/>
            <w:tcMar>
              <w:top w:w="16" w:type="dxa"/>
              <w:left w:w="16" w:type="dxa"/>
              <w:right w:w="16" w:type="dxa"/>
            </w:tcMar>
            <w:vAlign w:val="center"/>
          </w:tcPr>
          <w:p>
            <w:pPr>
              <w:pStyle w:val="4"/>
              <w:numPr>
                <w:ilvl w:val="0"/>
                <w:numId w:val="3"/>
              </w:numPr>
              <w:suppressLineNumbers w:val="0"/>
              <w:shd w:val="clear"/>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“三线一单”管控要求符合性分析</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w:t>
            </w:r>
            <w:r>
              <w:rPr>
                <w:rFonts w:hint="default"/>
                <w:color w:val="000000" w:themeColor="text1"/>
                <w:highlight w:val="none"/>
                <w:lang w:val="en-US" w:eastAsia="zh-CN"/>
                <w14:textFill>
                  <w14:solidFill>
                    <w14:schemeClr w14:val="tx1"/>
                  </w14:solidFill>
                </w14:textFill>
              </w:rPr>
              <w:t>宁德</w:t>
            </w:r>
            <w:r>
              <w:rPr>
                <w:rFonts w:hint="default"/>
                <w:color w:val="000000" w:themeColor="text1"/>
                <w:highlight w:val="none"/>
                <w14:textFill>
                  <w14:solidFill>
                    <w14:schemeClr w14:val="tx1"/>
                  </w14:solidFill>
                </w14:textFill>
              </w:rPr>
              <w:t>市人民政府关于印发</w:t>
            </w:r>
            <w:r>
              <w:rPr>
                <w:rFonts w:hint="default"/>
                <w:color w:val="000000" w:themeColor="text1"/>
                <w:highlight w:val="none"/>
                <w:lang w:val="en-US" w:eastAsia="zh-CN"/>
                <w14:textFill>
                  <w14:solidFill>
                    <w14:schemeClr w14:val="tx1"/>
                  </w14:solidFill>
                </w14:textFill>
              </w:rPr>
              <w:t>宁德</w:t>
            </w:r>
            <w:r>
              <w:rPr>
                <w:rFonts w:hint="default"/>
                <w:color w:val="000000" w:themeColor="text1"/>
                <w:highlight w:val="none"/>
                <w14:textFill>
                  <w14:solidFill>
                    <w14:schemeClr w14:val="tx1"/>
                  </w14:solidFill>
                </w14:textFill>
              </w:rPr>
              <w:t>市“三线一单”生态环境分区管控方案的通知》</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宁政</w:t>
            </w:r>
            <w:r>
              <w:rPr>
                <w:rFonts w:hint="default"/>
                <w:color w:val="000000" w:themeColor="text1"/>
                <w:highlight w:val="none"/>
                <w14:textFill>
                  <w14:solidFill>
                    <w14:schemeClr w14:val="tx1"/>
                  </w14:solidFill>
                </w14:textFill>
              </w:rPr>
              <w:t>〔2021〕</w:t>
            </w:r>
            <w:r>
              <w:rPr>
                <w:rFonts w:hint="default"/>
                <w:color w:val="000000" w:themeColor="text1"/>
                <w:highlight w:val="none"/>
                <w:lang w:val="en-US" w:eastAsia="zh-CN"/>
                <w14:textFill>
                  <w14:solidFill>
                    <w14:schemeClr w14:val="tx1"/>
                  </w14:solidFill>
                </w14:textFill>
              </w:rPr>
              <w:t>11</w:t>
            </w:r>
            <w:r>
              <w:rPr>
                <w:rFonts w:hint="default"/>
                <w:color w:val="000000" w:themeColor="text1"/>
                <w:highlight w:val="none"/>
                <w14:textFill>
                  <w14:solidFill>
                    <w14:schemeClr w14:val="tx1"/>
                  </w14:solidFill>
                </w14:textFill>
              </w:rPr>
              <w:t>号</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，本项目相关符合性分析如下：</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1.1生态保护红线</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根据《宁德市人民政府关于印发宁德市“三线一单”生态环境分区管控方案的通知》</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宁政﹝2021﹞11号</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宁德市生态保护红线为全市生态空间范围内具有特殊重要生态功能、必须强制性严格保护的区域，包括水源涵养、生物多样性维护、水土保持、海岸防护等生态功能极重要区域，水土流失、海岸侵蚀及沙源流失等生态极脆弱区域，以及其他具有潜在重要生态价值的区域。宁德市生态保护红线最终范围和面积以省政府发布结果为准。</w:t>
            </w:r>
          </w:p>
          <w:p>
            <w:pPr>
              <w:pStyle w:val="21"/>
              <w:shd w:val="clear"/>
              <w:bidi w:val="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经对照，</w:t>
            </w:r>
            <w:r>
              <w:rPr>
                <w:rFonts w:hint="default"/>
                <w:color w:val="000000" w:themeColor="text1"/>
                <w:highlight w:val="none"/>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建设区未涉及生态保护红线，因此项目建设与生态保护红线管控要求不冲突。项目与生态保护红线位置关系详见附图4</w:t>
            </w:r>
            <w:r>
              <w:rPr>
                <w:rFonts w:hint="default"/>
                <w:color w:val="000000" w:themeColor="text1"/>
                <w:highlight w:val="none"/>
                <w:lang w:val="en-US" w:eastAsia="zh-CN"/>
                <w14:textFill>
                  <w14:solidFill>
                    <w14:schemeClr w14:val="tx1"/>
                  </w14:solidFill>
                </w14:textFill>
              </w:rPr>
              <w:t>。</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1.2环境质量底线</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水环境质量底线</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项目所在区域属于《宁德市“三线一单”成果报告</w:t>
            </w:r>
            <w:r>
              <w:rPr>
                <w:rFonts w:hint="eastAsia" w:ascii="宋体" w:hAnsi="宋体" w:eastAsia="宋体"/>
                <w:color w:val="000000" w:themeColor="text1"/>
                <w:sz w:val="24"/>
                <w:szCs w:val="32"/>
                <w:highlight w:val="none"/>
                <w14:textFill>
                  <w14:solidFill>
                    <w14:schemeClr w14:val="tx1"/>
                  </w14:solidFill>
                </w14:textFill>
              </w:rPr>
              <w:t>（征求意见稿）</w:t>
            </w:r>
            <w:r>
              <w:rPr>
                <w:rFonts w:hint="default"/>
                <w:color w:val="000000" w:themeColor="text1"/>
                <w:highlight w:val="none"/>
                <w:lang w:val="en-US" w:eastAsia="zh-CN"/>
                <w14:textFill>
                  <w14:solidFill>
                    <w14:schemeClr w14:val="tx1"/>
                  </w14:solidFill>
                </w14:textFill>
              </w:rPr>
              <w:t>》中划定的水环境</w:t>
            </w:r>
            <w:r>
              <w:rPr>
                <w:rFonts w:hint="eastAsia"/>
                <w:color w:val="000000" w:themeColor="text1"/>
                <w:highlight w:val="none"/>
                <w:lang w:val="en-US" w:eastAsia="zh-CN"/>
                <w14:textFill>
                  <w14:solidFill>
                    <w14:schemeClr w14:val="tx1"/>
                  </w14:solidFill>
                </w14:textFill>
              </w:rPr>
              <w:t>优先保护区</w:t>
            </w:r>
            <w:r>
              <w:rPr>
                <w:rFonts w:hint="default"/>
                <w:color w:val="000000" w:themeColor="text1"/>
                <w:highlight w:val="none"/>
                <w:lang w:val="en-US" w:eastAsia="zh-CN"/>
                <w14:textFill>
                  <w14:solidFill>
                    <w14:schemeClr w14:val="tx1"/>
                  </w14:solidFill>
                </w14:textFill>
              </w:rPr>
              <w:t>。①管控目标：解决保护区内现存的养殖、餐饮、工业等违规建设项目问题；解决保护区内道路穿越等风险防范不到位问题。②管控要求：空间布局约束：严格执行自然保护区、饮用水水源保护区、水产种质资源保护区等管理规定，强化保护区规范化建设，现有违规项目应在规定期限内搬迁或退出。污染排放管控：强化保护区内现有污染源整治，现有污染源排放需符合保护区管理规定；加强准保护区、水环境优先保护区上游一定范围内污水汇入管控。</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环境风险防控：强化保护区内环境风险排查，推进保护区内环境风险突出区域建设事故应急池、隔离网、防撞挡土墙等；严格限制保护区上游一定区域内建设涉水重污染、高风险项目。</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本项目属于</w:t>
            </w:r>
            <w:r>
              <w:rPr>
                <w:rFonts w:hint="eastAsia"/>
                <w:color w:val="000000" w:themeColor="text1"/>
                <w:highlight w:val="none"/>
                <w:lang w:val="en-US" w:eastAsia="zh-CN"/>
                <w14:textFill>
                  <w14:solidFill>
                    <w14:schemeClr w14:val="tx1"/>
                  </w14:solidFill>
                </w14:textFill>
              </w:rPr>
              <w:t>四级公路</w:t>
            </w:r>
            <w:r>
              <w:rPr>
                <w:rFonts w:hint="eastAsia"/>
                <w:color w:val="000000" w:themeColor="text1"/>
                <w:highlight w:val="none"/>
                <w:lang w:eastAsia="zh-CN"/>
                <w14:textFill>
                  <w14:solidFill>
                    <w14:schemeClr w14:val="tx1"/>
                  </w14:solidFill>
                </w14:textFill>
              </w:rPr>
              <w:t>工程</w:t>
            </w:r>
            <w:r>
              <w:rPr>
                <w:rFonts w:hint="eastAsia"/>
                <w:color w:val="000000" w:themeColor="text1"/>
                <w:highlight w:val="none"/>
                <w:lang w:val="en-US" w:eastAsia="zh-CN"/>
                <w14:textFill>
                  <w14:solidFill>
                    <w14:schemeClr w14:val="tx1"/>
                  </w14:solidFill>
                </w14:textFill>
              </w:rPr>
              <w:t>改扩建</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通过对现有道路进行提标改造，增加行车安全性及舒适性，提高环境风险防控能力，保障饮用水水源地的安全，符合水环境优先保护区相关要求</w:t>
            </w:r>
            <w:r>
              <w:rPr>
                <w:rFonts w:hint="eastAsia"/>
                <w:color w:val="000000" w:themeColor="text1"/>
                <w:highlight w:val="none"/>
                <w:lang w:eastAsia="zh-CN"/>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大气环境质量底线</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宁德市“三线一单”成果报告》，项目所在地为大气环境管控分区中的一般管控区。大气一般管控区以乡镇生活空间、农业空间为主，人口密度相对低于受体敏感区。其管控要求以产业转型、污染减排为主。从产业准入要求来看，不宜大规模进行工业项目的开发建设。</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本项目属于</w:t>
            </w:r>
            <w:r>
              <w:rPr>
                <w:rFonts w:hint="eastAsia"/>
                <w:color w:val="000000" w:themeColor="text1"/>
                <w:highlight w:val="none"/>
                <w:lang w:val="en-US" w:eastAsia="zh-CN"/>
                <w14:textFill>
                  <w14:solidFill>
                    <w14:schemeClr w14:val="tx1"/>
                  </w14:solidFill>
                </w14:textFill>
              </w:rPr>
              <w:t>四级公路</w:t>
            </w:r>
            <w:r>
              <w:rPr>
                <w:rFonts w:hint="default"/>
                <w:color w:val="000000" w:themeColor="text1"/>
                <w:highlight w:val="none"/>
                <w:lang w:val="en-US" w:eastAsia="zh-CN"/>
                <w14:textFill>
                  <w14:solidFill>
                    <w14:schemeClr w14:val="tx1"/>
                  </w14:solidFill>
                </w14:textFill>
              </w:rPr>
              <w:t>工程建设项目，不属于大规模工业项目开发，与大气环境一般管控区管控要求不冲突。</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土壤环境风险管控底线</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根据《宁德市人民政府关于印发宁德市“三线一单”生态环境分区管控方案的通知》</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宁政﹝2021﹞11号</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到2025年，全市土壤环境质量保持稳定，土壤环境风险得到管控，受污染耕地和污染地块安全利用率达93％以上。到2035年，全市土壤环境质量稳中向好，土壤环境风险得到全面管控，受污染耕地和污染地块安全利用率达95％以上。</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本项目施工期对环境可能有短暂</w:t>
            </w:r>
            <w:r>
              <w:rPr>
                <w:rFonts w:hint="eastAsia"/>
                <w:color w:val="000000" w:themeColor="text1"/>
                <w:highlight w:val="none"/>
                <w:lang w:val="en-US" w:eastAsia="zh-CN"/>
                <w14:textFill>
                  <w14:solidFill>
                    <w14:schemeClr w14:val="tx1"/>
                  </w14:solidFill>
                </w14:textFill>
              </w:rPr>
              <w:t>的</w:t>
            </w:r>
            <w:r>
              <w:rPr>
                <w:rFonts w:hint="default"/>
                <w:color w:val="000000" w:themeColor="text1"/>
                <w:highlight w:val="none"/>
                <w:lang w:val="en-US" w:eastAsia="zh-CN"/>
                <w14:textFill>
                  <w14:solidFill>
                    <w14:schemeClr w14:val="tx1"/>
                  </w14:solidFill>
                </w14:textFill>
              </w:rPr>
              <w:t>影响，施工期结束后，环境质量较易恢复，</w:t>
            </w:r>
            <w:r>
              <w:rPr>
                <w:rFonts w:hint="eastAsia"/>
                <w:color w:val="000000" w:themeColor="text1"/>
                <w:highlight w:val="none"/>
                <w:lang w:val="en-US" w:eastAsia="zh-CN"/>
                <w14:textFill>
                  <w14:solidFill>
                    <w14:schemeClr w14:val="tx1"/>
                  </w14:solidFill>
                </w14:textFill>
              </w:rPr>
              <w:t>施工期</w:t>
            </w:r>
            <w:r>
              <w:rPr>
                <w:rFonts w:hint="default"/>
                <w:color w:val="000000" w:themeColor="text1"/>
                <w:highlight w:val="none"/>
                <w:lang w:val="en-US" w:eastAsia="zh-CN"/>
                <w14:textFill>
                  <w14:solidFill>
                    <w14:schemeClr w14:val="tx1"/>
                  </w14:solidFill>
                </w14:textFill>
              </w:rPr>
              <w:t>不会对环境质量底线造成冲击，符合环境质量底线要求。</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1.3资源利用上线</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项目实施时严格按照有关规定，落实节能技术及管理措施，</w:t>
            </w:r>
            <w:r>
              <w:rPr>
                <w:rFonts w:hint="default"/>
                <w:color w:val="000000" w:themeColor="text1"/>
                <w:highlight w:val="none"/>
                <w14:textFill>
                  <w14:solidFill>
                    <w14:schemeClr w14:val="tx1"/>
                  </w14:solidFill>
                </w14:textFill>
              </w:rPr>
              <w:t>项目的水、电资源利用不会突破区域的资源利用上线。</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1.4生态环境准入清单</w:t>
            </w:r>
          </w:p>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宁德市人民政府关于印发宁德市“三线一单”生态环境分区管控方案的通知</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中仅发布了不涉及生态保护红线的26个主要工业园区管控单元的准入要求，其余219个管控单元的准入要求待新调整的生态红线正式发布后再进行衔接、发布。</w:t>
            </w:r>
            <w:r>
              <w:rPr>
                <w:rFonts w:hint="default"/>
                <w:color w:val="000000" w:themeColor="text1"/>
                <w:highlight w:val="none"/>
                <w14:textFill>
                  <w14:solidFill>
                    <w14:schemeClr w14:val="tx1"/>
                  </w14:solidFill>
                </w14:textFill>
              </w:rPr>
              <w:t>根据《宁德市生态环境准入清单(征求意见稿)》，项目所在地属于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其管控要求见下表。</w:t>
            </w:r>
          </w:p>
          <w:p>
            <w:pPr>
              <w:pStyle w:val="18"/>
              <w:keepNext w:val="0"/>
              <w:keepLines w:val="0"/>
              <w:suppressLineNumbers w:val="0"/>
              <w:shd w:val="clear"/>
              <w:bidi w:val="0"/>
              <w:spacing w:before="0" w:beforeAutospacing="0" w:after="0" w:afterAutospacing="0"/>
              <w:ind w:right="0"/>
              <w:rPr>
                <w:rFonts w:hint="default"/>
                <w:color w:val="000000" w:themeColor="text1"/>
                <w:highlight w:val="none"/>
                <w:vertAlign w:val="baseline"/>
                <w:lang w:val="en-US" w:eastAsia="zh-CN"/>
                <w14:textFill>
                  <w14:solidFill>
                    <w14:schemeClr w14:val="tx1"/>
                  </w14:solidFill>
                </w14:textFill>
              </w:rPr>
            </w:pPr>
            <w:r>
              <w:rPr>
                <w:rFonts w:hint="eastAsia" w:ascii="宋体" w:hAnsi="宋体" w:eastAsia="宋体"/>
                <w:color w:val="000000" w:themeColor="text1"/>
                <w:sz w:val="21"/>
                <w:szCs w:val="24"/>
                <w:highlight w:val="none"/>
                <w14:textFill>
                  <w14:solidFill>
                    <w14:schemeClr w14:val="tx1"/>
                  </w14:solidFill>
                </w14:textFill>
              </w:rPr>
              <w:t>项目与宁德市环境管控单元准入要求符合性分析</w:t>
            </w:r>
          </w:p>
          <w:tbl>
            <w:tblPr>
              <w:tblStyle w:val="1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730"/>
              <w:gridCol w:w="480"/>
              <w:gridCol w:w="4240"/>
              <w:gridCol w:w="1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管控单元</w:t>
                  </w:r>
                </w:p>
              </w:tc>
              <w:tc>
                <w:tcPr>
                  <w:tcW w:w="47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管控类别</w:t>
                  </w:r>
                </w:p>
              </w:tc>
              <w:tc>
                <w:tcPr>
                  <w:tcW w:w="3075" w:type="pct"/>
                  <w:gridSpan w:val="2"/>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管控要求</w:t>
                  </w:r>
                </w:p>
              </w:tc>
              <w:tc>
                <w:tcPr>
                  <w:tcW w:w="98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福鼎市山前水厂水源保护区</w:t>
                  </w:r>
                  <w:r>
                    <w:rPr>
                      <w:rFonts w:hint="eastAsia" w:cs="Times New Roman"/>
                      <w:color w:val="000000" w:themeColor="text1"/>
                      <w:szCs w:val="20"/>
                      <w:highlight w:val="none"/>
                      <w:lang w:val="en-US" w:eastAsia="zh-CN" w:bidi="ar-SA"/>
                      <w14:textFill>
                        <w14:solidFill>
                          <w14:schemeClr w14:val="tx1"/>
                        </w14:solidFill>
                      </w14:textFill>
                    </w:rPr>
                    <w:t>(</w:t>
                  </w:r>
                  <w:r>
                    <w:rPr>
                      <w:rFonts w:hint="default" w:cs="Times New Roman"/>
                      <w:color w:val="000000" w:themeColor="text1"/>
                      <w:szCs w:val="20"/>
                      <w:highlight w:val="none"/>
                      <w:lang w:val="en-US" w:eastAsia="zh-CN" w:bidi="ar-SA"/>
                      <w14:textFill>
                        <w14:solidFill>
                          <w14:schemeClr w14:val="tx1"/>
                        </w14:solidFill>
                      </w14:textFill>
                    </w:rPr>
                    <w:t>ZH35098210003</w:t>
                  </w:r>
                  <w:r>
                    <w:rPr>
                      <w:rFonts w:hint="eastAsia" w:cs="Times New Roman"/>
                      <w:color w:val="000000" w:themeColor="text1"/>
                      <w:szCs w:val="20"/>
                      <w:highlight w:val="none"/>
                      <w:lang w:val="en-US" w:eastAsia="zh-CN" w:bidi="ar-SA"/>
                      <w14:textFill>
                        <w14:solidFill>
                          <w14:schemeClr w14:val="tx1"/>
                        </w14:solidFill>
                      </w14:textFill>
                    </w:rPr>
                    <w:t>)</w:t>
                  </w:r>
                </w:p>
              </w:tc>
              <w:tc>
                <w:tcPr>
                  <w:tcW w:w="47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优先保护单元</w:t>
                  </w:r>
                </w:p>
              </w:tc>
              <w:tc>
                <w:tcPr>
                  <w:tcW w:w="31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空间布局约束</w:t>
                  </w:r>
                </w:p>
              </w:tc>
              <w:tc>
                <w:tcPr>
                  <w:tcW w:w="276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依据《关于在国土空间规划中统筹划定落实三条控制线的指导意见》《福建省流域水环境保护条例》进行管理，饮用水源一级保护区原则上禁止人为活动；一级保护区外的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98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eastAsia="宋体"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溪底村规划定位为</w:t>
                  </w:r>
                  <w:bookmarkStart w:id="71" w:name="_GoBack"/>
                  <w:bookmarkEnd w:id="71"/>
                  <w:r>
                    <w:rPr>
                      <w:rFonts w:hint="eastAsia" w:cs="Times New Roman"/>
                      <w:color w:val="000000" w:themeColor="text1"/>
                      <w:szCs w:val="20"/>
                      <w:highlight w:val="none"/>
                      <w:lang w:val="en-US" w:eastAsia="zh-CN" w:bidi="ar-SA"/>
                      <w14:textFill>
                        <w14:solidFill>
                          <w14:schemeClr w14:val="tx1"/>
                        </w14:solidFill>
                      </w14:textFill>
                    </w:rPr>
                    <w:t>以特色农业生产为主，休闲观光旅游为辅的改造型村庄。因此，本项目为</w:t>
                  </w:r>
                  <w:r>
                    <w:rPr>
                      <w:rFonts w:hint="default" w:cs="Times New Roman"/>
                      <w:color w:val="000000" w:themeColor="text1"/>
                      <w:szCs w:val="20"/>
                      <w:highlight w:val="none"/>
                      <w:lang w:val="en-US" w:eastAsia="zh-CN" w:bidi="ar-SA"/>
                      <w14:textFill>
                        <w14:solidFill>
                          <w14:schemeClr w14:val="tx1"/>
                        </w14:solidFill>
                      </w14:textFill>
                    </w:rPr>
                    <w:t>不破坏生态功能的适度参观旅游相关的必要公共设施建设</w:t>
                  </w:r>
                  <w:r>
                    <w:rPr>
                      <w:rFonts w:hint="eastAsia" w:cs="Times New Roman"/>
                      <w:color w:val="000000" w:themeColor="text1"/>
                      <w:szCs w:val="20"/>
                      <w:highlight w:val="none"/>
                      <w:lang w:val="en-US" w:eastAsia="zh-CN" w:bidi="ar-SA"/>
                      <w14:textFill>
                        <w14:solidFill>
                          <w14:schemeClr w14:val="tx1"/>
                        </w14:solidFill>
                      </w14:textFill>
                    </w:rPr>
                    <w:t>，属于空间布局约束中允许的有限人为活动。同时本项目属于必须且无法避让的项目，详见后文分析。</w:t>
                  </w:r>
                </w:p>
              </w:tc>
            </w:tr>
          </w:tbl>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综上所述，本项目建设符合</w:t>
            </w:r>
            <w:r>
              <w:rPr>
                <w:rFonts w:hint="default"/>
                <w:color w:val="000000" w:themeColor="text1"/>
                <w:highlight w:val="none"/>
                <w:lang w:val="en-US" w:eastAsia="zh-CN"/>
                <w14:textFill>
                  <w14:solidFill>
                    <w14:schemeClr w14:val="tx1"/>
                  </w14:solidFill>
                </w14:textFill>
              </w:rPr>
              <w:t>福鼎</w:t>
            </w:r>
            <w:r>
              <w:rPr>
                <w:rFonts w:hint="default"/>
                <w:color w:val="000000" w:themeColor="text1"/>
                <w:highlight w:val="none"/>
                <w14:textFill>
                  <w14:solidFill>
                    <w14:schemeClr w14:val="tx1"/>
                  </w14:solidFill>
                </w14:textFill>
              </w:rPr>
              <w:t>市“三线一单”生态环境分区管控方案的要求。</w:t>
            </w:r>
          </w:p>
          <w:p>
            <w:pPr>
              <w:pStyle w:val="4"/>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2.环境合理性</w:t>
            </w:r>
            <w:r>
              <w:rPr>
                <w:rFonts w:hint="default"/>
                <w:color w:val="000000" w:themeColor="text1"/>
                <w:highlight w:val="none"/>
                <w14:textFill>
                  <w14:solidFill>
                    <w14:schemeClr w14:val="tx1"/>
                  </w14:solidFill>
                </w14:textFill>
              </w:rPr>
              <w:t>分析</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.1选线合理性分析</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在选线过程中除充分考虑线路布置的地质条件、造价、安全性及后期维护等因素条件外，同时还考虑了施工对线路周围的影响，尽量选取路线短、占地少、土石方开挖量小及施工影响较小的路线方案。从环保角度分析，设计方案本着“利用与改造相结合”的原则，按四级公路技术指标，合理、充分地利用原有工程，对原有桥涵等重要构造物进行加固、加宽和改建，充分利用原线路，在局部困难段重新布线，该方案占用的土地少，拆迁量较小，挖方、弃方少，对水土保持设施的损坏面积少</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同时可避免深挖造成边坡不稳定带来次生地质灾害。</w:t>
            </w:r>
            <w:r>
              <w:rPr>
                <w:rFonts w:hint="eastAsia"/>
                <w:color w:val="000000" w:themeColor="text1"/>
                <w:highlight w:val="none"/>
                <w:lang w:val="en-US" w:eastAsia="zh-CN"/>
                <w14:textFill>
                  <w14:solidFill>
                    <w14:schemeClr w14:val="tx1"/>
                  </w14:solidFill>
                </w14:textFill>
              </w:rPr>
              <w:t>因此，本项目的选线是合理的。</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施工场地选址</w:t>
            </w:r>
            <w:r>
              <w:rPr>
                <w:rFonts w:hint="default"/>
                <w:color w:val="000000" w:themeColor="text1"/>
                <w:highlight w:val="none"/>
                <w:lang w:val="en-US" w:eastAsia="zh-CN"/>
                <w14:textFill>
                  <w14:solidFill>
                    <w14:schemeClr w14:val="tx1"/>
                  </w14:solidFill>
                </w14:textFill>
              </w:rPr>
              <w:t>合理性分析</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项目不设置临时弃渣场等，土石方</w:t>
            </w:r>
            <w:r>
              <w:rPr>
                <w:rFonts w:hint="eastAsia"/>
                <w:color w:val="000000" w:themeColor="text1"/>
                <w:highlight w:val="none"/>
                <w:lang w:val="en-US"/>
                <w14:textFill>
                  <w14:solidFill>
                    <w14:schemeClr w14:val="tx1"/>
                  </w14:solidFill>
                </w14:textFill>
              </w:rPr>
              <w:t>即挖即运</w:t>
            </w:r>
            <w:r>
              <w:rPr>
                <w:rFonts w:hint="eastAsia"/>
                <w:color w:val="000000" w:themeColor="text1"/>
                <w:highlight w:val="none"/>
                <w:lang w:val="en-US" w:eastAsia="zh-CN"/>
                <w14:textFill>
                  <w14:solidFill>
                    <w14:schemeClr w14:val="tx1"/>
                  </w14:solidFill>
                </w14:textFill>
              </w:rPr>
              <w:t>，交由福鼎市鼎固建材有限公司处理。本工程仅设置一个1000m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的施工场，位于桩号K0+320西侧。现状主要为茶园，不在生态保护红线及饮用水源保护区内，因此施工场选址合理。</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综上所述，本项目施工场选址</w:t>
            </w:r>
            <w:r>
              <w:rPr>
                <w:rFonts w:hint="eastAsia"/>
                <w:color w:val="000000" w:themeColor="text1"/>
                <w:highlight w:val="none"/>
                <w14:textFill>
                  <w14:solidFill>
                    <w14:schemeClr w14:val="tx1"/>
                  </w14:solidFill>
                </w14:textFill>
              </w:rPr>
              <w:t>从</w:t>
            </w:r>
            <w:r>
              <w:rPr>
                <w:rFonts w:hint="eastAsia"/>
                <w:color w:val="000000" w:themeColor="text1"/>
                <w:highlight w:val="none"/>
                <w:lang w:val="en-US" w:eastAsia="zh-CN"/>
                <w14:textFill>
                  <w14:solidFill>
                    <w14:schemeClr w14:val="tx1"/>
                  </w14:solidFill>
                </w14:textFill>
              </w:rPr>
              <w:t>环境保护角度分析是可行的。</w:t>
            </w:r>
          </w:p>
          <w:p>
            <w:pPr>
              <w:pStyle w:val="4"/>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产业政策的符合性结论</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项目建设内容为</w:t>
            </w:r>
            <w:r>
              <w:rPr>
                <w:rFonts w:hint="eastAsia"/>
                <w:color w:val="000000" w:themeColor="text1"/>
                <w:highlight w:val="none"/>
                <w:lang w:val="en-US" w:eastAsia="zh-CN"/>
                <w14:textFill>
                  <w14:solidFill>
                    <w14:schemeClr w14:val="tx1"/>
                  </w14:solidFill>
                </w14:textFill>
              </w:rPr>
              <w:t>四级公路工程</w:t>
            </w:r>
            <w:r>
              <w:rPr>
                <w:rFonts w:hint="default"/>
                <w:color w:val="000000" w:themeColor="text1"/>
                <w:highlight w:val="none"/>
                <w:lang w:val="en-US" w:eastAsia="zh-CN"/>
                <w14:textFill>
                  <w14:solidFill>
                    <w14:schemeClr w14:val="tx1"/>
                  </w14:solidFill>
                </w14:textFill>
              </w:rPr>
              <w:t>建设，属于《产业结构调整指导目录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2019年本</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》中鼓励类</w:t>
            </w:r>
            <w:r>
              <w:rPr>
                <w:rFonts w:hint="eastAsia"/>
                <w:color w:val="000000" w:themeColor="text1"/>
                <w:highlight w:val="none"/>
                <w:lang w:val="en-US" w:eastAsia="zh-CN"/>
                <w14:textFill>
                  <w14:solidFill>
                    <w14:schemeClr w14:val="tx1"/>
                  </w14:solidFill>
                </w14:textFill>
              </w:rPr>
              <w:t>；二十四</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公路及道路运输</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12</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农村公路建设</w:t>
            </w:r>
            <w:r>
              <w:rPr>
                <w:rFonts w:hint="default"/>
                <w:color w:val="000000" w:themeColor="text1"/>
                <w:highlight w:val="none"/>
                <w:lang w:val="en-US" w:eastAsia="zh-CN"/>
                <w14:textFill>
                  <w14:solidFill>
                    <w14:schemeClr w14:val="tx1"/>
                  </w14:solidFill>
                </w14:textFill>
              </w:rPr>
              <w:t>，符合国家产业政策。</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项目取得了福鼎市</w:t>
            </w:r>
            <w:r>
              <w:rPr>
                <w:rFonts w:hint="eastAsia"/>
                <w:color w:val="000000" w:themeColor="text1"/>
                <w:highlight w:val="none"/>
                <w:lang w:val="en-US" w:eastAsia="zh-CN"/>
                <w14:textFill>
                  <w14:solidFill>
                    <w14:schemeClr w14:val="tx1"/>
                  </w14:solidFill>
                </w14:textFill>
              </w:rPr>
              <w:t>交通运输</w:t>
            </w:r>
            <w:r>
              <w:rPr>
                <w:rFonts w:hint="default"/>
                <w:color w:val="000000" w:themeColor="text1"/>
                <w:highlight w:val="none"/>
                <w:lang w:val="en-US" w:eastAsia="zh-CN"/>
                <w14:textFill>
                  <w14:solidFill>
                    <w14:schemeClr w14:val="tx1"/>
                  </w14:solidFill>
                </w14:textFill>
              </w:rPr>
              <w:t>局关于</w:t>
            </w:r>
            <w:r>
              <w:rPr>
                <w:rFonts w:hint="eastAsia"/>
                <w:color w:val="000000" w:themeColor="text1"/>
                <w:highlight w:val="none"/>
                <w:lang w:val="en-US" w:eastAsia="zh-CN"/>
                <w14:textFill>
                  <w14:solidFill>
                    <w14:schemeClr w14:val="tx1"/>
                  </w14:solidFill>
                </w14:textFill>
              </w:rPr>
              <w:t>福鼎市贯岭镇Y869透溪线公路工程施工图设计文件的批复(</w:t>
            </w:r>
            <w:r>
              <w:rPr>
                <w:rFonts w:hint="default"/>
                <w:color w:val="000000" w:themeColor="text1"/>
                <w:highlight w:val="none"/>
                <w:lang w:val="en-US" w:eastAsia="zh-CN"/>
                <w14:textFill>
                  <w14:solidFill>
                    <w14:schemeClr w14:val="tx1"/>
                  </w14:solidFill>
                </w14:textFill>
              </w:rPr>
              <w:t>鼎</w:t>
            </w:r>
            <w:r>
              <w:rPr>
                <w:rFonts w:hint="eastAsia"/>
                <w:color w:val="000000" w:themeColor="text1"/>
                <w:highlight w:val="none"/>
                <w:lang w:val="en-US" w:eastAsia="zh-CN"/>
                <w14:textFill>
                  <w14:solidFill>
                    <w14:schemeClr w14:val="tx1"/>
                  </w14:solidFill>
                </w14:textFill>
              </w:rPr>
              <w:t>交</w:t>
            </w:r>
            <w:r>
              <w:rPr>
                <w:rFonts w:hint="default"/>
                <w:color w:val="000000" w:themeColor="text1"/>
                <w:highlight w:val="none"/>
                <w:lang w:val="en-US" w:eastAsia="zh-CN"/>
                <w14:textFill>
                  <w14:solidFill>
                    <w14:schemeClr w14:val="tx1"/>
                  </w14:solidFill>
                </w14:textFill>
              </w:rPr>
              <w:t>审[2021]</w:t>
            </w:r>
            <w:r>
              <w:rPr>
                <w:rFonts w:hint="eastAsia"/>
                <w:color w:val="000000" w:themeColor="text1"/>
                <w:highlight w:val="none"/>
                <w:lang w:val="en-US" w:eastAsia="zh-CN"/>
                <w14:textFill>
                  <w14:solidFill>
                    <w14:schemeClr w14:val="tx1"/>
                  </w14:solidFill>
                </w14:textFill>
              </w:rPr>
              <w:t>52</w:t>
            </w:r>
            <w:r>
              <w:rPr>
                <w:rFonts w:hint="default"/>
                <w:color w:val="000000" w:themeColor="text1"/>
                <w:highlight w:val="none"/>
                <w:lang w:val="en-US" w:eastAsia="zh-CN"/>
                <w14:textFill>
                  <w14:solidFill>
                    <w14:schemeClr w14:val="tx1"/>
                  </w14:solidFill>
                </w14:textFill>
              </w:rPr>
              <w:t>号</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，项目符合地方政策。</w:t>
            </w:r>
          </w:p>
          <w:p>
            <w:pPr>
              <w:pStyle w:val="4"/>
              <w:numPr>
                <w:ilvl w:val="0"/>
                <w:numId w:val="4"/>
              </w:numPr>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Style w:val="20"/>
                <w:rFonts w:hint="eastAsia"/>
                <w:b/>
                <w:bCs/>
                <w:color w:val="000000" w:themeColor="text1"/>
                <w:highlight w:val="none"/>
                <w:lang w:val="en-US" w:eastAsia="zh-CN"/>
                <w14:textFill>
                  <w14:solidFill>
                    <w14:schemeClr w14:val="tx1"/>
                  </w14:solidFill>
                </w14:textFill>
              </w:rPr>
              <w:t>与《</w:t>
            </w:r>
            <w:r>
              <w:rPr>
                <w:rStyle w:val="20"/>
                <w:rFonts w:hint="eastAsia"/>
                <w:b/>
                <w:bCs/>
                <w:color w:val="000000" w:themeColor="text1"/>
                <w:highlight w:val="none"/>
                <w14:textFill>
                  <w14:solidFill>
                    <w14:schemeClr w14:val="tx1"/>
                  </w14:solidFill>
                </w14:textFill>
              </w:rPr>
              <w:t>中华人民共和国水污染防治法</w:t>
            </w:r>
            <w:r>
              <w:rPr>
                <w:rStyle w:val="20"/>
                <w:rFonts w:hint="eastAsia"/>
                <w:b/>
                <w:bCs/>
                <w:color w:val="000000" w:themeColor="text1"/>
                <w:highlight w:val="none"/>
                <w:lang w:val="en-US" w:eastAsia="zh-CN"/>
                <w14:textFill>
                  <w14:solidFill>
                    <w14:schemeClr w14:val="tx1"/>
                  </w14:solidFill>
                </w14:textFill>
              </w:rPr>
              <w:t>》符合性分析</w:t>
            </w:r>
          </w:p>
          <w:p>
            <w:pPr>
              <w:pStyle w:val="18"/>
              <w:keepNext w:val="0"/>
              <w:keepLines w:val="0"/>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《中华人民共和国水污染防治法》符合性分析</w:t>
            </w:r>
          </w:p>
          <w:tbl>
            <w:tblPr>
              <w:tblStyle w:val="1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3836"/>
              <w:gridCol w:w="2619"/>
              <w:gridCol w:w="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序号</w:t>
                  </w:r>
                </w:p>
              </w:tc>
              <w:tc>
                <w:tcPr>
                  <w:tcW w:w="249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文件要求</w:t>
                  </w:r>
                </w:p>
              </w:tc>
              <w:tc>
                <w:tcPr>
                  <w:tcW w:w="1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本项目概况</w:t>
                  </w:r>
                </w:p>
              </w:tc>
              <w:tc>
                <w:tcPr>
                  <w:tcW w:w="50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w:t>
                  </w:r>
                </w:p>
              </w:tc>
              <w:tc>
                <w:tcPr>
                  <w:tcW w:w="249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第六十四条</w:t>
                  </w:r>
                  <w:r>
                    <w:rPr>
                      <w:rFonts w:hint="eastAsia" w:ascii="宋体" w:hAnsi="宋体" w:eastAsia="宋体" w:cs="Times New Roman"/>
                      <w:color w:val="000000" w:themeColor="text1"/>
                      <w:sz w:val="23"/>
                      <w:szCs w:val="24"/>
                      <w:highlight w:val="none"/>
                      <w:lang w:val="en-US" w:eastAsia="zh-CN" w:bidi="ar-SA"/>
                      <w14:textFill>
                        <w14:solidFill>
                          <w14:schemeClr w14:val="tx1"/>
                        </w14:solidFill>
                      </w14:textFill>
                    </w:rPr>
                    <w:t xml:space="preserve">在饮用水水源保护区内，禁止设置排污口。 </w:t>
                  </w:r>
                </w:p>
              </w:tc>
              <w:tc>
                <w:tcPr>
                  <w:tcW w:w="1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本项目为四级公路项目，全线位于二级饮用水源保护区陆域范围，施工期废水经沉淀池沉淀后回用，运营期不涉及废水排放。本项目未在保护区内设置排放口</w:t>
                  </w:r>
                </w:p>
              </w:tc>
              <w:tc>
                <w:tcPr>
                  <w:tcW w:w="50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w:t>
                  </w:r>
                </w:p>
              </w:tc>
              <w:tc>
                <w:tcPr>
                  <w:tcW w:w="249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第六十五条 禁止在饮用水水源一级保护区内新建、改建、扩建与供水设施和保护水源无关的建设项目；已建成的与供水设施和保护水源无关的建设项目，由县级以上人民政府责令拆除或者关闭。</w:t>
                  </w:r>
                </w:p>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禁止在饮用水水源一级保护区内从事网箱养殖、旅游、游泳、垂钓或者其他可能污染饮用水水体的活动。</w:t>
                  </w:r>
                </w:p>
              </w:tc>
              <w:tc>
                <w:tcPr>
                  <w:tcW w:w="1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本项目未穿越</w:t>
                  </w:r>
                  <w:r>
                    <w:rPr>
                      <w:rFonts w:hint="default" w:cs="Times New Roman"/>
                      <w:color w:val="000000" w:themeColor="text1"/>
                      <w:szCs w:val="20"/>
                      <w:highlight w:val="none"/>
                      <w:lang w:val="en-US" w:eastAsia="zh-CN" w:bidi="ar-SA"/>
                      <w14:textFill>
                        <w14:solidFill>
                          <w14:schemeClr w14:val="tx1"/>
                        </w14:solidFill>
                      </w14:textFill>
                    </w:rPr>
                    <w:t>饮用水水源一级保护区</w:t>
                  </w:r>
                </w:p>
              </w:tc>
              <w:tc>
                <w:tcPr>
                  <w:tcW w:w="50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w:t>
                  </w:r>
                </w:p>
              </w:tc>
              <w:tc>
                <w:tcPr>
                  <w:tcW w:w="2499" w:type="pct"/>
                  <w:vAlign w:val="center"/>
                </w:tcPr>
                <w:p>
                  <w:pPr>
                    <w:keepNext w:val="0"/>
                    <w:keepLines w:val="0"/>
                    <w:suppressLineNumbers w:val="0"/>
                    <w:shd w:val="clear"/>
                    <w:spacing w:before="0" w:beforeLines="0" w:beforeAutospacing="0" w:after="0" w:afterLines="0" w:afterAutospacing="0"/>
                    <w:ind w:left="0" w:right="0"/>
                    <w:jc w:val="left"/>
                    <w:rPr>
                      <w:rFonts w:hint="eastAsia" w:ascii="宋体" w:hAnsi="宋体" w:eastAsia="宋体"/>
                      <w:color w:val="000000" w:themeColor="text1"/>
                      <w:sz w:val="23"/>
                      <w:szCs w:val="24"/>
                      <w:highlight w:val="none"/>
                      <w14:textFill>
                        <w14:solidFill>
                          <w14:schemeClr w14:val="tx1"/>
                        </w14:solidFill>
                      </w14:textFill>
                    </w:rPr>
                  </w:pPr>
                  <w:r>
                    <w:rPr>
                      <w:rFonts w:hint="eastAsia" w:ascii="宋体" w:hAnsi="宋体" w:eastAsia="宋体"/>
                      <w:color w:val="000000" w:themeColor="text1"/>
                      <w:sz w:val="23"/>
                      <w:szCs w:val="24"/>
                      <w:highlight w:val="none"/>
                      <w14:textFill>
                        <w14:solidFill>
                          <w14:schemeClr w14:val="tx1"/>
                        </w14:solidFill>
                      </w14:textFill>
                    </w:rPr>
                    <w:t xml:space="preserve">第六十六条 禁止在饮用水水源二级保护区内新建、改建、扩建排放污染物的建设项目；已建成的排放污染物的建设项目，由县级以上人民政府责令拆除或者关闭。 </w:t>
                  </w:r>
                </w:p>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ascii="宋体" w:hAnsi="宋体" w:eastAsia="宋体" w:cs="Times New Roman"/>
                      <w:color w:val="000000" w:themeColor="text1"/>
                      <w:sz w:val="23"/>
                      <w:szCs w:val="24"/>
                      <w:highlight w:val="none"/>
                      <w:lang w:val="en-US" w:eastAsia="zh-CN" w:bidi="ar-SA"/>
                      <w14:textFill>
                        <w14:solidFill>
                          <w14:schemeClr w14:val="tx1"/>
                        </w14:solidFill>
                      </w14:textFill>
                    </w:rPr>
                    <w:t xml:space="preserve">在饮用水水源二级保护区内从事网箱养殖、旅游等活动的，应当按照规定采取措施，防止污染饮用水水体。 </w:t>
                  </w:r>
                </w:p>
              </w:tc>
              <w:tc>
                <w:tcPr>
                  <w:tcW w:w="1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本项目为公路项目，不排放水污染物；因汽车过路行驶产生的噪声和废气，基本不会对饮用水源保护区造成影响。</w:t>
                  </w:r>
                </w:p>
              </w:tc>
              <w:tc>
                <w:tcPr>
                  <w:tcW w:w="50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w:t>
                  </w:r>
                </w:p>
              </w:tc>
              <w:tc>
                <w:tcPr>
                  <w:tcW w:w="249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第七十六条 各级人民政府及其有关部门，可能发生水污染事故的企业事业单位，应当依照《中华人民共和国突发事件应对法》的规定，做好突发水污染事故的应急准备、应急处置和事后恢复等工作。</w:t>
                  </w:r>
                </w:p>
              </w:tc>
              <w:tc>
                <w:tcPr>
                  <w:tcW w:w="1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本项目建设基于视频监控的环境风险设施远程自动化控制系统，</w:t>
                  </w:r>
                  <w:r>
                    <w:rPr>
                      <w:rFonts w:hint="default" w:cs="Times New Roman"/>
                      <w:color w:val="000000" w:themeColor="text1"/>
                      <w:szCs w:val="20"/>
                      <w:highlight w:val="none"/>
                      <w:lang w:val="en-US" w:eastAsia="zh-CN" w:bidi="ar-SA"/>
                      <w14:textFill>
                        <w14:solidFill>
                          <w14:schemeClr w14:val="tx1"/>
                        </w14:solidFill>
                      </w14:textFill>
                    </w:rPr>
                    <w:t>针对水源地编制专项环境风险应急预案</w:t>
                  </w:r>
                </w:p>
              </w:tc>
              <w:tc>
                <w:tcPr>
                  <w:tcW w:w="50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bl>
          <w:p>
            <w:pPr>
              <w:pStyle w:val="21"/>
              <w:shd w:val="clear"/>
              <w:bidi w:val="0"/>
              <w:rPr>
                <w:rFonts w:hint="default"/>
                <w:color w:val="000000" w:themeColor="text1"/>
                <w:highlight w:val="none"/>
                <w:lang w:val="en-US" w:eastAsia="zh-CN"/>
                <w14:textFill>
                  <w14:solidFill>
                    <w14:schemeClr w14:val="tx1"/>
                  </w14:solidFill>
                </w14:textFill>
              </w:rPr>
            </w:pPr>
          </w:p>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5.与《福建省水污染防治条例》(2021年11月1日起施行)符合性分析</w:t>
            </w:r>
          </w:p>
          <w:p>
            <w:pPr>
              <w:pStyle w:val="18"/>
              <w:keepNext w:val="0"/>
              <w:keepLines w:val="0"/>
              <w:suppressLineNumbers w:val="0"/>
              <w:shd w:val="clear"/>
              <w:bidi w:val="0"/>
              <w:spacing w:before="0" w:beforeAutospacing="0" w:after="0" w:afterAutospacing="0"/>
              <w:ind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《福建省水污染防治条例》符合性分析</w:t>
            </w:r>
          </w:p>
          <w:tbl>
            <w:tblPr>
              <w:tblStyle w:val="1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3883"/>
              <w:gridCol w:w="2626"/>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序号</w:t>
                  </w:r>
                </w:p>
              </w:tc>
              <w:tc>
                <w:tcPr>
                  <w:tcW w:w="252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文件要求</w:t>
                  </w:r>
                </w:p>
              </w:tc>
              <w:tc>
                <w:tcPr>
                  <w:tcW w:w="171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本项目概况</w:t>
                  </w:r>
                </w:p>
              </w:tc>
              <w:tc>
                <w:tcPr>
                  <w:tcW w:w="47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w:t>
                  </w:r>
                </w:p>
              </w:tc>
              <w:tc>
                <w:tcPr>
                  <w:tcW w:w="2529" w:type="pct"/>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第四十三条县级以上地方人民政府应当根据保护集中式饮用水水源地的需要，在与与饮用水水源保护区相邻或者穿越的公路、桥梁、航道采取防护设施，防止运输油类、危险化学品的车辆或者船舶发生事故污染饮用水水源。有条件的地区，还应当在集中式饮用水水源地保护区周边道路的重要路口设置监控设备，加大安全监管力度。</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公安机关应当将依法划定的饮用水水源保护区列入危险化学品运输车辆限制通行区域，并设置明显的标志；未经批准，运输危险化学品的车辆不得进入。</w:t>
                  </w:r>
                </w:p>
              </w:tc>
              <w:tc>
                <w:tcPr>
                  <w:tcW w:w="171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为公路工程，项目环境风险源为路面径流、道路交通事故废液、消防废水等可经封闭式砼防撞栏截流，经路面排水沟导流至应急收集池，不会进入水源保护区水域。并要求在二级水源保护区内建设视频监控设备，同时禁止运输危险化学品及其他危险品的车辆通行。</w:t>
                  </w:r>
                </w:p>
              </w:tc>
              <w:tc>
                <w:tcPr>
                  <w:tcW w:w="47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w:t>
                  </w:r>
                </w:p>
              </w:tc>
              <w:tc>
                <w:tcPr>
                  <w:tcW w:w="2529" w:type="pct"/>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第四十四条在饮用水水源准保护区内，禁止从事下列行为：</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一)新建、扩建对水体污染严重的建设项目或者改建增加排污量的建设项目；(二)使用含磷洗涤剂、高残留农药，滥用化肥；(三)破坏湿地、毁林开荒、损害植被等破坏水环境生态平衡的行为；(四)法律、法规禁止的其他行为。</w:t>
                  </w:r>
                </w:p>
              </w:tc>
              <w:tc>
                <w:tcPr>
                  <w:tcW w:w="171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项目为农村公路改扩建工程，全线位于二级饮用水源保护区陆域范围，不属于左列饮用水源保护区禁止从事的项目。</w:t>
                  </w:r>
                </w:p>
              </w:tc>
              <w:tc>
                <w:tcPr>
                  <w:tcW w:w="47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w:t>
                  </w:r>
                </w:p>
              </w:tc>
              <w:tc>
                <w:tcPr>
                  <w:tcW w:w="2529" w:type="pct"/>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第四十五条在饮用水水源二级保护区内，除禁止第四十四条规定的行为以外，禁止从事下列行为：</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一)设置排污口；(二)新建、改建、扩建排放污染物的建设项目；(三)建设工业固体废物集中贮存处置设施场所、生活垃圾填埋场；(四)设立装卸垃圾、粪便、油类和有毒有害物品的码头；(五)围垦河道、滩地或者在河道、水库等采石、采砂、取土、弃置砂石；(六)建设畜禽养殖场、养殖小区；(七)修建墓地；(八)法律、法规禁止的其他行为。</w:t>
                  </w:r>
                </w:p>
              </w:tc>
              <w:tc>
                <w:tcPr>
                  <w:tcW w:w="171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全线位于二级饮用水源保护区陆域范围，项目运营期主要污染源和环境风险源为路面径流、道路交通事故废液、消防废水等可经封闭式砼防撞栏截流，经路面排水沟导流至应急收集池，不会进入水源保护区水域，不在水源保护区内排放污染物。</w:t>
                  </w:r>
                </w:p>
              </w:tc>
              <w:tc>
                <w:tcPr>
                  <w:tcW w:w="47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w:t>
                  </w:r>
                </w:p>
              </w:tc>
              <w:tc>
                <w:tcPr>
                  <w:tcW w:w="2529" w:type="pct"/>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第四十六条在饮用水水源一级保护区内，除禁止第四十四条、第四十五条规定的行为以外，禁止从事下列行为：</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一)新建、改建、扩建与供水设施和保护水源无关的建设项目；(二)堆置、存放和填埋工业废渣、城乡垃圾、粪便或者其他废弃物；(三)从事网箱养殖、旅游、游泳、垂钓、餐饮或者其他可能污染饮用水水体的活动；(四)法律、法规禁止的其他行为。</w:t>
                  </w:r>
                </w:p>
              </w:tc>
              <w:tc>
                <w:tcPr>
                  <w:tcW w:w="171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本项目永久工程和施工临时工程均不在水源一级保护区内。</w:t>
                  </w:r>
                </w:p>
              </w:tc>
              <w:tc>
                <w:tcPr>
                  <w:tcW w:w="47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符合</w:t>
                  </w:r>
                </w:p>
              </w:tc>
            </w:tr>
          </w:tbl>
          <w:p>
            <w:pPr>
              <w:pStyle w:val="4"/>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6.与《福鼎市贯岭镇溪底村村庄规划(2021-2035年》符合性分析</w:t>
            </w:r>
          </w:p>
          <w:p>
            <w:pPr>
              <w:pStyle w:val="21"/>
              <w:shd w:val="clea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《福鼎市贯岭镇溪底村村庄规划(2021 2035 年》</w:t>
            </w:r>
            <w:r>
              <w:rPr>
                <w:rFonts w:hint="eastAsia"/>
                <w:color w:val="000000" w:themeColor="text1"/>
                <w:highlight w:val="none"/>
                <w:lang w:val="en-US" w:eastAsia="zh-CN"/>
                <w14:textFill>
                  <w14:solidFill>
                    <w14:schemeClr w14:val="tx1"/>
                  </w14:solidFill>
                </w14:textFill>
              </w:rPr>
              <w:t>主要内容摘抄如下：</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规划范围</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溪底村全域</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面积438</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99公顷。</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规划定位</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以特色农业生产为主</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休闲观光旅游为辅的改造型村庄 。</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规划规模</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至规划期末2030年人口为700人</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规划建设用地583公顷。</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产业发展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加强以槟榔芋、黄栀子为主的种植业发展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以休闲观光旅游业为辅。</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交通设施布局规划</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由透溪线、岗东线构成村庄主要干道</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透溪线向南经透埕村通往福鼎市区</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岗东线向北通往浙江省泰顺县。透溪线规划拓宽至7</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5米</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含15米自行车骑行道</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岗东线设计拓宽至6米</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完成道路</w:t>
            </w:r>
          </w:p>
          <w:p>
            <w:pPr>
              <w:pStyle w:val="21"/>
              <w:shd w:val="clear"/>
              <w:bidi w:val="0"/>
              <w:ind w:left="0" w:leftChars="0" w:firstLine="0" w:firstLineChars="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硬化</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另外</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位于下厝自然村的一段村道拓宽至4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5米。村庄规划设置2处生态停车场</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分别位于村委会、知青驿站对面以及1处社会停车场位于下厝自然村。</w:t>
            </w:r>
          </w:p>
          <w:p>
            <w:pPr>
              <w:pStyle w:val="21"/>
              <w:shd w:val="clea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本项目为溪底村规划中的透溪线，根据村规划中透溪线规划扩宽</w:t>
            </w:r>
            <w:r>
              <w:rPr>
                <w:rFonts w:hint="default"/>
                <w:color w:val="000000" w:themeColor="text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5米</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含15米自行车骑行道</w:t>
            </w:r>
            <w:r>
              <w:rPr>
                <w:rFonts w:hint="eastAsia"/>
                <w:color w:val="000000" w:themeColor="text1"/>
                <w:highlight w:val="none"/>
                <w:lang w:val="en-US" w:eastAsia="zh-CN"/>
                <w14:textFill>
                  <w14:solidFill>
                    <w14:schemeClr w14:val="tx1"/>
                  </w14:solidFill>
                </w14:textFill>
              </w:rPr>
              <w:t>），由于本项目路右为溪底溪，为保护溪底溪，不占用生态红线，同时满足四级公路建设要求，本项目路基宽度仅为6.</w:t>
            </w:r>
            <w:r>
              <w:rPr>
                <w:rFonts w:hint="default"/>
                <w:color w:val="000000" w:themeColor="text1"/>
                <w:highlight w:val="none"/>
                <w:lang w:val="en-US" w:eastAsia="zh-CN"/>
                <w14:textFill>
                  <w14:solidFill>
                    <w14:schemeClr w14:val="tx1"/>
                  </w14:solidFill>
                </w14:textFill>
              </w:rPr>
              <w:t>5米</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含15米自行车骑行道</w:t>
            </w:r>
            <w:r>
              <w:rPr>
                <w:rFonts w:hint="eastAsia"/>
                <w:color w:val="000000" w:themeColor="text1"/>
                <w:highlight w:val="none"/>
                <w:lang w:val="en-US" w:eastAsia="zh-CN"/>
                <w14:textFill>
                  <w14:solidFill>
                    <w14:schemeClr w14:val="tx1"/>
                  </w14:solidFill>
                </w14:textFill>
              </w:rPr>
              <w:t>）。因此，本项目的建设符合</w:t>
            </w:r>
            <w:r>
              <w:rPr>
                <w:rFonts w:hint="default"/>
                <w:color w:val="000000" w:themeColor="text1"/>
                <w:highlight w:val="none"/>
                <w:lang w:val="en-US" w:eastAsia="zh-CN"/>
                <w14:textFill>
                  <w14:solidFill>
                    <w14:schemeClr w14:val="tx1"/>
                  </w14:solidFill>
                </w14:textFill>
              </w:rPr>
              <w:t>《福鼎市贯岭镇溪底村村庄规划(2021 2035 年》</w:t>
            </w:r>
            <w:r>
              <w:rPr>
                <w:rFonts w:hint="eastAsia"/>
                <w:color w:val="000000" w:themeColor="text1"/>
                <w:highlight w:val="none"/>
                <w:lang w:val="en-US" w:eastAsia="zh-CN"/>
                <w14:textFill>
                  <w14:solidFill>
                    <w14:schemeClr w14:val="tx1"/>
                  </w14:solidFill>
                </w14:textFill>
              </w:rPr>
              <w:t>。</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p>
            <w:pPr>
              <w:pStyle w:val="22"/>
              <w:keepNext w:val="0"/>
              <w:keepLines w:val="0"/>
              <w:widowControl/>
              <w:suppressLineNumbers w:val="0"/>
              <w:shd w:val="clear"/>
              <w:bidi w:val="0"/>
              <w:spacing w:before="0" w:beforeAutospacing="0" w:after="0" w:afterAutospacing="0"/>
              <w:ind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溪底村交通设施布局规划图</w:t>
            </w:r>
          </w:p>
        </w:tc>
      </w:tr>
    </w:tbl>
    <w:p>
      <w:pPr>
        <w:shd w:val="clear"/>
        <w:spacing w:line="360" w:lineRule="auto"/>
        <w:outlineLvl w:val="0"/>
        <w:rPr>
          <w:rFonts w:eastAsia="黑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shd w:val="clear"/>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二、建设内容</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8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703"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地理位置</w:t>
            </w:r>
          </w:p>
        </w:tc>
        <w:tc>
          <w:tcPr>
            <w:tcW w:w="8222" w:type="dxa"/>
            <w:noWrap w:val="0"/>
            <w:vAlign w:val="center"/>
          </w:tcPr>
          <w:p>
            <w:pPr>
              <w:pStyle w:val="21"/>
              <w:shd w:val="clear"/>
              <w:bidi w:val="0"/>
              <w:rPr>
                <w:rFonts w:hint="default" w:cs="Times New Roman"/>
                <w:color w:val="000000" w:themeColor="text1"/>
                <w:szCs w:val="20"/>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本项目位于福鼎市贯岭镇溪底村下辖范围内，</w:t>
            </w:r>
            <w:r>
              <w:rPr>
                <w:rFonts w:hint="eastAsia"/>
                <w:color w:val="000000" w:themeColor="text1"/>
                <w:highlight w:val="none"/>
                <w14:textFill>
                  <w14:solidFill>
                    <w14:schemeClr w14:val="tx1"/>
                  </w14:solidFill>
                </w14:textFill>
              </w:rPr>
              <w:t>路线起点位于贯透线叉路口，起点接贯透线K3+291处叉路口砼路面，起点设计桩号为K0+000，沿现有水泥路展线拓宽，部分路段截弯取直，改善该段原有路线多弯地段，终于驿站旁小桥前，设计终点桩号为K2+948.3，路线全长2.948km，路线起终点与现有砼路面顺接。</w:t>
            </w:r>
            <w:r>
              <w:rPr>
                <w:rFonts w:hint="default"/>
                <w:color w:val="000000" w:themeColor="text1"/>
                <w:highlight w:val="none"/>
                <w14:textFill>
                  <w14:solidFill>
                    <w14:schemeClr w14:val="tx1"/>
                  </w14:solidFill>
                </w14:textFill>
              </w:rPr>
              <w:t>项目地理位置详见</w:t>
            </w:r>
            <w:r>
              <w:rPr>
                <w:rFonts w:hint="eastAsia"/>
                <w:color w:val="000000" w:themeColor="text1"/>
                <w:highlight w:val="none"/>
                <w:lang w:val="en-US" w:eastAsia="zh-CN"/>
                <w14:textFill>
                  <w14:solidFill>
                    <w14:schemeClr w14:val="tx1"/>
                  </w14:solidFill>
                </w14:textFill>
              </w:rPr>
              <w:t>附图1</w:t>
            </w:r>
            <w:r>
              <w:rPr>
                <w:rFonts w:hint="default"/>
                <w:color w:val="000000" w:themeColor="text1"/>
                <w:highlight w:val="none"/>
                <w:lang w:eastAsia="zh-CN"/>
                <w14:textFill>
                  <w14:solidFill>
                    <w14:schemeClr w14:val="tx1"/>
                  </w14:solidFill>
                </w14:textFill>
              </w:rPr>
              <w:t>。</w:t>
            </w:r>
          </w:p>
          <w:p>
            <w:pPr>
              <w:keepNext w:val="0"/>
              <w:keepLines w:val="0"/>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8" w:hRule="atLeast"/>
          <w:jc w:val="center"/>
        </w:trPr>
        <w:tc>
          <w:tcPr>
            <w:tcW w:w="703"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项目的组成及规模</w:t>
            </w:r>
          </w:p>
        </w:tc>
        <w:tc>
          <w:tcPr>
            <w:tcW w:w="8222" w:type="dxa"/>
            <w:noWrap w:val="0"/>
            <w:vAlign w:val="center"/>
          </w:tcPr>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1.项目由来</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福鼎市贯岭镇溪底村下辖范围内，原道路为3.5m单车道，水泥砼路面，随着经济的发展，现单车道路已无法满足交通量的发展需求，因此，为了提高道路的通行能力，方便当地劳动人民生产生活出行及企业经济的发展，建设此项目，本项目路线全长2.948km，按公路工程技术标准“四级”建设，设计时速20公里/小时。</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本工程</w:t>
            </w:r>
            <w:r>
              <w:rPr>
                <w:rFonts w:hint="eastAsia"/>
                <w:color w:val="000000" w:themeColor="text1"/>
                <w:highlight w:val="none"/>
                <w:lang w:val="en-US" w:eastAsia="zh-CN"/>
                <w14:textFill>
                  <w14:solidFill>
                    <w14:schemeClr w14:val="tx1"/>
                  </w14:solidFill>
                </w14:textFill>
              </w:rPr>
              <w:t>线路全程穿越二级水源保护区，</w:t>
            </w:r>
            <w:r>
              <w:rPr>
                <w:rFonts w:hint="default"/>
                <w:color w:val="000000" w:themeColor="text1"/>
                <w:highlight w:val="none"/>
                <w:lang w:val="en-US" w:eastAsia="zh-CN"/>
                <w14:textFill>
                  <w14:solidFill>
                    <w14:schemeClr w14:val="tx1"/>
                  </w14:solidFill>
                </w14:textFill>
              </w:rPr>
              <w:t>属于《建设项目环境影响评价分类管理名录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2021年版</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》中五十</w:t>
            </w:r>
            <w:r>
              <w:rPr>
                <w:rFonts w:hint="eastAsia"/>
                <w:color w:val="000000" w:themeColor="text1"/>
                <w:highlight w:val="none"/>
                <w:lang w:val="en-US" w:eastAsia="zh-CN"/>
                <w14:textFill>
                  <w14:solidFill>
                    <w14:schemeClr w14:val="tx1"/>
                  </w14:solidFill>
                </w14:textFill>
              </w:rPr>
              <w:t>二</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交通运输业、管道运输业</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130</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等级公路</w:t>
            </w:r>
            <w:r>
              <w:rPr>
                <w:rFonts w:hint="default"/>
                <w:color w:val="000000" w:themeColor="text1"/>
                <w:highlight w:val="none"/>
                <w:lang w:val="en-US" w:eastAsia="zh-CN"/>
                <w14:textFill>
                  <w14:solidFill>
                    <w14:schemeClr w14:val="tx1"/>
                  </w14:solidFill>
                </w14:textFill>
              </w:rPr>
              <w:t>中的</w:t>
            </w:r>
            <w:r>
              <w:rPr>
                <w:rFonts w:hint="eastAsia"/>
                <w:color w:val="000000" w:themeColor="text1"/>
                <w:highlight w:val="none"/>
                <w:lang w:val="en-US" w:eastAsia="zh-CN"/>
                <w14:textFill>
                  <w14:solidFill>
                    <w14:schemeClr w14:val="tx1"/>
                  </w14:solidFill>
                </w14:textFill>
              </w:rPr>
              <w:t>“其他”</w:t>
            </w:r>
            <w:r>
              <w:rPr>
                <w:rFonts w:hint="default"/>
                <w:color w:val="000000" w:themeColor="text1"/>
                <w:highlight w:val="none"/>
                <w:lang w:val="en-US" w:eastAsia="zh-CN"/>
                <w14:textFill>
                  <w14:solidFill>
                    <w14:schemeClr w14:val="tx1"/>
                  </w14:solidFill>
                </w14:textFill>
              </w:rPr>
              <w:t>，应编制环评报告表。</w:t>
            </w:r>
            <w:r>
              <w:rPr>
                <w:rFonts w:hint="eastAsia"/>
                <w:color w:val="000000" w:themeColor="text1"/>
                <w:highlight w:val="none"/>
                <w:lang w:val="en-US" w:eastAsia="zh-CN"/>
                <w14:textFill>
                  <w14:solidFill>
                    <w14:schemeClr w14:val="tx1"/>
                  </w14:solidFill>
                </w14:textFill>
              </w:rPr>
              <w:t>福鼎市贯岭镇人民政府</w:t>
            </w:r>
            <w:r>
              <w:rPr>
                <w:rFonts w:hint="default"/>
                <w:color w:val="000000" w:themeColor="text1"/>
                <w:highlight w:val="none"/>
                <w:lang w:val="en-US" w:eastAsia="zh-CN"/>
                <w14:textFill>
                  <w14:solidFill>
                    <w14:schemeClr w14:val="tx1"/>
                  </w14:solidFill>
                </w14:textFill>
              </w:rPr>
              <w:t>于2022年</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23</w:t>
            </w:r>
            <w:r>
              <w:rPr>
                <w:rFonts w:hint="default"/>
                <w:color w:val="000000" w:themeColor="text1"/>
                <w:highlight w:val="none"/>
                <w:lang w:val="en-US" w:eastAsia="zh-CN"/>
                <w14:textFill>
                  <w14:solidFill>
                    <w14:schemeClr w14:val="tx1"/>
                  </w14:solidFill>
                </w14:textFill>
              </w:rPr>
              <w:t>日委托福建省闽创环保科技有限公司对本工程进行环境影响评价</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见附件1)。</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项目环境影响评价分类一览表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883"/>
              <w:gridCol w:w="2174"/>
              <w:gridCol w:w="1857"/>
              <w:gridCol w:w="208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177" w:type="pct"/>
                  <w:tcBorders>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cs="Times New Roman"/>
                      <w:b/>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项目类别</w:t>
                  </w:r>
                </w:p>
              </w:tc>
              <w:tc>
                <w:tcPr>
                  <w:tcW w:w="1358" w:type="pct"/>
                  <w:tcBorders>
                    <w:top w:val="single" w:color="auto" w:sz="12" w:space="0"/>
                    <w:bottom w:val="single" w:color="auto" w:sz="2" w:space="0"/>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cs="Times New Roman"/>
                      <w:b/>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报告书</w:t>
                  </w:r>
                </w:p>
              </w:tc>
              <w:tc>
                <w:tcPr>
                  <w:tcW w:w="1160" w:type="pct"/>
                  <w:tcBorders>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报告表</w:t>
                  </w:r>
                </w:p>
              </w:tc>
              <w:tc>
                <w:tcPr>
                  <w:tcW w:w="1303" w:type="pct"/>
                  <w:tcBorders>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cs="Times New Roman"/>
                      <w:b/>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登记表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000" w:type="pct"/>
                  <w:gridSpan w:val="4"/>
                  <w:tcBorders>
                    <w:top w:val="single" w:color="auto" w:sz="2" w:space="0"/>
                    <w:bottom w:val="single" w:color="auto" w:sz="2" w:space="0"/>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五十</w:t>
                  </w:r>
                  <w:r>
                    <w:rPr>
                      <w:rFonts w:hint="eastAsia" w:cs="Times New Roman"/>
                      <w:color w:val="000000" w:themeColor="text1"/>
                      <w:szCs w:val="20"/>
                      <w:highlight w:val="none"/>
                      <w:lang w:val="en-US" w:eastAsia="zh-CN"/>
                      <w14:textFill>
                        <w14:solidFill>
                          <w14:schemeClr w14:val="tx1"/>
                        </w14:solidFill>
                      </w14:textFill>
                    </w:rPr>
                    <w:t>二</w:t>
                  </w:r>
                  <w:r>
                    <w:rPr>
                      <w:rFonts w:hint="default"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交通运输业、管道运输业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77" w:type="pct"/>
                  <w:tcBorders>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130</w:t>
                  </w:r>
                  <w:r>
                    <w:rPr>
                      <w:rFonts w:hint="default"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等级公路（不含维护、不含生命救援、应急保通工程以及国防交通保障项目）</w:t>
                  </w:r>
                </w:p>
              </w:tc>
              <w:tc>
                <w:tcPr>
                  <w:tcW w:w="1358" w:type="pct"/>
                  <w:tcBorders>
                    <w:top w:val="single" w:color="auto" w:sz="2" w:space="0"/>
                    <w:bottom w:val="single" w:color="auto" w:sz="12" w:space="0"/>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新建30公里（不含）以上的二级以上等级公路；新建涉及环境敏感区的二级以上等级公路</w:t>
                  </w:r>
                </w:p>
              </w:tc>
              <w:tc>
                <w:tcPr>
                  <w:tcW w:w="1160" w:type="pct"/>
                  <w:tcBorders>
                    <w:top w:val="single" w:color="auto" w:sz="2" w:space="0"/>
                    <w:bottom w:val="single" w:color="auto" w:sz="12" w:space="0"/>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其他（配套设施除外；不涉及环境敏感区的三级、四级公路除外）</w:t>
                  </w:r>
                </w:p>
              </w:tc>
              <w:tc>
                <w:tcPr>
                  <w:tcW w:w="1303" w:type="pct"/>
                  <w:tcBorders>
                    <w:tl2br w:val="nil"/>
                    <w:tr2bl w:val="nil"/>
                  </w:tcBorders>
                  <w:shd w:val="clear" w:color="auto" w:fill="auto"/>
                  <w:vAlign w:val="center"/>
                </w:tcPr>
                <w:p>
                  <w:pPr>
                    <w:pStyle w:val="19"/>
                    <w:keepNext w:val="0"/>
                    <w:keepLines w:val="0"/>
                    <w:widowControl/>
                    <w:suppressLineNumbers w:val="0"/>
                    <w:shd w:val="clear"/>
                    <w:tabs>
                      <w:tab w:val="left" w:pos="0"/>
                    </w:tabs>
                    <w:spacing w:before="0" w:beforeAutospacing="0" w:after="0" w:afterAutospacing="0"/>
                    <w:ind w:left="0" w:right="0"/>
                    <w:rPr>
                      <w:rFonts w:hint="default"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配套设施；不涉及环境敏感区的三级、四级公路</w:t>
                  </w:r>
                </w:p>
              </w:tc>
            </w:tr>
          </w:tbl>
          <w:p>
            <w:pPr>
              <w:pStyle w:val="21"/>
              <w:shd w:val="clear"/>
              <w:bidi w:val="0"/>
              <w:rPr>
                <w:rFonts w:hint="default"/>
                <w:color w:val="000000" w:themeColor="text1"/>
                <w:highlight w:val="none"/>
                <w:lang w:val="en-US" w:eastAsia="zh-CN"/>
                <w14:textFill>
                  <w14:solidFill>
                    <w14:schemeClr w14:val="tx1"/>
                  </w14:solidFill>
                </w14:textFill>
              </w:rPr>
            </w:pP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2.工程基本情况</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项目名称：</w:t>
            </w:r>
            <w:r>
              <w:rPr>
                <w:rFonts w:hint="eastAsia"/>
                <w:color w:val="000000" w:themeColor="text1"/>
                <w:highlight w:val="none"/>
                <w14:textFill>
                  <w14:solidFill>
                    <w14:schemeClr w14:val="tx1"/>
                  </w14:solidFill>
                </w14:textFill>
              </w:rPr>
              <w:t>福鼎市贯岭镇Y869透溪线公路工程</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建设性质：</w:t>
            </w:r>
            <w:r>
              <w:rPr>
                <w:rFonts w:hint="eastAsia"/>
                <w:color w:val="000000" w:themeColor="text1"/>
                <w:highlight w:val="none"/>
                <w:lang w:val="en-US" w:eastAsia="zh-CN"/>
                <w14:textFill>
                  <w14:solidFill>
                    <w14:schemeClr w14:val="tx1"/>
                  </w14:solidFill>
                </w14:textFill>
              </w:rPr>
              <w:t>改扩</w:t>
            </w:r>
            <w:r>
              <w:rPr>
                <w:rFonts w:hint="default"/>
                <w:color w:val="000000" w:themeColor="text1"/>
                <w:highlight w:val="none"/>
                <w:lang w:val="en-US" w:eastAsia="zh-CN"/>
                <w14:textFill>
                  <w14:solidFill>
                    <w14:schemeClr w14:val="tx1"/>
                  </w14:solidFill>
                </w14:textFill>
              </w:rPr>
              <w:t>建</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行业类别：E48</w:t>
            </w:r>
            <w:r>
              <w:rPr>
                <w:rFonts w:hint="eastAsia"/>
                <w:color w:val="000000" w:themeColor="text1"/>
                <w:highlight w:val="none"/>
                <w:lang w:val="en-US" w:eastAsia="zh-CN"/>
                <w14:textFill>
                  <w14:solidFill>
                    <w14:schemeClr w14:val="tx1"/>
                  </w14:solidFill>
                </w14:textFill>
              </w:rPr>
              <w:t>12公路工程建筑</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lang w:val="en-US" w:eastAsia="zh-CN"/>
                <w14:textFill>
                  <w14:solidFill>
                    <w14:schemeClr w14:val="tx1"/>
                  </w14:solidFill>
                </w14:textFill>
              </w:rPr>
              <w:t>建设单位：</w:t>
            </w:r>
            <w:r>
              <w:rPr>
                <w:rFonts w:hint="eastAsia"/>
                <w:color w:val="000000" w:themeColor="text1"/>
                <w:highlight w:val="none"/>
                <w:lang w:val="en-US" w:eastAsia="zh-CN"/>
                <w14:textFill>
                  <w14:solidFill>
                    <w14:schemeClr w14:val="tx1"/>
                  </w14:solidFill>
                </w14:textFill>
              </w:rPr>
              <w:t>福鼎市贯岭镇人民政府</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建设地点：</w:t>
            </w:r>
            <w:r>
              <w:rPr>
                <w:rFonts w:hint="eastAsia"/>
                <w:color w:val="000000" w:themeColor="text1"/>
                <w:highlight w:val="none"/>
                <w:lang w:val="en-US" w:eastAsia="zh-CN"/>
                <w14:textFill>
                  <w14:solidFill>
                    <w14:schemeClr w14:val="tx1"/>
                  </w14:solidFill>
                </w14:textFill>
              </w:rPr>
              <w:t>福建省宁德市福鼎市贯岭镇溪底村</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建设内容及规模：</w:t>
            </w:r>
            <w:r>
              <w:rPr>
                <w:rFonts w:hint="eastAsia"/>
                <w:color w:val="000000" w:themeColor="text1"/>
                <w:highlight w:val="none"/>
                <w:lang w:val="en-US" w:eastAsia="zh-CN"/>
                <w14:textFill>
                  <w14:solidFill>
                    <w14:schemeClr w14:val="tx1"/>
                  </w14:solidFill>
                </w14:textFill>
              </w:rPr>
              <w:t>本项目路线全长2.948km，按四级公路单车道标准建设，设计时速20km/h，路基宽度6.5米，混凝土路面，人行漫道宽度2米，设计洪水频率涵洞、路基1遇/25，汽车荷载等级采用公路Ⅱ级。</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(7)投资总额：955.8万元</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(8)建设工期：</w:t>
            </w:r>
            <w:r>
              <w:rPr>
                <w:rFonts w:hint="default"/>
                <w:color w:val="000000" w:themeColor="text1"/>
                <w:highlight w:val="none"/>
                <w:lang w:val="en-US" w:eastAsia="zh-CN"/>
                <w14:textFill>
                  <w14:solidFill>
                    <w14:schemeClr w14:val="tx1"/>
                  </w14:solidFill>
                </w14:textFill>
              </w:rPr>
              <w:t>2022</w:t>
            </w:r>
            <w:r>
              <w:rPr>
                <w:rFonts w:hint="eastAsia"/>
                <w:color w:val="000000" w:themeColor="text1"/>
                <w:highlight w:val="none"/>
                <w:lang w:val="en-US" w:eastAsia="zh-CN"/>
                <w14:textFill>
                  <w14:solidFill>
                    <w14:schemeClr w14:val="tx1"/>
                  </w14:solidFill>
                </w14:textFill>
              </w:rPr>
              <w:t>年4月</w:t>
            </w:r>
            <w:r>
              <w:rPr>
                <w:rFonts w:hint="default"/>
                <w:color w:val="000000" w:themeColor="text1"/>
                <w:highlight w:val="none"/>
                <w:lang w:val="en-US" w:eastAsia="zh-CN"/>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3年12月，共8个月</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项目的主要技术指标如下表：</w:t>
            </w: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项目主要技术经济指标</w:t>
            </w:r>
          </w:p>
          <w:tbl>
            <w:tblPr>
              <w:tblStyle w:val="1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39"/>
              <w:gridCol w:w="2680"/>
              <w:gridCol w:w="1497"/>
              <w:gridCol w:w="2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序号</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指标名称</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单位</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一</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基本指标</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公路等级</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级</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四级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设计车速</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公里</w:t>
                  </w:r>
                  <w:r>
                    <w:rPr>
                      <w:rFonts w:hint="default"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小时</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二</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路线总长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公里</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2.948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交点数</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个</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平曲线占路线总长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直线最大长度</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139.42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竖曲线占路线总长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竖曲线最小半径</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凸形</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米/个</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凹形</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米/个</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9</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最大纵坡</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10</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最短坡长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平曲线最小半径</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曲线间最短夹直线长度</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反向曲线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米/处</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夹直线长度按不小于20米</w:t>
                  </w:r>
                  <w:r>
                    <w:rPr>
                      <w:rFonts w:hint="eastAsia" w:cs="Times New Roman"/>
                      <w:color w:val="000000" w:themeColor="text1"/>
                      <w:szCs w:val="20"/>
                      <w:highlight w:val="none"/>
                      <w:lang w:val="en-US" w:eastAsia="zh-CN"/>
                      <w14:textFill>
                        <w14:solidFill>
                          <w14:schemeClr w14:val="tx1"/>
                        </w14:solidFill>
                      </w14:textFill>
                    </w:rPr>
                    <w:t>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同向曲线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米/处</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夹直线长度按不小于20米</w:t>
                  </w:r>
                  <w:r>
                    <w:rPr>
                      <w:rFonts w:hint="eastAsia" w:cs="Times New Roman"/>
                      <w:color w:val="000000" w:themeColor="text1"/>
                      <w:szCs w:val="20"/>
                      <w:highlight w:val="none"/>
                      <w:lang w:val="en-US" w:eastAsia="zh-CN"/>
                      <w14:textFill>
                        <w14:solidFill>
                          <w14:schemeClr w14:val="tx1"/>
                        </w14:solidFill>
                      </w14:textFill>
                    </w:rPr>
                    <w:t>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三</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路基、路面</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13</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路基宽度</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14</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路基挖方</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32430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土方</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16343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石方</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16087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15</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平均每公里挖</w:t>
                  </w:r>
                  <w:r>
                    <w:rPr>
                      <w:rFonts w:hint="eastAsia" w:cs="Times New Roman"/>
                      <w:color w:val="000000" w:themeColor="text1"/>
                      <w:szCs w:val="20"/>
                      <w:highlight w:val="none"/>
                      <w:lang w:val="en-US" w:eastAsia="zh-CN"/>
                      <w14:textFill>
                        <w14:solidFill>
                          <w14:schemeClr w14:val="tx1"/>
                        </w14:solidFill>
                      </w14:textFill>
                    </w:rPr>
                    <w:t>方</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立方米/公里</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11000.7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16</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排水及防护工程</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排水工程</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防护工程</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①</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M7.5浆切片石</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2479.4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②</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C20砼</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立方米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17</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路面</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水泥砼路面</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平方米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19634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5%水泥稳定碎石基层</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平方米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20076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四</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涵洞</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18</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涵洞</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米/道</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126.0/13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五</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交通工程安全设施</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19</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交通工程安全设施</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标志牌</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含地名牌</w:t>
                  </w:r>
                  <w:r>
                    <w:rPr>
                      <w:rFonts w:hint="eastAsia" w:cs="Times New Roman"/>
                      <w:color w:val="000000" w:themeColor="text1"/>
                      <w:szCs w:val="20"/>
                      <w:highlight w:val="none"/>
                      <w:lang w:eastAsia="zh-CN"/>
                      <w14:textFill>
                        <w14:solidFill>
                          <w14:schemeClr w14:val="tx1"/>
                        </w14:solidFill>
                      </w14:textFill>
                    </w:rPr>
                    <w:t>)</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面</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护栏</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2828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路面减速标</w:t>
                  </w:r>
                  <w:r>
                    <w:rPr>
                      <w:rFonts w:hint="eastAsia" w:cs="Times New Roman"/>
                      <w:color w:val="000000" w:themeColor="text1"/>
                      <w:szCs w:val="20"/>
                      <w:highlight w:val="none"/>
                      <w:lang w:val="en-US" w:eastAsia="zh-CN"/>
                      <w14:textFill>
                        <w14:solidFill>
                          <w14:schemeClr w14:val="tx1"/>
                        </w14:solidFill>
                      </w14:textFill>
                    </w:rPr>
                    <w:t>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平方米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车道分界线</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平方米</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589.7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里程碑</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个</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w:t>
                  </w:r>
                </w:p>
              </w:tc>
              <w:tc>
                <w:tcPr>
                  <w:tcW w:w="1674"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百米桩</w:t>
                  </w:r>
                </w:p>
              </w:tc>
              <w:tc>
                <w:tcPr>
                  <w:tcW w:w="935"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个</w:t>
                  </w:r>
                </w:p>
              </w:tc>
              <w:tc>
                <w:tcPr>
                  <w:tcW w:w="174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27</w:t>
                  </w:r>
                </w:p>
              </w:tc>
            </w:tr>
          </w:tbl>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3.主要工程建设内容</w:t>
            </w:r>
          </w:p>
          <w:p>
            <w:pPr>
              <w:pStyle w:val="21"/>
              <w:shd w:val="clear"/>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本项目为四级公路建设工程，项目建设内容主要包括路基工程、路面工程、排水工程、涵洞工程等。具体建设内容详见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_Ref1508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14:textFill>
                  <w14:solidFill>
                    <w14:schemeClr w14:val="tx1"/>
                  </w14:solidFill>
                </w14:textFill>
              </w:rPr>
            </w:pPr>
            <w:bookmarkStart w:id="1" w:name="_Ref1508"/>
            <w:r>
              <w:rPr>
                <w:rFonts w:hint="eastAsia"/>
                <w:color w:val="000000" w:themeColor="text1"/>
                <w:highlight w:val="none"/>
                <w:lang w:val="en-US" w:eastAsia="zh-CN"/>
                <w14:textFill>
                  <w14:solidFill>
                    <w14:schemeClr w14:val="tx1"/>
                  </w14:solidFill>
                </w14:textFill>
              </w:rPr>
              <w:t>项目组成一览表</w:t>
            </w:r>
            <w:bookmarkEnd w:id="1"/>
          </w:p>
          <w:tbl>
            <w:tblPr>
              <w:tblStyle w:val="13"/>
              <w:tblW w:w="0" w:type="auto"/>
              <w:tblInd w:w="-2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autofit"/>
              <w:tblCellMar>
                <w:top w:w="0" w:type="dxa"/>
                <w:left w:w="28" w:type="dxa"/>
                <w:bottom w:w="0" w:type="dxa"/>
                <w:right w:w="28" w:type="dxa"/>
              </w:tblCellMar>
            </w:tblPr>
            <w:tblGrid>
              <w:gridCol w:w="1168"/>
              <w:gridCol w:w="1112"/>
              <w:gridCol w:w="56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2280" w:type="dxa"/>
                  <w:gridSpan w:val="2"/>
                  <w:tcBorders>
                    <w:bottom w:val="single" w:color="auto" w:sz="6" w:space="0"/>
                    <w:right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类别</w:t>
                  </w:r>
                </w:p>
              </w:tc>
              <w:tc>
                <w:tcPr>
                  <w:tcW w:w="5625" w:type="dxa"/>
                  <w:tcBorders>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项目工程内容及规模情况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restar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主体工程</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路线走向</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本项目路线起点位于贯透线叉路口，起点接贯透线K3+291处叉路口砼路面，起点设计桩号为K0+000，沿现有水泥路展线拓宽，部分路段截弯取直，改善该段原有路线多弯地段，终于驿站旁小桥前，设计终点桩号为K2+948.3，路线全长2.948km，路线起终点与现有砼路面顺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路基工程</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①路基宽度：6.5m。</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②路面横坡：双向横坡2%。</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③路基设计标高：设计标高位于路中线。</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④超高方式、加宽</w:t>
                  </w:r>
                  <w:r>
                    <w:rPr>
                      <w:rFonts w:hint="eastAsia"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14:textFill>
                        <w14:solidFill>
                          <w14:schemeClr w14:val="tx1"/>
                        </w14:solidFill>
                      </w14:textFill>
                    </w:rPr>
                    <w:t>超高采用绕路中线旋转方式，最大超高6%</w:t>
                  </w:r>
                  <w:r>
                    <w:rPr>
                      <w:rFonts w:hint="eastAsia"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14:textFill>
                        <w14:solidFill>
                          <w14:schemeClr w14:val="tx1"/>
                        </w14:solidFill>
                      </w14:textFill>
                    </w:rPr>
                    <w:t>加宽采用一类半加宽。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路面工程</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本设计采用水泥混凝土路面</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路面结构为：20cm厚水泥混凝土面层</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抗折强度为4.5Mpa</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+15cm 5%水泥稳定碎石基层。水泥采用普通硅酸盐水泥以提高耐磨性和抗折强度，骨料强度不低于MU40级，砂均采用中</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粗</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排水工程</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1</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路基排水</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填方路段：设排水沟引至涵洞或直接将地表水引出路基外</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路堑段：在路堑坡脚设尺寸为40</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高</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×40</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宽</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cm矩形边沟，边沟采用C25砼现浇，沟墙厚为10cm。</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2</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路面排水</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通过路线纵坡作用，路面水排入边沟或排入沟中，最终汇流至涵洞中。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restar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辅助工程</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安全设施</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1</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交通标志</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①在公路线形急弯路段设警告标志提醒司机减速慢行。</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②在临近平面交叉路口处设交叉路口标志、次路口设停车让行标志。</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2</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交通标线</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本次设计路线震荡线采用热熔震凸起荡减速标线；路线中心车道分界线采用黄色热熔反光标线，行车道边缘采用热熔白色反光标线</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行车道于人行慢道之间采用减速标线，并在减速标线上铺设反光突起路标。</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3</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护栏</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波形护栏主要设置于路侧险要、临崖陡坡、沿河、沿溪路段，本次设计波形护栏采用Gr-C-4E 及Gr-C-2C。波形护栏长度视实际地形布设，有效长度一般不小于28m，防撞砼护栏视实际地形布设，有效长度一般不小于12m。部分路段可根据实际情况增设开口，开口处均应设置护栏端头。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人行漫道</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人行漫道宽度2米，位于道路右侧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栈桥</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栈桥采用简支板结构，一侧搭在原河岸挡墙上，另一侧设立柱支撑，立柱上设盖梁，立柱间距一般为5m。共设2处共计90米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涵洞</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本次设计共设有13道涵洞，1道明板涵，其余12道均为钢筋砼圆管涵，总涵长为126米</w:t>
                  </w: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临时工程</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施工期三场</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14:textFill>
                        <w14:solidFill>
                          <w14:schemeClr w14:val="tx1"/>
                        </w14:solidFill>
                      </w14:textFill>
                    </w:rPr>
                    <w:t>不设置弃土场</w:t>
                  </w:r>
                  <w:r>
                    <w:rPr>
                      <w:rFonts w:hint="eastAsia" w:cs="Times New Roman"/>
                      <w:color w:val="000000" w:themeColor="text1"/>
                      <w:szCs w:val="20"/>
                      <w:highlight w:val="none"/>
                      <w:lang w:val="en-US" w:eastAsia="zh-CN"/>
                      <w14:textFill>
                        <w14:solidFill>
                          <w14:schemeClr w14:val="tx1"/>
                        </w14:solidFill>
                      </w14:textFill>
                    </w:rPr>
                    <w:t>、混凝土搅拌站、施工营地</w:t>
                  </w:r>
                  <w:r>
                    <w:rPr>
                      <w:rFonts w:hint="eastAsia" w:cs="Times New Roman"/>
                      <w:color w:val="000000" w:themeColor="text1"/>
                      <w:szCs w:val="20"/>
                      <w:highlight w:val="none"/>
                      <w:lang w:val="en-US"/>
                      <w14:textFill>
                        <w14:solidFill>
                          <w14:schemeClr w14:val="tx1"/>
                        </w14:solidFill>
                      </w14:textFill>
                    </w:rPr>
                    <w:t>等临时施工用地</w:t>
                  </w:r>
                  <w:r>
                    <w:rPr>
                      <w:rFonts w:hint="eastAsia" w:cs="Times New Roman"/>
                      <w:color w:val="000000" w:themeColor="text1"/>
                      <w:szCs w:val="20"/>
                      <w:highlight w:val="none"/>
                      <w:lang w:val="en-US" w:eastAsia="zh-CN"/>
                      <w14:textFill>
                        <w14:solidFill>
                          <w14:schemeClr w14:val="tx1"/>
                        </w14:solidFill>
                      </w14:textFill>
                    </w:rPr>
                    <w:t>(弃方</w:t>
                  </w:r>
                  <w:r>
                    <w:rPr>
                      <w:rFonts w:hint="eastAsia" w:cs="Times New Roman"/>
                      <w:color w:val="000000" w:themeColor="text1"/>
                      <w:szCs w:val="20"/>
                      <w:highlight w:val="none"/>
                      <w:lang w:val="en-US"/>
                      <w14:textFill>
                        <w14:solidFill>
                          <w14:schemeClr w14:val="tx1"/>
                        </w14:solidFill>
                      </w14:textFill>
                    </w:rPr>
                    <w:t>即挖即运</w:t>
                  </w:r>
                  <w:r>
                    <w:rPr>
                      <w:rFonts w:hint="eastAsia" w:cs="Times New Roman"/>
                      <w:color w:val="000000" w:themeColor="text1"/>
                      <w:szCs w:val="20"/>
                      <w:highlight w:val="none"/>
                      <w:lang w:val="en-US" w:eastAsia="zh-CN"/>
                      <w14:textFill>
                        <w14:solidFill>
                          <w14:schemeClr w14:val="tx1"/>
                        </w14:solidFill>
                      </w14:textFill>
                    </w:rPr>
                    <w:t>，运</w:t>
                  </w:r>
                  <w:r>
                    <w:rPr>
                      <w:rFonts w:hint="eastAsia" w:cs="Times New Roman"/>
                      <w:color w:val="000000" w:themeColor="text1"/>
                      <w:szCs w:val="20"/>
                      <w:highlight w:val="none"/>
                      <w:lang w:val="en-US"/>
                      <w14:textFill>
                        <w14:solidFill>
                          <w14:schemeClr w14:val="tx1"/>
                        </w14:solidFill>
                      </w14:textFill>
                    </w:rPr>
                    <w:t>至福鼎市鼎固建材有限公司处理</w:t>
                  </w:r>
                  <w:r>
                    <w:rPr>
                      <w:rFonts w:hint="eastAsia"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14:textFill>
                        <w14:solidFill>
                          <w14:schemeClr w14:val="tx1"/>
                        </w14:solidFill>
                      </w14:textFill>
                    </w:rPr>
                    <w:t>；设置1个临时施工场地</w:t>
                  </w:r>
                  <w:r>
                    <w:rPr>
                      <w:rFonts w:hint="eastAsia"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14:textFill>
                        <w14:solidFill>
                          <w14:schemeClr w14:val="tx1"/>
                        </w14:solidFill>
                      </w14:textFill>
                    </w:rPr>
                    <w:t>用于钢材、木材、水泥、砂石料等原材料的堆放</w:t>
                  </w: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restart"/>
                  <w:tcBorders>
                    <w:top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环保工程</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施工期废水</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生活污水依托当地污水处理设施处理；施工废水经施工场内的沉淀池沉淀后用于施工场及道路洒水。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施工期废气</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临时施工围挡屏障、定期洒水、运输车辆加盖篷布等。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施工期噪声</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合理安排施工时间，加强施工车辆管理，限速禁鸣等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施工期固废</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施工生活垃圾经垃圾桶收集后由环卫部门清运，弃渣</w:t>
                  </w:r>
                  <w:r>
                    <w:rPr>
                      <w:rFonts w:hint="eastAsia" w:cs="Times New Roman"/>
                      <w:color w:val="000000" w:themeColor="text1"/>
                      <w:szCs w:val="20"/>
                      <w:highlight w:val="none"/>
                      <w:lang w:val="en-US"/>
                      <w14:textFill>
                        <w14:solidFill>
                          <w14:schemeClr w14:val="tx1"/>
                        </w14:solidFill>
                      </w14:textFill>
                    </w:rPr>
                    <w:t>运至福鼎市鼎固建材有限公司处理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运营期废气</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加强汽车尾气管理。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运营期噪声</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加强道路的维修保护，设置标牌、敏感点设置隔声窗等。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运营期固废</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过往车辆丢弃垃圾，经由道路清洁人员清扫后，交由环卫部门处理。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073" w:hRule="atLeast"/>
              </w:trPr>
              <w:tc>
                <w:tcPr>
                  <w:tcW w:w="1168" w:type="dxa"/>
                  <w:vMerge w:val="continue"/>
                  <w:tcBorders>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水源保护区污染防治及风险防范措施</w:t>
                  </w:r>
                </w:p>
              </w:tc>
              <w:tc>
                <w:tcPr>
                  <w:tcW w:w="5625" w:type="dxa"/>
                  <w:tcBorders>
                    <w:top w:val="single" w:color="auto" w:sz="6" w:space="0"/>
                    <w:left w:val="single" w:color="auto" w:sz="6" w:space="0"/>
                    <w:bottom w:val="single" w:color="auto" w:sz="6" w:space="0"/>
                  </w:tcBorders>
                  <w:shd w:val="clear" w:color="auto" w:fill="auto"/>
                  <w:vAlign w:val="top"/>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1</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配套“减速行驶、安全驾驶”的警示标志或醒目的多条警示标线的设施</w:t>
                  </w:r>
                  <w:r>
                    <w:rPr>
                      <w:rFonts w:hint="eastAsia" w:cs="Times New Roman"/>
                      <w:color w:val="000000" w:themeColor="text1"/>
                      <w:szCs w:val="20"/>
                      <w:highlight w:val="none"/>
                      <w:lang w:eastAsia="zh-CN"/>
                      <w14:textFill>
                        <w14:solidFill>
                          <w14:schemeClr w14:val="tx1"/>
                        </w14:solidFill>
                      </w14:textFill>
                    </w:rPr>
                    <w:t>；</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(2)将本项目全程路段列入危化品运输车辆禁行区；</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(3)全程</w:t>
                  </w:r>
                  <w:r>
                    <w:rPr>
                      <w:rFonts w:hint="eastAsia" w:cs="Times New Roman"/>
                      <w:color w:val="000000" w:themeColor="text1"/>
                      <w:szCs w:val="20"/>
                      <w:highlight w:val="none"/>
                      <w14:textFill>
                        <w14:solidFill>
                          <w14:schemeClr w14:val="tx1"/>
                        </w14:solidFill>
                      </w14:textFill>
                    </w:rPr>
                    <w:t>路段防撞护拦进行强化、加固设计</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设计为封闭式防撞栏</w:t>
                  </w:r>
                  <w:r>
                    <w:rPr>
                      <w:rFonts w:hint="eastAsia" w:cs="Times New Roman"/>
                      <w:color w:val="000000" w:themeColor="text1"/>
                      <w:szCs w:val="20"/>
                      <w:highlight w:val="none"/>
                      <w:lang w:eastAsia="zh-CN"/>
                      <w14:textFill>
                        <w14:solidFill>
                          <w14:schemeClr w14:val="tx1"/>
                        </w14:solidFill>
                      </w14:textFill>
                    </w:rPr>
                    <w:t>；</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4</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2个容积各5m</w:t>
                  </w:r>
                  <w:r>
                    <w:rPr>
                      <w:rFonts w:hint="eastAsia" w:cs="Times New Roman"/>
                      <w:color w:val="000000" w:themeColor="text1"/>
                      <w:szCs w:val="20"/>
                      <w:highlight w:val="none"/>
                      <w:vertAlign w:val="superscript"/>
                      <w:lang w:val="en-US" w:eastAsia="zh-CN"/>
                      <w14:textFill>
                        <w14:solidFill>
                          <w14:schemeClr w14:val="tx1"/>
                        </w14:solidFill>
                      </w14:textFill>
                    </w:rPr>
                    <w:t>3</w:t>
                  </w:r>
                  <w:r>
                    <w:rPr>
                      <w:rFonts w:hint="eastAsia" w:cs="Times New Roman"/>
                      <w:color w:val="000000" w:themeColor="text1"/>
                      <w:szCs w:val="20"/>
                      <w:highlight w:val="none"/>
                      <w:lang w:val="en-US" w:eastAsia="zh-CN"/>
                      <w14:textFill>
                        <w14:solidFill>
                          <w14:schemeClr w14:val="tx1"/>
                        </w14:solidFill>
                      </w14:textFill>
                    </w:rPr>
                    <w:t>的应急池，位于起点两侧（标高最低点）</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收集后用槽车外运处理，收集的危险化学品污水必须委托有资质的单位统一处理；</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5</w:t>
                  </w:r>
                  <w:r>
                    <w:rPr>
                      <w:rFonts w:hint="eastAsia" w:cs="Times New Roman"/>
                      <w:color w:val="000000" w:themeColor="text1"/>
                      <w:szCs w:val="20"/>
                      <w:highlight w:val="none"/>
                      <w:lang w:eastAsia="zh-CN"/>
                      <w14:textFill>
                        <w14:solidFill>
                          <w14:schemeClr w14:val="tx1"/>
                        </w14:solidFill>
                      </w14:textFill>
                    </w:rPr>
                    <w:t>)建设基于视频监控的环境风险设施远程自动化控制系统，</w:t>
                  </w:r>
                  <w:r>
                    <w:rPr>
                      <w:rFonts w:hint="default" w:cs="Times New Roman"/>
                      <w:color w:val="000000" w:themeColor="text1"/>
                      <w:szCs w:val="20"/>
                      <w:highlight w:val="none"/>
                      <w:lang w:val="en-US" w:eastAsia="zh-CN"/>
                      <w14:textFill>
                        <w14:solidFill>
                          <w14:schemeClr w14:val="tx1"/>
                        </w14:solidFill>
                      </w14:textFill>
                    </w:rPr>
                    <w:t>针对水源地编制专项环境风险应急预案</w:t>
                  </w:r>
                  <w:r>
                    <w:rPr>
                      <w:rFonts w:hint="eastAsia" w:cs="Times New Roman"/>
                      <w:color w:val="000000" w:themeColor="text1"/>
                      <w:szCs w:val="20"/>
                      <w:highlight w:val="none"/>
                      <w14:textFill>
                        <w14:solidFill>
                          <w14:schemeClr w14:val="tx1"/>
                        </w14:solidFill>
                      </w14:textFill>
                    </w:rPr>
                    <w:t>。</w:t>
                  </w:r>
                </w:p>
              </w:tc>
            </w:tr>
          </w:tbl>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4.工程方案</w:t>
            </w:r>
          </w:p>
          <w:p>
            <w:pPr>
              <w:pStyle w:val="5"/>
              <w:suppressLineNumbers w:val="0"/>
              <w:shd w:val="clear"/>
              <w:bidi w:val="0"/>
              <w:spacing w:before="0" w:beforeAutospacing="0" w:after="0" w:afterAutospacing="0"/>
              <w:ind w:right="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4.1</w:t>
            </w:r>
            <w:r>
              <w:rPr>
                <w:rFonts w:hint="eastAsia"/>
                <w:color w:val="000000" w:themeColor="text1"/>
                <w:highlight w:val="none"/>
                <w14:textFill>
                  <w14:solidFill>
                    <w14:schemeClr w14:val="tx1"/>
                  </w14:solidFill>
                </w14:textFill>
              </w:rPr>
              <w:t>路基、路面及排水</w:t>
            </w:r>
          </w:p>
          <w:p>
            <w:pPr>
              <w:pStyle w:val="6"/>
              <w:widowControl/>
              <w:suppressLineNumbers w:val="0"/>
              <w:shd w:val="clear"/>
              <w:bidi w:val="0"/>
              <w:ind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4.1.1</w:t>
            </w:r>
            <w:r>
              <w:rPr>
                <w:rFonts w:hint="eastAsia" w:cs="Times New Roman"/>
                <w:color w:val="000000" w:themeColor="text1"/>
                <w:szCs w:val="20"/>
                <w:highlight w:val="none"/>
                <w14:textFill>
                  <w14:solidFill>
                    <w14:schemeClr w14:val="tx1"/>
                  </w14:solidFill>
                </w14:textFill>
              </w:rPr>
              <w:t>设计原则及依据</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设计依据交通运输部颁标准《公路工程技术标准》JTG B01-2014、《公路路基设计规范》JTG D30-2015 等有关规定。</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路基型式：</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①路基宽度：6.5m。</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②路面横坡：双向横坡2%。</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③路基设计标高：设计标高位于路中线。</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④超高方式、加宽</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超高采用绕路中线旋转方式，最大超高6%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加宽采用一类半加宽。</w:t>
            </w:r>
          </w:p>
          <w:p>
            <w:pPr>
              <w:pStyle w:val="6"/>
              <w:widowControl/>
              <w:suppressLineNumbers w:val="0"/>
              <w:shd w:val="clear"/>
              <w:bidi w:val="0"/>
              <w:ind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4.1.2</w:t>
            </w:r>
            <w:r>
              <w:rPr>
                <w:rFonts w:hint="default" w:cs="Times New Roman"/>
                <w:color w:val="000000" w:themeColor="text1"/>
                <w:szCs w:val="20"/>
                <w:highlight w:val="none"/>
                <w:lang w:val="en-US" w:eastAsia="zh-CN"/>
                <w14:textFill>
                  <w14:solidFill>
                    <w14:schemeClr w14:val="tx1"/>
                  </w14:solidFill>
                </w14:textFill>
              </w:rPr>
              <w:t>路基设计</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根据现场调查，本段区域为低山丘陵地貌区，沿线地质主要为坡积粘性土，部分为强～中风化凝灰岩。挖方边坡：设计边坡坡率为1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0.3(0.5)，填方边坡坡率为1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1.5。</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t>基底处理：</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路堤段自然坡度大于1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5时，填筑前应将原地面挖成宽度不小于2米、向内倾斜2%～4%的台阶。当基岩面上的覆盖层较薄时，宜先清除覆盖层再挖台阶；当覆盖层较厚且稳定时，可予保留。</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填方地段填前应对原地表进行清表30cm处理，以清除地表腐殖质的土、耕土、草皮、树根及生活垃圾。</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地基表层处理</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a、在路基开挖或填筑前，应先清除表层耕植土、腐殖土等，按30cm计列工程数量，将清除土方临时堆放于相应的场地内，用于边坡、弃土场地的绿化。</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b、填方路基在清表后，应对路基基底进行夯实或碾压密实处理，在一般土质地段，其压实度</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重型</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不应小于85%。</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c、对于稳定斜坡上的地基：当地面横坡缓于1∶5时，在清除表土后，可直接填筑路堤；当地面横坡为1∶5～1∶2.5时，原地面应挖台阶，台阶宽度不应小于2.0m，向内倾斜4%；当基岩面上的覆盖层较薄时，宜先清除覆盖层再挖台阶，当覆盖层较厚且稳定时，可保留。</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d、对于地表横坡陡于1∶2.5地段的路堤，须检算路堤整体沿基底或基底下软弱层滑动的稳定性。</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e、在水田、堰塘等地势低洼、容易积水的路段，应结合排水沟的设置开挖临时排水沟，降低地下水位，在清除表土后，进行晾晒并碾压密实。</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rFonts w:hint="default"/>
                <w:color w:val="000000" w:themeColor="text1"/>
                <w:highlight w:val="none"/>
                <w:lang w:val="en-US" w:eastAsia="zh-CN"/>
                <w14:textFill>
                  <w14:solidFill>
                    <w14:schemeClr w14:val="tx1"/>
                  </w14:solidFill>
                </w14:textFill>
              </w:rPr>
              <w:t>路基填筑及压实度要求</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A、填土：</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填料宜选用级配较好的粗粒土石方填料，砾</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角砾</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类土、砂类土应优先选作路床填料，土质较差的细粒土可填于不受地下水影响的路堤底部。用不同填料填筑路基时，应分层填筑，每一水平层均应采用同类填料。路床部分填料粒径不得超过10厘米，上路堤部分的填料最大粒径不得超过15厘米，其余部分的填料不得超过压实厚度的2/3。</w:t>
            </w:r>
          </w:p>
          <w:p>
            <w:pPr>
              <w:pStyle w:val="21"/>
              <w:shd w:val="clea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路基压实标准采用重型击实标准，路基压实度和填料最小强度应符合下表的要求</w:t>
            </w:r>
            <w:r>
              <w:rPr>
                <w:rFonts w:hint="eastAsia"/>
                <w:color w:val="000000" w:themeColor="text1"/>
                <w:highlight w:val="none"/>
                <w:lang w:val="en-US"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土方压实质量控制标准</w:t>
            </w:r>
          </w:p>
          <w:tbl>
            <w:tblPr>
              <w:tblStyle w:val="1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0"/>
              <w:gridCol w:w="3529"/>
              <w:gridCol w:w="18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填挖类别</w:t>
                  </w:r>
                </w:p>
              </w:tc>
              <w:tc>
                <w:tcPr>
                  <w:tcW w:w="220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路槽底面以下深度(㎝)</w:t>
                  </w:r>
                </w:p>
              </w:tc>
              <w:tc>
                <w:tcPr>
                  <w:tcW w:w="113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压实度(%)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vMerge w:val="restar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零填及路堑路床</w:t>
                  </w:r>
                </w:p>
              </w:tc>
              <w:tc>
                <w:tcPr>
                  <w:tcW w:w="220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0~30</w:t>
                  </w:r>
                </w:p>
              </w:tc>
              <w:tc>
                <w:tcPr>
                  <w:tcW w:w="113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220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30-80</w:t>
                  </w:r>
                </w:p>
              </w:tc>
              <w:tc>
                <w:tcPr>
                  <w:tcW w:w="113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vMerge w:val="restar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填方路基</w:t>
                  </w:r>
                </w:p>
              </w:tc>
              <w:tc>
                <w:tcPr>
                  <w:tcW w:w="220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0-80</w:t>
                  </w:r>
                </w:p>
              </w:tc>
              <w:tc>
                <w:tcPr>
                  <w:tcW w:w="113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220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80~150</w:t>
                  </w:r>
                </w:p>
              </w:tc>
              <w:tc>
                <w:tcPr>
                  <w:tcW w:w="113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220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150以下</w:t>
                  </w:r>
                </w:p>
              </w:tc>
              <w:tc>
                <w:tcPr>
                  <w:tcW w:w="113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≥90</w:t>
                  </w:r>
                </w:p>
              </w:tc>
            </w:tr>
          </w:tbl>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B、填石：填石路堤的压实质量宜采用施工参数</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压实功率、碾压速度、压实遍数、铺筑层厚等</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与压实质量检测联合控制。填石路堤压实质量可以采用压实沉降差或孔隙率进行检测，孔隙率的检测应采用水袋法进行。</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在填石料表面填筑土、粉煤灰等其它材料时，填石料顶面应无明显孔隙、空洞。在其它填料填筑前，填石路堤最后一层的铺筑层厚应不大于400</w:t>
            </w:r>
            <w:r>
              <w:rPr>
                <w:rFonts w:hint="eastAsia" w:ascii="Times New Roman" w:hAnsi="Times New Roman" w:cs="Times New Roman"/>
                <w:color w:val="000000" w:themeColor="text1"/>
                <w:highlight w:val="none"/>
                <w:lang w:val="en-US" w:eastAsia="zh-CN"/>
                <w14:textFill>
                  <w14:solidFill>
                    <w14:schemeClr w14:val="tx1"/>
                  </w14:solidFill>
                </w14:textFill>
              </w:rPr>
              <w:t>mm</w:t>
            </w:r>
            <w:r>
              <w:rPr>
                <w:rFonts w:hint="default"/>
                <w:color w:val="000000" w:themeColor="text1"/>
                <w:highlight w:val="none"/>
                <w:lang w:val="en-US" w:eastAsia="zh-CN"/>
                <w14:textFill>
                  <w14:solidFill>
                    <w14:schemeClr w14:val="tx1"/>
                  </w14:solidFill>
                </w14:textFill>
              </w:rPr>
              <w:t>，过渡层碎石料粒径应小于150</w:t>
            </w:r>
            <w:r>
              <w:rPr>
                <w:rFonts w:hint="eastAsia"/>
                <w:color w:val="000000" w:themeColor="text1"/>
                <w:highlight w:val="none"/>
                <w:lang w:val="en-US" w:eastAsia="zh-CN"/>
                <w14:textFill>
                  <w14:solidFill>
                    <w14:schemeClr w14:val="tx1"/>
                  </w14:solidFill>
                </w14:textFill>
              </w:rPr>
              <w:t>mm</w:t>
            </w:r>
            <w:r>
              <w:rPr>
                <w:rFonts w:hint="default"/>
                <w:color w:val="000000" w:themeColor="text1"/>
                <w:highlight w:val="none"/>
                <w:lang w:val="en-US"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石方压实质量控制标准</w:t>
            </w:r>
          </w:p>
          <w:tbl>
            <w:tblPr>
              <w:tblStyle w:val="1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961"/>
              <w:gridCol w:w="2050"/>
              <w:gridCol w:w="1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1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分区</w:t>
                  </w:r>
                </w:p>
              </w:tc>
              <w:tc>
                <w:tcPr>
                  <w:tcW w:w="184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路面底面以下深度(m)</w:t>
                  </w:r>
                </w:p>
              </w:tc>
              <w:tc>
                <w:tcPr>
                  <w:tcW w:w="128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摊铺层厚(mm)</w:t>
                  </w:r>
                </w:p>
              </w:tc>
              <w:tc>
                <w:tcPr>
                  <w:tcW w:w="1157" w:type="pct"/>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最大粒径</w:t>
                  </w:r>
                </w:p>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上路堤</w:t>
                  </w:r>
                </w:p>
              </w:tc>
              <w:tc>
                <w:tcPr>
                  <w:tcW w:w="184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0.80～1.50</w:t>
                  </w:r>
                </w:p>
              </w:tc>
              <w:tc>
                <w:tcPr>
                  <w:tcW w:w="128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≤400</w:t>
                  </w:r>
                </w:p>
              </w:tc>
              <w:tc>
                <w:tcPr>
                  <w:tcW w:w="115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小于层厚2/3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下路堤</w:t>
                  </w:r>
                </w:p>
              </w:tc>
              <w:tc>
                <w:tcPr>
                  <w:tcW w:w="1849"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&gt;1.50</w:t>
                  </w:r>
                </w:p>
              </w:tc>
              <w:tc>
                <w:tcPr>
                  <w:tcW w:w="128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≤500</w:t>
                  </w:r>
                </w:p>
              </w:tc>
              <w:tc>
                <w:tcPr>
                  <w:tcW w:w="115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小于层厚2/3</w:t>
                  </w:r>
                </w:p>
              </w:tc>
            </w:tr>
          </w:tbl>
          <w:p>
            <w:pPr>
              <w:pStyle w:val="6"/>
              <w:widowControl/>
              <w:suppressLineNumbers w:val="0"/>
              <w:shd w:val="clear"/>
              <w:bidi w:val="0"/>
              <w:ind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4.1.3</w:t>
            </w:r>
            <w:r>
              <w:rPr>
                <w:rFonts w:hint="default" w:cs="Times New Roman"/>
                <w:color w:val="000000" w:themeColor="text1"/>
                <w:szCs w:val="20"/>
                <w:highlight w:val="none"/>
                <w:lang w:val="en-US" w:eastAsia="zh-CN"/>
                <w14:textFill>
                  <w14:solidFill>
                    <w14:schemeClr w14:val="tx1"/>
                  </w14:solidFill>
                </w14:textFill>
              </w:rPr>
              <w:t>路面设计原则及依据，结构类型</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路面设计原则、依据</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依据交通运输部《公路水泥混凝土路面设计规范》JTGD40-2011的有关规定。</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路面结构类型</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①路面设计原则、参照</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交通运输部《公路水泥混凝土路面设计规范》JTGD40-2011，设计基准期为10年。</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②路面结构类型拟定</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本设计采用水泥混凝土路面</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路面结构为：20cm厚水泥混凝土面层</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抗折强度为4.5Mpa</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+15cm 5%水泥稳定碎石基层。水泥采用普通硅酸盐水泥以提高耐磨性和抗折强度，骨料强度不低于MU40级，砂均采用中</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粗</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砂。路面应做好抗滑措施，槽深应符合设计要求。</w:t>
            </w:r>
          </w:p>
          <w:p>
            <w:pPr>
              <w:pStyle w:val="6"/>
              <w:widowControl/>
              <w:suppressLineNumbers w:val="0"/>
              <w:shd w:val="clear"/>
              <w:bidi w:val="0"/>
              <w:ind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4.1.4</w:t>
            </w:r>
            <w:r>
              <w:rPr>
                <w:rFonts w:hint="default" w:cs="Times New Roman"/>
                <w:color w:val="000000" w:themeColor="text1"/>
                <w:szCs w:val="20"/>
                <w:highlight w:val="none"/>
                <w:lang w:val="en-US" w:eastAsia="zh-CN"/>
                <w14:textFill>
                  <w14:solidFill>
                    <w14:schemeClr w14:val="tx1"/>
                  </w14:solidFill>
                </w14:textFill>
              </w:rPr>
              <w:t>路基、路面排水设计原则及设计情况</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路基排水</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填方路段：设排水沟引至涵洞或直接将地表水引出路基外</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路堑段：在路堑坡脚设尺寸为40</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高</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×40</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宽</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cm矩形边沟，边沟采用C25砼现浇，沟墙厚为10cm。</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排水沟或边沟在端口应做好引水处理，应将边沟引入涵洞进口或砌筑流水槽将水引出路基外，避免水对路基冲刷造成损坏。</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路面排水</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通过路线纵坡作用，路面水排入边沟或排入沟中，最终汇流至涵洞中。</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4.2安全设施</w:t>
            </w:r>
          </w:p>
          <w:p>
            <w:pPr>
              <w:pStyle w:val="6"/>
              <w:widowControl/>
              <w:suppressLineNumbers w:val="0"/>
              <w:shd w:val="clear"/>
              <w:bidi w:val="0"/>
              <w:ind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4.2.1</w:t>
            </w:r>
            <w:r>
              <w:rPr>
                <w:rFonts w:hint="eastAsia" w:cs="Times New Roman"/>
                <w:color w:val="000000" w:themeColor="text1"/>
                <w:szCs w:val="20"/>
                <w:highlight w:val="none"/>
                <w14:textFill>
                  <w14:solidFill>
                    <w14:schemeClr w14:val="tx1"/>
                  </w14:solidFill>
                </w14:textFill>
              </w:rPr>
              <w:t>设计原则</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对现场的调查与分析，针对路线特点，不同的事故及隐患特征，在技术上实施以“主动引导、突出重点，适度防护、全时保障”为准则，避免只侧重被动防护而盲目设防或过度设防，对环境及景观造成破坏。根据现有道路交通安全情况，优先解决已经存在安全问题的路段，然后按照安全隐患的严重程度区别实施。在各类安保措施形式的选择上，确保工程实施“经济可能、技术可行、方案有效”，并力求与自然环境相融合，实现与周边环境的和谐统一。</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对重点路段加强安全控制。</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对急弯、陡坡主要采用警告、视线诱导及减速带等措施进行处治；视距不良路段可进行弯道内侧设置广角镜，对叉道口设置减速慢行标志、减速带等，对桥涵、路侧险要、沿河、沿溪路段采用增设不同级别的护栏及视线诱导等综合处治措施；</w:t>
            </w:r>
          </w:p>
          <w:p>
            <w:pPr>
              <w:pStyle w:val="6"/>
              <w:widowControl/>
              <w:suppressLineNumbers w:val="0"/>
              <w:shd w:val="clear"/>
              <w:bidi w:val="0"/>
              <w:ind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4.2.2</w:t>
            </w:r>
            <w:r>
              <w:rPr>
                <w:rFonts w:hint="eastAsia" w:cs="Times New Roman"/>
                <w:color w:val="000000" w:themeColor="text1"/>
                <w:szCs w:val="20"/>
                <w:highlight w:val="none"/>
                <w14:textFill>
                  <w14:solidFill>
                    <w14:schemeClr w14:val="tx1"/>
                  </w14:solidFill>
                </w14:textFill>
              </w:rPr>
              <w:t>交通标志</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通过交通标志的引导、提醒、警示，向公路使用者提供正确无误的信息，使司机能提前预知前方道路变化，并做出正确的判断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及时采取必要的处置措施，一提高行车安全性，交通标志全线统一布局，形成整体性，其设置应为其功能性服务，力求以最少的表识数量，正确的布设位置，最及时、充分发挥其警示作用。</w:t>
            </w:r>
          </w:p>
          <w:p>
            <w:pPr>
              <w:pStyle w:val="21"/>
              <w:shd w:val="clea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布设原则</w:t>
            </w:r>
            <w:r>
              <w:rPr>
                <w:rFonts w:hint="eastAsia"/>
                <w:color w:val="000000" w:themeColor="text1"/>
                <w:highlight w:val="none"/>
                <w:lang w:eastAsia="zh-CN"/>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①在公路线形急弯路段设警告标志提醒司机减速慢行。急弯路段按以下判定：</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单个急弯：曲线半径≤30米，且视距受限段设急弯标志，如靠山坡地段；</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反向急弯：两相邻曲线半径1个或均≤30米，两曲线间夹直线小于40米，设反向急弯标志。</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②在临近平面交叉路口处设交叉路口标志、次路口设停车让行标志。</w:t>
            </w:r>
          </w:p>
          <w:p>
            <w:pPr>
              <w:pStyle w:val="6"/>
              <w:widowControl/>
              <w:suppressLineNumbers w:val="0"/>
              <w:shd w:val="clear"/>
              <w:bidi w:val="0"/>
              <w:ind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4.2.3</w:t>
            </w:r>
            <w:r>
              <w:rPr>
                <w:rFonts w:hint="eastAsia" w:cs="Times New Roman"/>
                <w:color w:val="000000" w:themeColor="text1"/>
                <w:szCs w:val="20"/>
                <w:highlight w:val="none"/>
                <w14:textFill>
                  <w14:solidFill>
                    <w14:schemeClr w14:val="tx1"/>
                  </w14:solidFill>
                </w14:textFill>
              </w:rPr>
              <w:t>交通标线</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本次设计路线震荡线采用热熔震凸起荡减速标线；路线中心车道分界线采用黄色热熔反光标线，行车道边缘采用热熔白色反光标线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行车道于人行慢道之间采用减速标线，并在减速标线上铺设反光突起路标。</w:t>
            </w:r>
          </w:p>
          <w:p>
            <w:pPr>
              <w:pStyle w:val="6"/>
              <w:widowControl/>
              <w:suppressLineNumbers w:val="0"/>
              <w:shd w:val="clear"/>
              <w:bidi w:val="0"/>
              <w:ind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4.2.4</w:t>
            </w:r>
            <w:r>
              <w:rPr>
                <w:rFonts w:hint="eastAsia" w:cs="Times New Roman"/>
                <w:color w:val="000000" w:themeColor="text1"/>
                <w:szCs w:val="20"/>
                <w:highlight w:val="none"/>
                <w14:textFill>
                  <w14:solidFill>
                    <w14:schemeClr w14:val="tx1"/>
                  </w14:solidFill>
                </w14:textFill>
              </w:rPr>
              <w:t>护栏</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波形护栏主要设置于路侧险要、临崖陡坡、沿河、沿溪路段，本次设计波形护栏采用Gr-C-4E及Gr-C-2C。波形护栏长度视实际地形布设，有效长度一般不小于28m，防撞砼护栏视实际地形布设，有效长度一般不小于12m。部分路段可根据实际情况增设开口，开口处均应设置护栏端头。</w:t>
            </w:r>
          </w:p>
          <w:p>
            <w:pPr>
              <w:pStyle w:val="6"/>
              <w:widowControl/>
              <w:suppressLineNumbers w:val="0"/>
              <w:shd w:val="clear"/>
              <w:bidi w:val="0"/>
              <w:ind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4.2.5</w:t>
            </w:r>
            <w:r>
              <w:rPr>
                <w:rFonts w:hint="eastAsia" w:cs="Times New Roman"/>
                <w:color w:val="000000" w:themeColor="text1"/>
                <w:szCs w:val="20"/>
                <w:highlight w:val="none"/>
                <w14:textFill>
                  <w14:solidFill>
                    <w14:schemeClr w14:val="tx1"/>
                  </w14:solidFill>
                </w14:textFill>
              </w:rPr>
              <w:t>单柱式标志牌</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标志布置具体详见平面布置图及标志设置一览表；</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标志横向设置位置见安保横向布置图；</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标志板、滑动槽钢均采用LF2-M型铝合金板制作，它们之间通过铝合金铆钉连接，板面上的铆钉头应打磨光滑；</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抱箍、抱箍底衬和滑动螺栓及相应的蝶母、垫圈均采用45号钢制作，通过抱箍及抱箍底衬将标志板与标志立柱连接起来；</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立柱采用的钢材应符合GB-700的要求，基顶部采用3mm厚的钢板焊接封盖；</w:t>
            </w:r>
          </w:p>
          <w:p>
            <w:pPr>
              <w:pStyle w:val="21"/>
              <w:shd w:val="clea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立柱、法兰盘、抱箍、抱箍底衬、柱帽、加劲肋及连接螺栓、螺母、垫圈等钢铁件，采用热浸镀锌进行防锈处理</w:t>
            </w:r>
            <w:r>
              <w:rPr>
                <w:rFonts w:hint="eastAsia"/>
                <w:color w:val="000000" w:themeColor="text1"/>
                <w:highlight w:val="none"/>
                <w:lang w:eastAsia="zh-CN"/>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所有的对接焊缝和贴角焊缝，其厚度和强度应与被焊构件相等，焊缝应打磨光滑；</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基础采用明挖法施工，基底应先整平、并夯实；基础采用25#碎现场浇筑，钢筋保护层厚度不小于25mm；基础顶应预埋A3 钢底座法兰盘及地脚螺栓，在浇筑砼时，应注意使底座法兰盘与基础对中，并将其嵌进基础(其上表面与基础项面齐平)，同时保持基顶面水平；地脚下部为标准弯钩，地脚螺栓宜事先进行热浸镀锌处理，镀锌量350g/m，预埋时其方向应与底座汰兰盘保持垂直，施工时如遇有平曲线路段，应注意调整预埋法兰盘的方向，使其纵向中心线与行车方向保持一致。</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基础施工完毕，地脚螺栓外露长度宜控制在80~100mm以内，并对外露螺纹部分涂上防锈漆加以妥善保护</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另外基坑应分层回填夯实。</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未尽事宜请参照有关标准、规范执行。</w:t>
            </w:r>
          </w:p>
          <w:p>
            <w:pPr>
              <w:pStyle w:val="21"/>
              <w:shd w:val="clear"/>
              <w:bidi w:val="0"/>
              <w:rPr>
                <w:rFonts w:hint="default"/>
                <w:color w:val="000000" w:themeColor="text1"/>
                <w:highlight w:val="none"/>
                <w:lang w:val="en-US" w:eastAsia="zh-CN"/>
                <w14:textFill>
                  <w14:solidFill>
                    <w14:schemeClr w14:val="tx1"/>
                  </w14:solidFill>
                </w14:textFill>
              </w:rPr>
            </w:pPr>
          </w:p>
          <w:p>
            <w:pPr>
              <w:pStyle w:val="4"/>
              <w:widowControl/>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5.交通量预测</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在交通量调查和现有交通统计资料以及业主提供资料的基础上，通过对本项目路线及其影响域内社会、经济、公路交通发展水平、特征的调查和分析，估算出拟建公路未来特征年交通量如下：</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交通量预测结果</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pcu/d</w:t>
            </w:r>
            <w:r>
              <w:rPr>
                <w:rFonts w:hint="eastAsia"/>
                <w:color w:val="000000" w:themeColor="text1"/>
                <w:highlight w:val="none"/>
                <w:lang w:val="en-US" w:eastAsia="zh-CN"/>
                <w14:textFill>
                  <w14:solidFill>
                    <w14:schemeClr w14:val="tx1"/>
                  </w14:solidFill>
                </w14:textFill>
              </w:rPr>
              <w:t>)</w:t>
            </w:r>
          </w:p>
          <w:tbl>
            <w:tblPr>
              <w:tblStyle w:val="14"/>
              <w:tblW w:w="4999" w:type="pct"/>
              <w:tblInd w:w="5" w:type="dxa"/>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175"/>
              <w:gridCol w:w="1175"/>
              <w:gridCol w:w="1175"/>
              <w:gridCol w:w="1175"/>
            </w:tblGrid>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年份</w:t>
                  </w:r>
                </w:p>
              </w:tc>
              <w:tc>
                <w:tcPr>
                  <w:tcW w:w="73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2022</w:t>
                  </w:r>
                </w:p>
              </w:tc>
              <w:tc>
                <w:tcPr>
                  <w:tcW w:w="73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2026</w:t>
                  </w:r>
                </w:p>
              </w:tc>
              <w:tc>
                <w:tcPr>
                  <w:tcW w:w="73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2031</w:t>
                  </w:r>
                </w:p>
              </w:tc>
              <w:tc>
                <w:tcPr>
                  <w:tcW w:w="734" w:type="pct"/>
                  <w:tcBorders>
                    <w:right w:val="nil"/>
                  </w:tcBorders>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2041</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Y869透溪线公路</w:t>
                  </w:r>
                </w:p>
              </w:tc>
              <w:tc>
                <w:tcPr>
                  <w:tcW w:w="73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300</w:t>
                  </w:r>
                </w:p>
              </w:tc>
              <w:tc>
                <w:tcPr>
                  <w:tcW w:w="73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391</w:t>
                  </w:r>
                </w:p>
              </w:tc>
              <w:tc>
                <w:tcPr>
                  <w:tcW w:w="734"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515</w:t>
                  </w:r>
                </w:p>
              </w:tc>
              <w:tc>
                <w:tcPr>
                  <w:tcW w:w="734" w:type="pct"/>
                  <w:tcBorders>
                    <w:right w:val="nil"/>
                  </w:tcBorders>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754</w:t>
                  </w:r>
                </w:p>
              </w:tc>
            </w:tr>
          </w:tbl>
          <w:p>
            <w:pPr>
              <w:pStyle w:val="21"/>
              <w:shd w:val="clear"/>
              <w:bidi w:val="0"/>
              <w:rPr>
                <w:rFonts w:hint="eastAsia" w:ascii="宋体" w:hAnsi="宋体" w:eastAsia="宋体"/>
                <w:color w:val="000000" w:themeColor="text1"/>
                <w:sz w:val="21"/>
                <w:szCs w:val="24"/>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根据导则要求，环评预测特征年选取运营后第1年、第7年和第15年，即2023年、2029年和2037年。本环评根据工预测的交通量，通过内插法计算得环评预测特征年交</w:t>
            </w:r>
            <w:r>
              <w:rPr>
                <w:rFonts w:hint="eastAsia" w:ascii="宋体" w:hAnsi="宋体" w:eastAsia="宋体"/>
                <w:color w:val="000000" w:themeColor="text1"/>
                <w:sz w:val="21"/>
                <w:szCs w:val="24"/>
                <w:highlight w:val="none"/>
                <w14:textFill>
                  <w14:solidFill>
                    <w14:schemeClr w14:val="tx1"/>
                  </w14:solidFill>
                </w14:textFill>
              </w:rPr>
              <w:t>通量</w:t>
            </w:r>
            <w:r>
              <w:rPr>
                <w:rFonts w:hint="eastAsia" w:ascii="宋体" w:hAnsi="宋体" w:eastAsia="宋体"/>
                <w:color w:val="000000" w:themeColor="text1"/>
                <w:sz w:val="21"/>
                <w:szCs w:val="24"/>
                <w:highlight w:val="none"/>
                <w:lang w:val="en-US" w:eastAsia="zh-CN"/>
                <w14:textFill>
                  <w14:solidFill>
                    <w14:schemeClr w14:val="tx1"/>
                  </w14:solidFill>
                </w14:textFill>
              </w:rPr>
              <w:t>如下。</w:t>
            </w:r>
          </w:p>
          <w:p>
            <w:pPr>
              <w:pStyle w:val="18"/>
              <w:keepNext w:val="0"/>
              <w:keepLines w:val="0"/>
              <w:suppressLineNumbers w:val="0"/>
              <w:shd w:val="clear"/>
              <w:bidi w:val="0"/>
              <w:spacing w:before="0" w:beforeAutospacing="0" w:after="0" w:afterAutospacing="0"/>
              <w:ind w:right="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各特征年相对日交通流量预测表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pcu/d</w:t>
            </w:r>
            <w:r>
              <w:rPr>
                <w:rFonts w:hint="eastAsia"/>
                <w:color w:val="000000" w:themeColor="text1"/>
                <w:highlight w:val="none"/>
                <w:lang w:eastAsia="zh-CN"/>
                <w14:textFill>
                  <w14:solidFill>
                    <w14:schemeClr w14:val="tx1"/>
                  </w14:solidFill>
                </w14:textFill>
              </w:rPr>
              <w:t>)</w:t>
            </w:r>
          </w:p>
          <w:tbl>
            <w:tblPr>
              <w:tblStyle w:val="1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2075"/>
              <w:gridCol w:w="2075"/>
              <w:gridCol w:w="2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环评特征年</w:t>
                  </w:r>
                </w:p>
              </w:tc>
              <w:tc>
                <w:tcPr>
                  <w:tcW w:w="12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2023(近期)</w:t>
                  </w:r>
                </w:p>
              </w:tc>
              <w:tc>
                <w:tcPr>
                  <w:tcW w:w="12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2029(中期)</w:t>
                  </w:r>
                </w:p>
              </w:tc>
              <w:tc>
                <w:tcPr>
                  <w:tcW w:w="12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2037(远期)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交通量</w:t>
                  </w:r>
                </w:p>
              </w:tc>
              <w:tc>
                <w:tcPr>
                  <w:tcW w:w="12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318</w:t>
                  </w:r>
                </w:p>
              </w:tc>
              <w:tc>
                <w:tcPr>
                  <w:tcW w:w="12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416</w:t>
                  </w:r>
                </w:p>
              </w:tc>
              <w:tc>
                <w:tcPr>
                  <w:tcW w:w="12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658</w:t>
                  </w:r>
                </w:p>
              </w:tc>
            </w:tr>
          </w:tbl>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根据调查及类比周边同类型道路，本工程路段昼间(6:00～22:00)车流量占全天车流量的</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5%，夜间(22:00～6:00)车流量占全天车流量15%，高峰期车流量</w:t>
            </w:r>
            <w:r>
              <w:rPr>
                <w:rFonts w:hint="eastAsia"/>
                <w:color w:val="000000" w:themeColor="text1"/>
                <w:highlight w:val="none"/>
                <w:lang w:val="en-US" w:eastAsia="zh-CN"/>
                <w14:textFill>
                  <w14:solidFill>
                    <w14:schemeClr w14:val="tx1"/>
                  </w14:solidFill>
                </w14:textFill>
              </w:rPr>
              <w:t>占</w:t>
            </w:r>
            <w:r>
              <w:rPr>
                <w:rFonts w:hint="eastAsia"/>
                <w:color w:val="000000" w:themeColor="text1"/>
                <w:highlight w:val="none"/>
                <w:lang w:eastAsia="zh-CN"/>
                <w14:textFill>
                  <w14:solidFill>
                    <w14:schemeClr w14:val="tx1"/>
                  </w14:solidFill>
                </w14:textFill>
              </w:rPr>
              <w:t>全天车流量的</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lang w:eastAsia="zh-CN"/>
                <w14:textFill>
                  <w14:solidFill>
                    <w14:schemeClr w14:val="tx1"/>
                  </w14:solidFill>
                </w14:textFill>
              </w:rPr>
              <w:t>%。根据《环境影响评价技术导则-声环境》(HJ2.4-20</w:t>
            </w:r>
            <w:r>
              <w:rPr>
                <w:rFonts w:hint="eastAsia"/>
                <w:color w:val="000000" w:themeColor="text1"/>
                <w:highlight w:val="none"/>
                <w:lang w:val="en-US" w:eastAsia="zh-CN"/>
                <w14:textFill>
                  <w14:solidFill>
                    <w14:schemeClr w14:val="tx1"/>
                  </w14:solidFill>
                </w14:textFill>
              </w:rPr>
              <w:t>21</w:t>
            </w:r>
            <w:r>
              <w:rPr>
                <w:rFonts w:hint="eastAsia"/>
                <w:color w:val="000000" w:themeColor="text1"/>
                <w:highlight w:val="none"/>
                <w:lang w:eastAsia="zh-CN"/>
                <w14:textFill>
                  <w14:solidFill>
                    <w14:schemeClr w14:val="tx1"/>
                  </w14:solidFill>
                </w14:textFill>
              </w:rPr>
              <w:t>)，车型分类方法：大、中、小型车(</w:t>
            </w:r>
            <w:r>
              <w:rPr>
                <w:rFonts w:hint="eastAsia"/>
                <w:color w:val="000000" w:themeColor="text1"/>
                <w:highlight w:val="none"/>
                <w:lang w:val="en-US" w:eastAsia="zh-CN"/>
                <w14:textFill>
                  <w14:solidFill>
                    <w14:schemeClr w14:val="tx1"/>
                  </w14:solidFill>
                </w14:textFill>
              </w:rPr>
              <w:t>本项目为乡村公路，基本不存在汽车列车，因此不纳入计算</w:t>
            </w:r>
            <w:r>
              <w:rPr>
                <w:rFonts w:hint="eastAsia"/>
                <w:color w:val="000000" w:themeColor="text1"/>
                <w:highlight w:val="none"/>
                <w:lang w:eastAsia="zh-CN"/>
                <w14:textFill>
                  <w14:solidFill>
                    <w14:schemeClr w14:val="tx1"/>
                  </w14:solidFill>
                </w14:textFill>
              </w:rPr>
              <w:t>)，计算出项目近、中、远期昼夜小时交通量，见</w:t>
            </w:r>
            <w:r>
              <w:rPr>
                <w:rFonts w:hint="eastAsia"/>
                <w:color w:val="000000" w:themeColor="text1"/>
                <w:highlight w:val="none"/>
                <w:lang w:val="en-US" w:eastAsia="zh-CN"/>
                <w14:textFill>
                  <w14:solidFill>
                    <w14:schemeClr w14:val="tx1"/>
                  </w14:solidFill>
                </w14:textFill>
              </w:rPr>
              <w:t>下表。</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车型分类</w:t>
            </w:r>
            <w:r>
              <w:rPr>
                <w:rFonts w:hint="eastAsia"/>
                <w:color w:val="000000" w:themeColor="text1"/>
                <w:highlight w:val="none"/>
                <w:lang w:val="en-US" w:eastAsia="zh-CN"/>
                <w14:textFill>
                  <w14:solidFill>
                    <w14:schemeClr w14:val="tx1"/>
                  </w14:solidFill>
                </w14:textFill>
              </w:rPr>
              <w:t>表</w:t>
            </w:r>
          </w:p>
          <w:tbl>
            <w:tblPr>
              <w:tblStyle w:val="1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663"/>
              <w:gridCol w:w="1725"/>
              <w:gridCol w:w="3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车型</w:t>
                  </w:r>
                </w:p>
              </w:tc>
              <w:tc>
                <w:tcPr>
                  <w:tcW w:w="166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汽车代表车型</w:t>
                  </w:r>
                </w:p>
              </w:tc>
              <w:tc>
                <w:tcPr>
                  <w:tcW w:w="1725"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车辆折算系数</w:t>
                  </w:r>
                </w:p>
              </w:tc>
              <w:tc>
                <w:tcPr>
                  <w:tcW w:w="3829"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车型划分标准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小</w:t>
                  </w:r>
                </w:p>
              </w:tc>
              <w:tc>
                <w:tcPr>
                  <w:tcW w:w="166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小客车</w:t>
                  </w:r>
                </w:p>
              </w:tc>
              <w:tc>
                <w:tcPr>
                  <w:tcW w:w="1725"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1.0</w:t>
                  </w:r>
                </w:p>
              </w:tc>
              <w:tc>
                <w:tcPr>
                  <w:tcW w:w="3829"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座位≤19座的客车和载质量≤2t货车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中</w:t>
                  </w:r>
                </w:p>
              </w:tc>
              <w:tc>
                <w:tcPr>
                  <w:tcW w:w="166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中型车</w:t>
                  </w:r>
                </w:p>
              </w:tc>
              <w:tc>
                <w:tcPr>
                  <w:tcW w:w="1725"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1.5</w:t>
                  </w:r>
                </w:p>
              </w:tc>
              <w:tc>
                <w:tcPr>
                  <w:tcW w:w="3829" w:type="dxa"/>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座位＞19座的客车和货车2t＜载质量≤7t货车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dxa"/>
                  <w:vMerge w:val="restar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大</w:t>
                  </w:r>
                </w:p>
              </w:tc>
              <w:tc>
                <w:tcPr>
                  <w:tcW w:w="166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大型车</w:t>
                  </w:r>
                </w:p>
              </w:tc>
              <w:tc>
                <w:tcPr>
                  <w:tcW w:w="1725"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2.5</w:t>
                  </w:r>
                </w:p>
              </w:tc>
              <w:tc>
                <w:tcPr>
                  <w:tcW w:w="3829" w:type="dxa"/>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7t＜载质量≤20t货车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dxa"/>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1663"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汽车列车</w:t>
                  </w:r>
                </w:p>
              </w:tc>
              <w:tc>
                <w:tcPr>
                  <w:tcW w:w="1725"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4.0</w:t>
                  </w:r>
                </w:p>
              </w:tc>
              <w:tc>
                <w:tcPr>
                  <w:tcW w:w="3829" w:type="dxa"/>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载质量＞20t货车</w:t>
                  </w:r>
                </w:p>
              </w:tc>
            </w:tr>
          </w:tbl>
          <w:p>
            <w:pPr>
              <w:pStyle w:val="18"/>
              <w:keepNext w:val="0"/>
              <w:keepLines w:val="0"/>
              <w:suppressLineNumbers w:val="0"/>
              <w:shd w:val="clear"/>
              <w:bidi w:val="0"/>
              <w:spacing w:before="0" w:beforeAutospacing="0" w:after="0" w:afterAutospacing="0"/>
              <w:ind w:right="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各</w:t>
            </w:r>
            <w:r>
              <w:rPr>
                <w:rFonts w:hint="eastAsia"/>
                <w:color w:val="000000" w:themeColor="text1"/>
                <w:highlight w:val="none"/>
                <w:lang w:val="en-US" w:eastAsia="zh-CN"/>
                <w14:textFill>
                  <w14:solidFill>
                    <w14:schemeClr w14:val="tx1"/>
                  </w14:solidFill>
                </w14:textFill>
              </w:rPr>
              <w:t>特征</w:t>
            </w:r>
            <w:r>
              <w:rPr>
                <w:rFonts w:hint="eastAsia"/>
                <w:color w:val="000000" w:themeColor="text1"/>
                <w:highlight w:val="none"/>
                <w14:textFill>
                  <w14:solidFill>
                    <w14:schemeClr w14:val="tx1"/>
                  </w14:solidFill>
                </w14:textFill>
              </w:rPr>
              <w:t>年各时段车流量(辆/小时)</w:t>
            </w:r>
          </w:p>
          <w:tbl>
            <w:tblPr>
              <w:tblStyle w:val="13"/>
              <w:tblW w:w="0" w:type="auto"/>
              <w:tblInd w:w="2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8"/>
              <w:gridCol w:w="598"/>
              <w:gridCol w:w="598"/>
              <w:gridCol w:w="598"/>
              <w:gridCol w:w="598"/>
              <w:gridCol w:w="598"/>
              <w:gridCol w:w="598"/>
              <w:gridCol w:w="598"/>
              <w:gridCol w:w="598"/>
              <w:gridCol w:w="598"/>
              <w:gridCol w:w="598"/>
              <w:gridCol w:w="599"/>
              <w:gridCol w:w="59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vMerge w:val="restart"/>
                  <w:tcBorders>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特征年</w:t>
                  </w:r>
                </w:p>
              </w:tc>
              <w:tc>
                <w:tcPr>
                  <w:tcW w:w="0" w:type="auto"/>
                  <w:gridSpan w:val="3"/>
                  <w:tcBorders>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高峰小时(辆</w:t>
                  </w:r>
                  <w:r>
                    <w:rPr>
                      <w:rFonts w:hint="default" w:cs="Times New Roman"/>
                      <w:color w:val="000000" w:themeColor="text1"/>
                      <w:szCs w:val="20"/>
                      <w:highlight w:val="none"/>
                      <w:lang w:val="en-US" w:eastAsia="zh-CN"/>
                      <w14:textFill>
                        <w14:solidFill>
                          <w14:schemeClr w14:val="tx1"/>
                        </w14:solidFill>
                      </w14:textFill>
                    </w:rPr>
                    <w:t>/h</w:t>
                  </w:r>
                  <w:r>
                    <w:rPr>
                      <w:rFonts w:hint="eastAsia" w:cs="Times New Roman"/>
                      <w:color w:val="000000" w:themeColor="text1"/>
                      <w:szCs w:val="20"/>
                      <w:highlight w:val="none"/>
                      <w:lang w:val="en-US" w:eastAsia="zh-CN"/>
                      <w14:textFill>
                        <w14:solidFill>
                          <w14:schemeClr w14:val="tx1"/>
                        </w14:solidFill>
                      </w14:textFill>
                    </w:rPr>
                    <w:t>)</w:t>
                  </w:r>
                </w:p>
              </w:tc>
              <w:tc>
                <w:tcPr>
                  <w:tcW w:w="0" w:type="auto"/>
                  <w:gridSpan w:val="3"/>
                  <w:tcBorders>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昼间平均(辆</w:t>
                  </w:r>
                  <w:r>
                    <w:rPr>
                      <w:rFonts w:hint="default" w:cs="Times New Roman"/>
                      <w:color w:val="000000" w:themeColor="text1"/>
                      <w:szCs w:val="20"/>
                      <w:highlight w:val="none"/>
                      <w:lang w:val="en-US" w:eastAsia="zh-CN"/>
                      <w14:textFill>
                        <w14:solidFill>
                          <w14:schemeClr w14:val="tx1"/>
                        </w14:solidFill>
                      </w14:textFill>
                    </w:rPr>
                    <w:t>/h</w:t>
                  </w:r>
                  <w:r>
                    <w:rPr>
                      <w:rFonts w:hint="eastAsia" w:cs="Times New Roman"/>
                      <w:color w:val="000000" w:themeColor="text1"/>
                      <w:szCs w:val="20"/>
                      <w:highlight w:val="none"/>
                      <w:lang w:val="en-US" w:eastAsia="zh-CN"/>
                      <w14:textFill>
                        <w14:solidFill>
                          <w14:schemeClr w14:val="tx1"/>
                        </w14:solidFill>
                      </w14:textFill>
                    </w:rPr>
                    <w:t>)</w:t>
                  </w:r>
                </w:p>
              </w:tc>
              <w:tc>
                <w:tcPr>
                  <w:tcW w:w="0" w:type="auto"/>
                  <w:gridSpan w:val="3"/>
                  <w:tcBorders>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夜间平均(辆</w:t>
                  </w:r>
                  <w:r>
                    <w:rPr>
                      <w:rFonts w:hint="default" w:cs="Times New Roman"/>
                      <w:color w:val="000000" w:themeColor="text1"/>
                      <w:szCs w:val="20"/>
                      <w:highlight w:val="none"/>
                      <w:lang w:val="en-US" w:eastAsia="zh-CN"/>
                      <w14:textFill>
                        <w14:solidFill>
                          <w14:schemeClr w14:val="tx1"/>
                        </w14:solidFill>
                      </w14:textFill>
                    </w:rPr>
                    <w:t>/h</w:t>
                  </w:r>
                  <w:r>
                    <w:rPr>
                      <w:rFonts w:hint="eastAsia" w:cs="Times New Roman"/>
                      <w:color w:val="000000" w:themeColor="text1"/>
                      <w:szCs w:val="20"/>
                      <w:highlight w:val="none"/>
                      <w:lang w:val="en-US" w:eastAsia="zh-CN"/>
                      <w14:textFill>
                        <w14:solidFill>
                          <w14:schemeClr w14:val="tx1"/>
                        </w14:solidFill>
                      </w14:textFill>
                    </w:rPr>
                    <w:t>)</w:t>
                  </w:r>
                </w:p>
              </w:tc>
              <w:tc>
                <w:tcPr>
                  <w:tcW w:w="0" w:type="auto"/>
                  <w:gridSpan w:val="3"/>
                  <w:tcBorders>
                    <w:left w:val="nil"/>
                    <w:bottom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日平均(辆</w:t>
                  </w:r>
                  <w:r>
                    <w:rPr>
                      <w:rFonts w:hint="default" w:cs="Times New Roman"/>
                      <w:color w:val="000000" w:themeColor="text1"/>
                      <w:szCs w:val="20"/>
                      <w:highlight w:val="none"/>
                      <w:lang w:val="en-US" w:eastAsia="zh-CN"/>
                      <w14:textFill>
                        <w14:solidFill>
                          <w14:schemeClr w14:val="tx1"/>
                        </w14:solidFill>
                      </w14:textFill>
                    </w:rPr>
                    <w:t>/h</w:t>
                  </w: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0" w:type="auto"/>
                  <w:vMerge w:val="continue"/>
                  <w:tcBorders>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小型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中型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大型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小型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中型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大型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小型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中型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大型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小型</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中型</w:t>
                  </w:r>
                </w:p>
              </w:tc>
              <w:tc>
                <w:tcPr>
                  <w:tcW w:w="0" w:type="auto"/>
                  <w:tcBorders>
                    <w:top w:val="nil"/>
                    <w:left w:val="nil"/>
                    <w:bottom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大型</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0" w:type="auto"/>
                  <w:tcBorders>
                    <w:top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2023</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22</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0</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w:t>
                  </w:r>
                </w:p>
              </w:tc>
              <w:tc>
                <w:tcPr>
                  <w:tcW w:w="0" w:type="auto"/>
                  <w:tcBorders>
                    <w:top w:val="nil"/>
                    <w:left w:val="nil"/>
                    <w:bottom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0" w:type="auto"/>
                  <w:tcBorders>
                    <w:top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2029</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29</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16</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0</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w:t>
                  </w:r>
                </w:p>
              </w:tc>
              <w:tc>
                <w:tcPr>
                  <w:tcW w:w="0" w:type="auto"/>
                  <w:tcBorders>
                    <w:top w:val="nil"/>
                    <w:left w:val="nil"/>
                    <w:bottom w:val="single" w:color="000000" w:sz="8" w:space="0"/>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w:t>
                  </w:r>
                </w:p>
              </w:tc>
              <w:tc>
                <w:tcPr>
                  <w:tcW w:w="0" w:type="auto"/>
                  <w:tcBorders>
                    <w:top w:val="nil"/>
                    <w:left w:val="nil"/>
                    <w:bottom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0" w:type="auto"/>
                  <w:tcBorders>
                    <w:top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2037</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46</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25</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0</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19</w:t>
                  </w:r>
                </w:p>
              </w:tc>
              <w:tc>
                <w:tcPr>
                  <w:tcW w:w="0" w:type="auto"/>
                  <w:tcBorders>
                    <w:top w:val="nil"/>
                    <w:left w:val="nil"/>
                    <w:right w:val="single" w:color="000000" w:sz="8"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w:t>
                  </w:r>
                </w:p>
              </w:tc>
              <w:tc>
                <w:tcPr>
                  <w:tcW w:w="0" w:type="auto"/>
                  <w:tcBorders>
                    <w:top w:val="nil"/>
                    <w:left w:val="nil"/>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w:t>
                  </w:r>
                </w:p>
              </w:tc>
            </w:tr>
          </w:tbl>
          <w:p>
            <w:pPr>
              <w:pStyle w:val="4"/>
              <w:widowControl/>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6.土石方平衡</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参考《福鼎市贯岭镇Y869 透溪线公路工程 施工图设计文件》，项目土石方如下：</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挖土方16343m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，挖石方16087m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，利用土方3133.7m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，利用石方1888m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，余土石方13209.3m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，余石方14199m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根据建设单位与</w:t>
            </w:r>
            <w:r>
              <w:rPr>
                <w:rFonts w:hint="eastAsia"/>
                <w:color w:val="000000" w:themeColor="text1"/>
                <w:highlight w:val="none"/>
                <w:lang w:val="en-US" w:eastAsia="zh-CN"/>
                <w14:textFill>
                  <w14:solidFill>
                    <w14:schemeClr w14:val="tx1"/>
                  </w14:solidFill>
                </w14:textFill>
              </w:rPr>
              <w:t>福鼎市鼎固建材有限公司的</w:t>
            </w:r>
            <w:r>
              <w:rPr>
                <w:rFonts w:hint="default"/>
                <w:color w:val="000000" w:themeColor="text1"/>
                <w:highlight w:val="none"/>
                <w:lang w:val="en-US" w:eastAsia="zh-CN"/>
                <w14:textFill>
                  <w14:solidFill>
                    <w14:schemeClr w14:val="tx1"/>
                  </w14:solidFill>
                </w14:textFill>
              </w:rPr>
              <w:t>土石方协议，</w:t>
            </w:r>
            <w:r>
              <w:rPr>
                <w:rFonts w:hint="eastAsia"/>
                <w:color w:val="000000" w:themeColor="text1"/>
                <w:highlight w:val="none"/>
                <w:lang w:val="en-US" w:eastAsia="zh-CN"/>
                <w14:textFill>
                  <w14:solidFill>
                    <w14:schemeClr w14:val="tx1"/>
                  </w14:solidFill>
                </w14:textFill>
              </w:rPr>
              <w:t>项目弃方交由福鼎市鼎固建材有限公司处理</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p>
          <w:p>
            <w:pPr>
              <w:pStyle w:val="21"/>
              <w:shd w:val="clear"/>
              <w:bidi w:val="0"/>
              <w:rPr>
                <w:rFonts w:hint="default"/>
                <w:color w:val="000000" w:themeColor="text1"/>
                <w:highlight w:val="none"/>
                <w:lang w:val="en-US" w:eastAsia="zh-CN"/>
                <w14:textFill>
                  <w14:solidFill>
                    <w14:schemeClr w14:val="tx1"/>
                  </w14:solidFill>
                </w14:textFill>
              </w:rPr>
            </w:pPr>
          </w:p>
          <w:p>
            <w:pPr>
              <w:pStyle w:val="21"/>
              <w:shd w:val="clear"/>
              <w:bidi w:val="0"/>
              <w:rPr>
                <w:rFonts w:hint="default"/>
                <w:color w:val="000000" w:themeColor="text1"/>
                <w:highlight w:val="none"/>
                <w:lang w:val="en-US" w:eastAsia="zh-CN"/>
                <w14:textFill>
                  <w14:solidFill>
                    <w14:schemeClr w14:val="tx1"/>
                  </w14:solidFill>
                </w14:textFill>
              </w:rPr>
            </w:pP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土石方平衡一览表</w:t>
            </w:r>
          </w:p>
          <w:tbl>
            <w:tblPr>
              <w:tblStyle w:val="1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600"/>
              <w:gridCol w:w="1600"/>
              <w:gridCol w:w="1600"/>
              <w:gridCol w:w="1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9"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类型</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挖方量/m</w:t>
                  </w:r>
                  <w:r>
                    <w:rPr>
                      <w:rFonts w:hint="eastAsia" w:cs="Times New Roman"/>
                      <w:color w:val="000000" w:themeColor="text1"/>
                      <w:szCs w:val="20"/>
                      <w:highlight w:val="none"/>
                      <w:vertAlign w:val="superscript"/>
                      <w:lang w:val="en-US" w:eastAsia="zh-CN" w:bidi="ar-SA"/>
                      <w14:textFill>
                        <w14:solidFill>
                          <w14:schemeClr w14:val="tx1"/>
                        </w14:solidFill>
                      </w14:textFill>
                    </w:rPr>
                    <w:t>3</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利用量/m</w:t>
                  </w:r>
                  <w:r>
                    <w:rPr>
                      <w:rFonts w:hint="eastAsia" w:cs="Times New Roman"/>
                      <w:color w:val="000000" w:themeColor="text1"/>
                      <w:szCs w:val="20"/>
                      <w:highlight w:val="none"/>
                      <w:vertAlign w:val="superscript"/>
                      <w:lang w:val="en-US" w:eastAsia="zh-CN" w:bidi="ar-SA"/>
                      <w14:textFill>
                        <w14:solidFill>
                          <w14:schemeClr w14:val="tx1"/>
                        </w14:solidFill>
                      </w14:textFill>
                    </w:rPr>
                    <w:t>3</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余方量/m</w:t>
                  </w:r>
                  <w:r>
                    <w:rPr>
                      <w:rFonts w:hint="eastAsia" w:cs="Times New Roman"/>
                      <w:color w:val="000000" w:themeColor="text1"/>
                      <w:szCs w:val="20"/>
                      <w:highlight w:val="none"/>
                      <w:vertAlign w:val="superscript"/>
                      <w:lang w:val="en-US" w:eastAsia="zh-CN" w:bidi="ar-SA"/>
                      <w14:textFill>
                        <w14:solidFill>
                          <w14:schemeClr w14:val="tx1"/>
                        </w14:solidFill>
                      </w14:textFill>
                    </w:rPr>
                    <w:t>3</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9"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土方</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16343</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3133.7</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13209.3</w:t>
                  </w:r>
                </w:p>
              </w:tc>
              <w:tc>
                <w:tcPr>
                  <w:tcW w:w="1600" w:type="dxa"/>
                  <w:vMerge w:val="restar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福鼎市鼎固建材有限公司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9"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石方</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16087</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1888</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14199</w:t>
                  </w:r>
                </w:p>
              </w:tc>
              <w:tc>
                <w:tcPr>
                  <w:tcW w:w="1600" w:type="dxa"/>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9" w:type="dxa"/>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合计</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32430</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5021.7</w:t>
                  </w:r>
                </w:p>
              </w:tc>
              <w:tc>
                <w:tcPr>
                  <w:tcW w:w="1600" w:type="dxa"/>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27408.3</w:t>
                  </w:r>
                </w:p>
              </w:tc>
              <w:tc>
                <w:tcPr>
                  <w:tcW w:w="1600" w:type="dxa"/>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p>
              </w:tc>
            </w:tr>
          </w:tbl>
          <w:p>
            <w:pPr>
              <w:pStyle w:val="21"/>
              <w:shd w:val="clear"/>
              <w:bidi w:val="0"/>
              <w:ind w:left="0" w:leftChars="0" w:firstLine="0" w:firstLineChars="0"/>
              <w:rPr>
                <w:rFonts w:hint="default"/>
                <w:color w:val="000000" w:themeColor="text1"/>
                <w:highlight w:val="none"/>
                <w:lang w:val="en-US" w:eastAsia="zh-CN"/>
                <w14:textFill>
                  <w14:solidFill>
                    <w14:schemeClr w14:val="tx1"/>
                  </w14:solidFill>
                </w14:textFill>
              </w:rPr>
            </w:pPr>
          </w:p>
        </w:tc>
      </w:tr>
    </w:tbl>
    <w:p>
      <w:pPr>
        <w:shd w:val="clear"/>
        <w:rPr>
          <w:color w:val="000000" w:themeColor="text1"/>
          <w:highlight w:val="none"/>
          <w14:textFill>
            <w14:solidFill>
              <w14:schemeClr w14:val="tx1"/>
            </w14:solidFill>
          </w14:textFill>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7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56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总平面及现场布置</w:t>
            </w:r>
          </w:p>
        </w:tc>
        <w:tc>
          <w:tcPr>
            <w:tcW w:w="7956" w:type="dxa"/>
            <w:noWrap w:val="0"/>
            <w:vAlign w:val="center"/>
          </w:tcPr>
          <w:p>
            <w:pPr>
              <w:keepNext w:val="0"/>
              <w:keepLines w:val="0"/>
              <w:numPr>
                <w:ilvl w:val="0"/>
                <w:numId w:val="5"/>
              </w:numPr>
              <w:suppressLineNumbers w:val="0"/>
              <w:shd w:val="clear"/>
              <w:adjustRightInd w:val="0"/>
              <w:snapToGrid w:val="0"/>
              <w:spacing w:before="120" w:beforeLines="50" w:beforeAutospacing="0" w:after="120" w:afterLines="50" w:afterAutospacing="0" w:line="360" w:lineRule="auto"/>
              <w:ind w:left="0" w:right="0"/>
              <w:rPr>
                <w:rFonts w:hint="default"/>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lang w:val="en-US" w:eastAsia="zh-CN"/>
                <w14:textFill>
                  <w14:solidFill>
                    <w14:schemeClr w14:val="tx1"/>
                  </w14:solidFill>
                </w14:textFill>
              </w:rPr>
              <w:t>公路平面方案</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路线起点位于贯透线叉路口，起点接贯透线K3+291处叉路口砼路面，起点设计桩号为K0+000，沿现有水泥路展线拓宽，部分路段截弯取直，改善该段原有路线多弯地段，终于驿站旁小桥前，设计终点桩号为K2+948.3，路线全长2.948km，路线起终点与现有砼路面顺接。</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本工程平面交叉情况如</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_Ref3124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表11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所示，公路平面布置详见附图8。</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bookmarkStart w:id="2" w:name="_Ref3124"/>
            <w:r>
              <w:rPr>
                <w:rFonts w:hint="eastAsia"/>
                <w:color w:val="000000" w:themeColor="text1"/>
                <w:highlight w:val="none"/>
                <w:lang w:val="en-US" w:eastAsia="zh-CN"/>
                <w14:textFill>
                  <w14:solidFill>
                    <w14:schemeClr w14:val="tx1"/>
                  </w14:solidFill>
                </w14:textFill>
              </w:rPr>
              <w:t>平面交叉情况一览表</w:t>
            </w:r>
            <w:bookmarkEnd w:id="2"/>
          </w:p>
          <w:tbl>
            <w:tblPr>
              <w:tblStyle w:val="1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968"/>
              <w:gridCol w:w="923"/>
              <w:gridCol w:w="930"/>
              <w:gridCol w:w="1360"/>
              <w:gridCol w:w="909"/>
              <w:gridCol w:w="1094"/>
              <w:gridCol w:w="1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序号</w:t>
                  </w:r>
                </w:p>
              </w:tc>
              <w:tc>
                <w:tcPr>
                  <w:tcW w:w="62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中心桩号</w:t>
                  </w:r>
                </w:p>
              </w:tc>
              <w:tc>
                <w:tcPr>
                  <w:tcW w:w="5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被交叉名称</w:t>
                  </w:r>
                </w:p>
              </w:tc>
              <w:tc>
                <w:tcPr>
                  <w:tcW w:w="60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被交叉路等级</w:t>
                  </w:r>
                </w:p>
              </w:tc>
              <w:tc>
                <w:tcPr>
                  <w:tcW w:w="87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被交道路面结构</w:t>
                  </w:r>
                </w:p>
              </w:tc>
              <w:tc>
                <w:tcPr>
                  <w:tcW w:w="5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交叉形式</w:t>
                  </w:r>
                </w:p>
              </w:tc>
              <w:tc>
                <w:tcPr>
                  <w:tcW w:w="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被交道路宽度(m)</w:t>
                  </w:r>
                </w:p>
              </w:tc>
              <w:tc>
                <w:tcPr>
                  <w:tcW w:w="656" w:type="pct"/>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修复长度(m)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w:t>
                  </w:r>
                </w:p>
              </w:tc>
              <w:tc>
                <w:tcPr>
                  <w:tcW w:w="62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K0+003</w:t>
                  </w:r>
                </w:p>
              </w:tc>
              <w:tc>
                <w:tcPr>
                  <w:tcW w:w="5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乡道</w:t>
                  </w:r>
                </w:p>
              </w:tc>
              <w:tc>
                <w:tcPr>
                  <w:tcW w:w="60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四级</w:t>
                  </w:r>
                </w:p>
              </w:tc>
              <w:tc>
                <w:tcPr>
                  <w:tcW w:w="87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水泥混凝土</w:t>
                  </w:r>
                </w:p>
              </w:tc>
              <w:tc>
                <w:tcPr>
                  <w:tcW w:w="5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T字型</w:t>
                  </w:r>
                </w:p>
              </w:tc>
              <w:tc>
                <w:tcPr>
                  <w:tcW w:w="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6.5</w:t>
                  </w:r>
                </w:p>
              </w:tc>
              <w:tc>
                <w:tcPr>
                  <w:tcW w:w="65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w:t>
                  </w:r>
                </w:p>
              </w:tc>
              <w:tc>
                <w:tcPr>
                  <w:tcW w:w="62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K1+040</w:t>
                  </w:r>
                </w:p>
              </w:tc>
              <w:tc>
                <w:tcPr>
                  <w:tcW w:w="5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村道</w:t>
                  </w:r>
                </w:p>
              </w:tc>
              <w:tc>
                <w:tcPr>
                  <w:tcW w:w="60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等外</w:t>
                  </w:r>
                </w:p>
              </w:tc>
              <w:tc>
                <w:tcPr>
                  <w:tcW w:w="87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水泥混凝土</w:t>
                  </w:r>
                </w:p>
              </w:tc>
              <w:tc>
                <w:tcPr>
                  <w:tcW w:w="5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Y字型</w:t>
                  </w:r>
                </w:p>
              </w:tc>
              <w:tc>
                <w:tcPr>
                  <w:tcW w:w="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w:t>
                  </w:r>
                </w:p>
              </w:tc>
              <w:tc>
                <w:tcPr>
                  <w:tcW w:w="65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3</w:t>
                  </w:r>
                </w:p>
              </w:tc>
              <w:tc>
                <w:tcPr>
                  <w:tcW w:w="62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K1+740</w:t>
                  </w:r>
                </w:p>
              </w:tc>
              <w:tc>
                <w:tcPr>
                  <w:tcW w:w="59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村道</w:t>
                  </w:r>
                </w:p>
              </w:tc>
              <w:tc>
                <w:tcPr>
                  <w:tcW w:w="60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等外</w:t>
                  </w:r>
                </w:p>
              </w:tc>
              <w:tc>
                <w:tcPr>
                  <w:tcW w:w="878"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水泥混凝土</w:t>
                  </w:r>
                </w:p>
              </w:tc>
              <w:tc>
                <w:tcPr>
                  <w:tcW w:w="587"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T字型</w:t>
                  </w:r>
                </w:p>
              </w:tc>
              <w:tc>
                <w:tcPr>
                  <w:tcW w:w="70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4.2</w:t>
                  </w:r>
                </w:p>
              </w:tc>
              <w:tc>
                <w:tcPr>
                  <w:tcW w:w="656"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8.5</w:t>
                  </w:r>
                </w:p>
              </w:tc>
            </w:tr>
          </w:tbl>
          <w:p>
            <w:pPr>
              <w:keepNext w:val="0"/>
              <w:keepLines w:val="0"/>
              <w:numPr>
                <w:ilvl w:val="0"/>
                <w:numId w:val="5"/>
              </w:numPr>
              <w:suppressLineNumbers w:val="0"/>
              <w:shd w:val="clear"/>
              <w:adjustRightInd w:val="0"/>
              <w:snapToGrid w:val="0"/>
              <w:spacing w:before="120" w:beforeLines="50" w:beforeAutospacing="0" w:after="120" w:afterLines="50" w:afterAutospacing="0" w:line="360" w:lineRule="auto"/>
              <w:ind w:left="0" w:right="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t>施工</w:t>
            </w:r>
            <w:r>
              <w:rPr>
                <w:rFonts w:hint="eastAsia" w:cs="Times New Roman"/>
                <w:b/>
                <w:bCs/>
                <w:color w:val="000000" w:themeColor="text1"/>
                <w:sz w:val="28"/>
                <w:szCs w:val="28"/>
                <w:highlight w:val="none"/>
                <w:lang w:val="en-US" w:eastAsia="zh-CN"/>
                <w14:textFill>
                  <w14:solidFill>
                    <w14:schemeClr w14:val="tx1"/>
                  </w14:solidFill>
                </w14:textFill>
              </w:rPr>
              <w:t>现场</w:t>
            </w:r>
            <w:r>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t>布置</w:t>
            </w:r>
          </w:p>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lang w:val="en-US"/>
                <w14:textFill>
                  <w14:solidFill>
                    <w14:schemeClr w14:val="tx1"/>
                  </w14:solidFill>
                </w14:textFill>
              </w:rPr>
              <w:t>不设置取土场、弃土场等临时施工用地</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14:textFill>
                  <w14:solidFill>
                    <w14:schemeClr w14:val="tx1"/>
                  </w14:solidFill>
                </w14:textFill>
              </w:rPr>
              <w:t>即挖即运至福鼎市鼎固建材有限公司处理</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14:textFill>
                  <w14:solidFill>
                    <w14:schemeClr w14:val="tx1"/>
                  </w14:solidFill>
                </w14:textFill>
              </w:rPr>
              <w:t>；</w:t>
            </w:r>
            <w:r>
              <w:rPr>
                <w:rFonts w:hint="default"/>
                <w:color w:val="000000" w:themeColor="text1"/>
                <w:highlight w:val="none"/>
                <w14:textFill>
                  <w14:solidFill>
                    <w14:schemeClr w14:val="tx1"/>
                  </w14:solidFill>
                </w14:textFill>
              </w:rPr>
              <w:t>施工人员租住在附近村庄</w:t>
            </w:r>
            <w:r>
              <w:rPr>
                <w:rFonts w:hint="eastAsia"/>
                <w:color w:val="000000" w:themeColor="text1"/>
                <w:highlight w:val="none"/>
                <w:lang w:val="en-US" w:eastAsia="zh-CN"/>
                <w14:textFill>
                  <w14:solidFill>
                    <w14:schemeClr w14:val="tx1"/>
                  </w14:solidFill>
                </w14:textFill>
              </w:rPr>
              <w:t>。项目在</w:t>
            </w:r>
            <w:r>
              <w:rPr>
                <w:rFonts w:hint="eastAsia" w:cs="Times New Roman"/>
                <w:color w:val="000000" w:themeColor="text1"/>
                <w:kern w:val="0"/>
                <w:sz w:val="24"/>
                <w:szCs w:val="24"/>
                <w:highlight w:val="none"/>
                <w:lang w:val="en-US" w:eastAsia="zh-CN" w:bidi="ar"/>
                <w14:textFill>
                  <w14:solidFill>
                    <w14:schemeClr w14:val="tx1"/>
                  </w14:solidFill>
                </w14:textFill>
              </w:rPr>
              <w:t>K0+320西侧设置施工场</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，用于钢材、木材、水泥、砂石料等原材料的堆放</w:t>
            </w:r>
            <w:r>
              <w:rPr>
                <w:rFonts w:hint="eastAsia" w:cs="Times New Roman"/>
                <w:color w:val="000000" w:themeColor="text1"/>
                <w:kern w:val="2"/>
                <w:sz w:val="24"/>
                <w:szCs w:val="24"/>
                <w:highlight w:val="none"/>
                <w:lang w:val="en-US" w:eastAsia="zh-CN" w:bidi="ar"/>
                <w14:textFill>
                  <w14:solidFill>
                    <w14:schemeClr w14:val="tx1"/>
                  </w14:solidFill>
                </w14:textFill>
              </w:rPr>
              <w:t>，占地面积约0.1</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hm</w:t>
            </w:r>
            <w:r>
              <w:rPr>
                <w:rFonts w:hint="default" w:ascii="Times New Roman" w:hAnsi="Times New Roman" w:eastAsia="宋体" w:cs="Times New Roman"/>
                <w:color w:val="000000" w:themeColor="text1"/>
                <w:kern w:val="2"/>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cs="Times New Roman"/>
                <w:color w:val="000000" w:themeColor="text1"/>
                <w:kern w:val="2"/>
                <w:sz w:val="24"/>
                <w:szCs w:val="24"/>
                <w:highlight w:val="none"/>
                <w:lang w:val="en-US" w:eastAsia="zh-CN" w:bidi="ar"/>
                <w14:textFill>
                  <w14:solidFill>
                    <w14:schemeClr w14:val="tx1"/>
                  </w14:solidFill>
                </w14:textFill>
              </w:rPr>
              <w:t>用地性质为茶园，施工场现状见图2</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pStyle w:val="21"/>
              <w:shd w:val="clea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2980690" cy="2237105"/>
                  <wp:effectExtent l="0" t="0" r="10160" b="10795"/>
                  <wp:docPr id="8" name="图片 8" descr="施工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施工场"/>
                          <pic:cNvPicPr>
                            <a:picLocks noChangeAspect="1"/>
                          </pic:cNvPicPr>
                        </pic:nvPicPr>
                        <pic:blipFill>
                          <a:blip r:embed="rId8"/>
                          <a:srcRect l="33033" t="19936" r="10711" b="23816"/>
                          <a:stretch>
                            <a:fillRect/>
                          </a:stretch>
                        </pic:blipFill>
                        <pic:spPr>
                          <a:xfrm>
                            <a:off x="0" y="0"/>
                            <a:ext cx="2980690" cy="2237105"/>
                          </a:xfrm>
                          <a:prstGeom prst="rect">
                            <a:avLst/>
                          </a:prstGeom>
                        </pic:spPr>
                      </pic:pic>
                    </a:graphicData>
                  </a:graphic>
                </wp:inline>
              </w:drawing>
            </w:r>
          </w:p>
          <w:p>
            <w:pPr>
              <w:pStyle w:val="22"/>
              <w:keepNext w:val="0"/>
              <w:keepLines w:val="0"/>
              <w:widowControl/>
              <w:suppressLineNumbers w:val="0"/>
              <w:shd w:val="clear"/>
              <w:bidi w:val="0"/>
              <w:spacing w:before="0" w:beforeAutospacing="0" w:after="0" w:afterAutospacing="0"/>
              <w:ind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施工场现状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56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施工方案</w:t>
            </w:r>
          </w:p>
        </w:tc>
        <w:tc>
          <w:tcPr>
            <w:tcW w:w="7956" w:type="dxa"/>
            <w:noWrap w:val="0"/>
            <w:vAlign w:val="center"/>
          </w:tcPr>
          <w:p>
            <w:pPr>
              <w:pStyle w:val="4"/>
              <w:numPr>
                <w:ilvl w:val="0"/>
                <w:numId w:val="6"/>
              </w:numPr>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工程征地拆迁情况</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本工程线路全长</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2948.3</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m</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，项目总占地面积为</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53.95亩</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，其中茶园3.27亩、山地32.46亩、旧路18.22亩。项目占地未涉及生态保护红线。</w:t>
            </w:r>
          </w:p>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2.施工组织</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1</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材料</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项目线路周边砂、土、石料含量丰富，满足工程，且运输方便；道路施工时应本着因地制宜、就地取材的原则，充分合理利用沿线可提供的天然筑路材料，同时应保护周围地质环境及生态环境，做到和谐可持续发展。</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工程用水、用电</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本项目线路临近居民区，基础设施较为齐全，施工用电均可就近解决，工程用水主要是周边市政自来水。</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3</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其它筑路材料</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本期项目所需要的水泥、钢筋、木材等其它筑路材料需外购。</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4</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运输条件</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期项目位于福鼎市贯岭镇，工程运输条件比较好，交通发达，结合现有的周边道路系统可满足施工运输，工程所需筑路材料、钢材、木材、水泥、砂石料均可通过周边道路运抵工地，为工程施工提供了便利的施工条件。</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同时本项目施工机械可以利用当地既有机械修配厂进行维修，无需在在施工场地内另行设置机械修配厂。</w:t>
            </w:r>
          </w:p>
          <w:p>
            <w:pPr>
              <w:keepNext w:val="0"/>
              <w:keepLines w:val="0"/>
              <w:widowControl w:val="0"/>
              <w:numPr>
                <w:ilvl w:val="0"/>
                <w:numId w:val="7"/>
              </w:numPr>
              <w:suppressLineNumbers w:val="0"/>
              <w:shd w:val="clear"/>
              <w:spacing w:before="0" w:beforeAutospacing="0" w:after="0" w:afterAutospacing="0" w:line="360" w:lineRule="auto"/>
              <w:ind w:left="0" w:right="0"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项目实施进度计划</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计划开工日期2022年4月8日，计划交工日期2022年12月5日。</w:t>
            </w:r>
          </w:p>
          <w:p>
            <w:pPr>
              <w:pStyle w:val="4"/>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主要工程施工工艺</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3.1</w:t>
            </w:r>
            <w:r>
              <w:rPr>
                <w:rFonts w:hint="default"/>
                <w:color w:val="000000" w:themeColor="text1"/>
                <w:highlight w:val="none"/>
                <w14:textFill>
                  <w14:solidFill>
                    <w14:schemeClr w14:val="tx1"/>
                  </w14:solidFill>
                </w14:textFill>
              </w:rPr>
              <w:t>测量方案</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对监理工程师提供的三角网基点桩、水准基点桩等按图纸进行复测，若发现桩志不足、不稳固、被移动或测量精度不符合要求时，进行补测、加桩、加固、移设桩志水准点等工作，并将复测资料报监理工程师审批。</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复测内容包括轴线上的中间点、方向点、外延点。方向点、外延点位置牢固稳定，施工期间不得受到扰动和破坏，如遇损坏、遗失和位移等情况，立即恢复。</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按适当比例将轴线方位、坐标、长度、三角控制网、方向点、外延点、引线以及水准基点和其他控制点的标高等绘在示意图上，并说明施测方法、施测精度、注意事项，供施工时使用。</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施工放线时设置必要的加桩和排水沟沟心标桩、辅助基准点以及其他控制放线的水平和垂直标桩。隧道中线测桩间距，在直线上10m，曲线上5m。</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w:t>
            </w:r>
            <w:r>
              <w:rPr>
                <w:rFonts w:hint="default"/>
                <w:color w:val="000000" w:themeColor="text1"/>
                <w:highlight w:val="none"/>
                <w14:textFill>
                  <w14:solidFill>
                    <w14:schemeClr w14:val="tx1"/>
                  </w14:solidFill>
                </w14:textFill>
              </w:rPr>
              <w:t>路基土石方施工</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开工前认真复核设计图纸，领会设计意图，复测并加密各种测量控制点</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恢复、固定路线，测绘路基纵横断面，调查研究冬季、雨季施工条件，做好施工应急措施。调查施工范围内地质、水文、管线、文物、料场情况，试验有关填料的各项指标，清理施工现场，组织调度施工机械、材料、人员，保证工程如期开工。</w:t>
            </w:r>
          </w:p>
          <w:p>
            <w:pPr>
              <w:pStyle w:val="6"/>
              <w:widowControl/>
              <w:suppressLineNumbers w:val="0"/>
              <w:shd w:val="clear"/>
              <w:bidi w:val="0"/>
              <w:ind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3.2.1路基挖方施工</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路堑土方开挖</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清表、放样后，以推土机配合挖掘机或装载机，分段自上而下分级挖掘，运到填方段填筑路堤或弃土场。自上而下分级清刷边坡和修整平台成型，及时进行防护工程施工。路床顶面以下30cm要翻松整平成路拱后进行压实达到标准。同时做好排水措施，尽早形成排水系统。</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对于深挖方路基地质条件复杂，施工较困难，施工中应选择合理的施工工艺，施工时避开雨季，先做好截水沟，开挖后及时防护，同时严格做好临时防排水工作，避免边坡受雨水冲刷和降雨入渗而失稳。当切方边坡较高时，设计要求施工必须严格按路基技术规范要求进行，做到先排水后开挖、边开挖边防护。由于地质条件复杂多变，施工前难以准确掌握边坡工程地质条件，故应加强施工地质工作，根据路堑开挖后实际地质情况及时采取相应的处理措施。</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路堑石方开挖</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石质路堑采用梯段松动爆破，自上而下分级开挖。先作好爆破方案设计，报公安部门及监理工程师批准后实施。5～7米为一梯段，以潜孔钻机钻孔，人工装药堵塞，微差毫秒雷管、引爆。</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挖方边坡施工</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石质边坡开挖采用光面爆破和预裂控制爆破方法施工。影响光面及预裂爆破效果的主要参数是炮孔的孔径、孔距、孔深以及装药量，因此，施工中，对钻孔的质量应十分重视，严格保持炮孔在同一平面内，装药量应控制适当，并用合理的药包结构。自上而下分级清刷边坡和平台成型。及时进行防护工程施工并做好排水系统。以推土机配合装载机或挖掘机装车，用自卸汽车运输到弃土场或填筑路堤。用于填方的大石块要经改炮后达到填料标准再装车。</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土质边坡的开挖，施工过程中注意土质边坡的稳定性，严格按土质边坡放坡的规范要求进行刷坡，并保证边坡的整齐。</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新旧路基结合处施工方案</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增加新旧路基的整体稳定性，避免或减少横向错台和纵向裂缝的发生在填筑加宽路基前，先对老路边坡进行30cm厚的清坡处理，并在原路肩边坡上开挖台阶，自下而上开挖一阶及时填筑一级，台阶的宽度为1.5m高度1.0m，并根据不同路基填高在新老路基结合部位铺设钢塑土工格栅，土工格栅采用钢筋钉固定。施工方法如下：</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清坡：</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路基回填前首先清除原路基边坡表土30cm厚和加宽部分基底20cm的表土处理，并对基底进行碾压，压实度不小于90%，然后在加宽部分清表后和第一阶台阶底部换填30cm的碎石处理。对清除的表土外运至弃土场，不得重新用于填筑路基。</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14:textFill>
                  <w14:solidFill>
                    <w14:schemeClr w14:val="tx1"/>
                  </w14:solidFill>
                </w14:textFill>
              </w:rPr>
              <w:t>开挖台阶</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首先根据填土高度确定最高层台阶的高度和具体位置，然后按从下往上，逐层开挖，台阶的宽度为1.5m高度1.0m。在路基台阶的开挖过程中，应做好相应的临时排水设施。如果原路基土较湿，且短时间不宜排出，应在相应位置设置纵横排水盲沟，以保证路基内的水的顺畅排除。</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14:textFill>
                  <w14:solidFill>
                    <w14:schemeClr w14:val="tx1"/>
                  </w14:solidFill>
                </w14:textFill>
              </w:rPr>
              <w:t>铺设土工格栅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当填土高度小于4m时，路床下第一个台阶处和路基底面各铺设一层钢塑土工格栅，当填高达于4m切小于6m时，在基底、第三台阶以及最上面台阶的底部各铺设一层钢塑土工格栅。当填土高度大于6m 时，在基底第三第四以及最上面台阶各铺设一层钢塑土工格栅。钢塑土工格栅从台阶内缘铺设至加宽路基边坡处。钢塑土工格栅应张拉均匀并用U形钢钉固定，钢钉用φ8钢筋制作，长55</w:t>
            </w:r>
            <w:r>
              <w:rPr>
                <w:rFonts w:hint="eastAsia"/>
                <w:color w:val="000000" w:themeColor="text1"/>
                <w:highlight w:val="none"/>
                <w:lang w:val="en-US" w:eastAsia="zh-CN"/>
                <w14:textFill>
                  <w14:solidFill>
                    <w14:schemeClr w14:val="tx1"/>
                  </w14:solidFill>
                </w14:textFill>
              </w:rPr>
              <w:t>cm</w:t>
            </w:r>
            <w:r>
              <w:rPr>
                <w:rFonts w:hint="default"/>
                <w:color w:val="000000" w:themeColor="text1"/>
                <w:highlight w:val="none"/>
                <w14:textFill>
                  <w14:solidFill>
                    <w14:schemeClr w14:val="tx1"/>
                  </w14:solidFill>
                </w14:textFill>
              </w:rPr>
              <w:t>。铺设钢塑土工格栅 的层面应平整，不得有片块石等坚硬凸出物，在距钢塑土工格栅10</w:t>
            </w:r>
            <w:r>
              <w:rPr>
                <w:rFonts w:hint="eastAsia"/>
                <w:color w:val="000000" w:themeColor="text1"/>
                <w:highlight w:val="none"/>
                <w:lang w:val="en-US" w:eastAsia="zh-CN"/>
                <w14:textFill>
                  <w14:solidFill>
                    <w14:schemeClr w14:val="tx1"/>
                  </w14:solidFill>
                </w14:textFill>
              </w:rPr>
              <w:t>cm</w:t>
            </w:r>
            <w:r>
              <w:rPr>
                <w:rFonts w:hint="default"/>
                <w:color w:val="000000" w:themeColor="text1"/>
                <w:highlight w:val="none"/>
                <w14:textFill>
                  <w14:solidFill>
                    <w14:schemeClr w14:val="tx1"/>
                  </w14:solidFill>
                </w14:textFill>
              </w:rPr>
              <w:t>以内的路基填料，其最大粒径不得大于8</w:t>
            </w:r>
            <w:r>
              <w:rPr>
                <w:rFonts w:hint="eastAsia"/>
                <w:color w:val="000000" w:themeColor="text1"/>
                <w:highlight w:val="none"/>
                <w:lang w:val="en-US" w:eastAsia="zh-CN"/>
                <w14:textFill>
                  <w14:solidFill>
                    <w14:schemeClr w14:val="tx1"/>
                  </w14:solidFill>
                </w14:textFill>
              </w:rPr>
              <w:t>cm</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钢塑土工格栅要求每延米纵向拉伸屈服力为60KN/</w:t>
            </w:r>
            <w:r>
              <w:rPr>
                <w:rFonts w:hint="eastAsia"/>
                <w:color w:val="000000" w:themeColor="text1"/>
                <w:highlight w:val="none"/>
                <w:lang w:val="en-US" w:eastAsia="zh-CN"/>
                <w14:textFill>
                  <w14:solidFill>
                    <w14:schemeClr w14:val="tx1"/>
                  </w14:solidFill>
                </w14:textFill>
              </w:rPr>
              <w:t>m</w:t>
            </w:r>
            <w:r>
              <w:rPr>
                <w:rFonts w:hint="default"/>
                <w:color w:val="000000" w:themeColor="text1"/>
                <w:highlight w:val="none"/>
                <w14:textFill>
                  <w14:solidFill>
                    <w14:schemeClr w14:val="tx1"/>
                  </w14:solidFill>
                </w14:textFill>
              </w:rPr>
              <w:t>，横向拉伸屈服力为40KN/</w:t>
            </w:r>
            <w:r>
              <w:rPr>
                <w:rFonts w:hint="eastAsia"/>
                <w:color w:val="000000" w:themeColor="text1"/>
                <w:highlight w:val="none"/>
                <w:lang w:val="en-US" w:eastAsia="zh-CN"/>
                <w14:textFill>
                  <w14:solidFill>
                    <w14:schemeClr w14:val="tx1"/>
                  </w14:solidFill>
                </w14:textFill>
              </w:rPr>
              <w:t>m</w:t>
            </w:r>
            <w:r>
              <w:rPr>
                <w:rFonts w:hint="default"/>
                <w:color w:val="000000" w:themeColor="text1"/>
                <w:highlight w:val="none"/>
                <w14:textFill>
                  <w14:solidFill>
                    <w14:schemeClr w14:val="tx1"/>
                  </w14:solidFill>
                </w14:textFill>
              </w:rPr>
              <w:t>，屈服伸长率≤3%，连接点剪切强度不小于1.5Mpa铺设后应及时填筑填料，防止长时间暴晒。</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rFonts w:hint="default"/>
                <w:color w:val="000000" w:themeColor="text1"/>
                <w:highlight w:val="none"/>
                <w14:textFill>
                  <w14:solidFill>
                    <w14:schemeClr w14:val="tx1"/>
                  </w14:solidFill>
                </w14:textFill>
              </w:rPr>
              <w:t>路基回填</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每层台阶开挖完成后应及时填筑新拼宽路基。填筑时分层填筑、分层压实，分层的最大厚度不超过30cm。</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半填半挖路基方案。</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施工准备</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根据进度安排及土石方调配图，合理投入施工机械设备。</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工程开工前应详细了解设计图纸所确定的深挖路堑地段工程地质资料。</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了解和调查施工现场的地形、地貌及周围环境，如施工时发现实际地质情况与设计不符时，应及时修改施工方案及挖方边坡，并报请监理工程师审查批准。</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根据实测横断面与路基设计图纸横断面图，放出路基边缘、坡口、坡脚、边沟、护坡道具体位置，并标明轮廓。报专业监理工程师审查批准。</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开工报告，按监理程序进行认真审批。</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14:textFill>
                  <w14:solidFill>
                    <w14:schemeClr w14:val="tx1"/>
                  </w14:solidFill>
                </w14:textFill>
              </w:rPr>
              <w:t>场地清理</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根据招标文件规定，凡是公路用地范围之内所有植物、垃圾、有机杂质及无需保留的地面实物，均应清理出场地外；对于自然坡度不大的挖方区清表工作，直接采用推土机完成； 自然坡度过大的挖方区清表工作，采用人工完成。</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14:textFill>
                  <w14:solidFill>
                    <w14:schemeClr w14:val="tx1"/>
                  </w14:solidFill>
                </w14:textFill>
              </w:rPr>
              <w:t>半填半挖、填挖交界处路基施工</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路段大多填方地段存在半填半挖、填挖交界施工，对于填挖交界处或自然横坡陡于1：5时，应将原地面挖台阶，宽度不小于2m，其顶作成2%～4%的内倾斜坡，压实度不得小于85%；当坡面或坡脚处裂隙水比较丰富或有地下泉水时，应在沿坡脚位置每间隔2～3个填层高度设置一个盲沟，将丰富的裂隙水或泉水导流至填方区以外排水沟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在进行填方区压实度检测时，应将该区域作为重点检测对象，若压实度不合格，要根据不合格原因坚决进行返工或补碾压。</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为保证半填半挖及填挖交界处路基的稳定性，减少不均匀沉降，应对部分半填半挖和填挖交界路基进行土工格网加固处理。① 山体自然坡比不小于1：2，且填高大于4m时，在路基90区顶部至0.4H(H为填土高度)高度处，每间隔100cm高度铺设一层土工格网。② 纵向填挖交界处土工格网沿横向铺设，当土工格网铺设长度超出路基边坡的范围时则铺至离坡面30cm处即可。</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边坡裂隙水丰富路堑排水处治对于边坡裂隙水丰富路堑地段排水处治，采取边沟下增设渗沟方法进行导流。若是处于半填半挖地段，除在路基填筑过程中设置盲沟外，同时在边沟下也应增设渗沟导流至路基外。路基填至95区顶高及路堑边坡人工修整完毕后，应进行边沟下渗沟施工，每一区段渗沟应一次成型。</w:t>
            </w:r>
          </w:p>
          <w:p>
            <w:pPr>
              <w:pStyle w:val="21"/>
              <w:shd w:val="clear"/>
              <w:bidi w:val="0"/>
              <w:rPr>
                <w:rFonts w:hint="eastAsia" w:cs="Times New Roman"/>
                <w:color w:val="000000" w:themeColor="text1"/>
                <w:szCs w:val="20"/>
                <w:highlight w:val="none"/>
                <w:lang w:eastAsia="zh-CN"/>
                <w14:textFill>
                  <w14:solidFill>
                    <w14:schemeClr w14:val="tx1"/>
                  </w14:solidFill>
                </w14:textFill>
              </w:rPr>
            </w:pPr>
          </w:p>
          <w:p>
            <w:pPr>
              <w:pStyle w:val="6"/>
              <w:widowControl/>
              <w:suppressLineNumbers w:val="0"/>
              <w:shd w:val="clear"/>
              <w:bidi w:val="0"/>
              <w:ind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3.2.2土石混填路堤施工</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土石路堤采用分层填筑，分层压实。当土石混合料中石料含量超过70%时，将石块逐层水平填筑，且大面向下，放置平稳、紧密靠拢，再铺小块石料、石渣或石屑嵌缝找平，然后碾压，当土石混合料中石料中石料含量小于70%时，用推土机将土石混合料摊铺整平，铺填厚度根据压实机械类型、规格经试验确定，施工中应注意：</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压实后渗水性差的土石混合填料应分层或分段填筑，不宜纵向分幅填筑。如确需纵向分幅填筑，应将压实后渗水性良好的土石混合料填筑于路基两侧。</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土石混合料一般来自不同路段，如果均为硬石料，则不论石料类别如何，可混在一起填筑，如果均为软质石料且压实后的渗水性基本相同，也可混在一起填筑。但如果来自不同路段的土石混合料渗水性比相差较大，则应分层或分段填筑。如分层或分段填筑有困难，则应将硬片石块的混合料铺于填筑层的下面，且石块不得过分集中或重叠，上面再铺软石料混合料，然后整平碾压。</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在土石路堤的路床顶面以下50cm范围内填筑符合路床要求的填料并分层压实。</w:t>
            </w:r>
          </w:p>
          <w:p>
            <w:pPr>
              <w:pStyle w:val="6"/>
              <w:widowControl/>
              <w:suppressLineNumbers w:val="0"/>
              <w:shd w:val="clear"/>
              <w:bidi w:val="0"/>
              <w:ind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3.2.3</w:t>
            </w:r>
            <w:r>
              <w:rPr>
                <w:rFonts w:hint="default" w:cs="Times New Roman"/>
                <w:color w:val="000000" w:themeColor="text1"/>
                <w:szCs w:val="20"/>
                <w:highlight w:val="none"/>
                <w14:textFill>
                  <w14:solidFill>
                    <w14:schemeClr w14:val="tx1"/>
                  </w14:solidFill>
                </w14:textFill>
              </w:rPr>
              <w:t>填石路堤施工</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填石路堤划分为4个大台阶，4区段，8流程分层填石法施工。4个大台阶为：路槽底面以下0.3米为第一级台阶、0.3—0.8米为第二级台阶、0.8—1.5米为第三级台阶、1.5米以下为第四级台阶；四区段是：填石区段、平整区段、碾压区段、检测区段；八流程是：施工准备、填料准备，基底处理、分层填石整平，振动碾压、检验签认、路基成型、边坡修整。填方和挖方作业面形成施工台阶状。施工中，尽量利用土填筑第一级台阶，Ⅳ类石填筑第二级台阶，Ⅴ、Ⅵ类石填筑第三、四级台阶，台阶的间距视具体情况而定：一般情况为100米左右。大台阶内按四区段、八流程分层填筑。将土层覆盖较厚的地段暂作预留，用以填筑一、二级台阶。有关施工注意事项如下：</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根据设计和规范要求合理选择质量合格、级配良好的填料进行填筑。</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分台阶、分层填筑，施工时，一级台阶石料最大粒径不超过10cm；二级台阶内每层压实厚度不大于30cm，石料最大粒径不超过10cm；三级、四级台阶内，每层压实厚度根据试验确定，石料最大粒径不大于压实厚度的2/3。</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采用大马力推土机摊铺整平，填石路段用320P以上推土机压碎整平，以人工配合坡脚摆石和填缝找平。整平后推土机来回碾压，推土机不能碾碎的个别大块石采用小炮解体，个别不平的地方石块间空隙以人工配合用细料充填找平。无论填土填石，每层表面都要保持路拱排水横坡。</w:t>
            </w:r>
          </w:p>
          <w:p>
            <w:pPr>
              <w:pStyle w:val="6"/>
              <w:widowControl/>
              <w:suppressLineNumbers w:val="0"/>
              <w:shd w:val="clear"/>
              <w:bidi w:val="0"/>
              <w:ind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3.2.3</w:t>
            </w:r>
            <w:r>
              <w:rPr>
                <w:rFonts w:hint="default" w:cs="Times New Roman"/>
                <w:color w:val="000000" w:themeColor="text1"/>
                <w:szCs w:val="20"/>
                <w:highlight w:val="none"/>
                <w14:textFill>
                  <w14:solidFill>
                    <w14:schemeClr w14:val="tx1"/>
                  </w14:solidFill>
                </w14:textFill>
              </w:rPr>
              <w:t>混凝土边沟的施工方法</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施工准备</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基槽开挖前，先进行施工放样，并报检合格。</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14:textFill>
                  <w14:solidFill>
                    <w14:schemeClr w14:val="tx1"/>
                  </w14:solidFill>
                </w14:textFill>
              </w:rPr>
              <w:t>开挖后，浇筑前必须报请监理工程师检验，合格后方可施工。</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14:textFill>
                  <w14:solidFill>
                    <w14:schemeClr w14:val="tx1"/>
                  </w14:solidFill>
                </w14:textFill>
              </w:rPr>
              <w:t>施工所用的砂、石子、水泥等原材料要符合要求。</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施工方案</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施工放线</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放出路基边沟和排水沟的位置中轴线，并测出相应标高，标出里程桩号及标高。用白灰或线绳拉出沟的相应轮廓线，示出相应的开挖深度。</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14:textFill>
                  <w14:solidFill>
                    <w14:schemeClr w14:val="tx1"/>
                  </w14:solidFill>
                </w14:textFill>
              </w:rPr>
              <w:t>基槽开挖</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根据相应的轮廓线，放好边沟沟底沟沿边线，利用人工配合挖掘机开挖，自卸汽车运输，开挖至距设计尺寸10-15cm时，改以人工挖掘，人工修整至设计尺寸。</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14:textFill>
                  <w14:solidFill>
                    <w14:schemeClr w14:val="tx1"/>
                  </w14:solidFill>
                </w14:textFill>
              </w:rPr>
              <w:t>清底报验</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基槽开挖完毕后，首先进行自检，互检，合格后，由项目部报请现场监理工程师进行检验，在全部检验合格后，方准进行水沟的砼浇筑工作。</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rFonts w:hint="default"/>
                <w:color w:val="000000" w:themeColor="text1"/>
                <w:highlight w:val="none"/>
                <w14:textFill>
                  <w14:solidFill>
                    <w14:schemeClr w14:val="tx1"/>
                  </w14:solidFill>
                </w14:textFill>
              </w:rPr>
              <w:t>模板安装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模板安装时，要求模板表面光滑平顺、尺寸准确、接缝严密、无错台，具有足够的强度、稳定性。内模应仔细涂刷脱模剂</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3的柴机油</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要求脱模剂涂刷均匀，既不聚成团状，也不成股下流为宜，以保证浇筑砼以后外观颜色一致。模板安装完毕后，对其平面位置、顶部高程、模板接缝、支撑加固、模板线型等进行全面检查，报监理工程师签证合格后，方可进行下道工序施工。</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rFonts w:hint="default"/>
                <w:color w:val="000000" w:themeColor="text1"/>
                <w:highlight w:val="none"/>
                <w14:textFill>
                  <w14:solidFill>
                    <w14:schemeClr w14:val="tx1"/>
                  </w14:solidFill>
                </w14:textFill>
              </w:rPr>
              <w:t>混凝土运输、浇筑</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砼运输采用自卸三轮车，用人工将砼注入模板内。振捣采用插入式振捣器，振捣过程中要求振点均匀，振捣时间以砼表面泛浆不再下沉，模板侧边无气泡冒出为宜。</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default"/>
                <w:color w:val="000000" w:themeColor="text1"/>
                <w:highlight w:val="none"/>
                <w14:textFill>
                  <w14:solidFill>
                    <w14:schemeClr w14:val="tx1"/>
                  </w14:solidFill>
                </w14:textFill>
              </w:rPr>
              <w:t>混凝土养护</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在混凝土浇筑后7-10天内，要始终保持混凝土表面的湿润。养生采用塑料薄膜包裹，每天保证浇水二次以上，天热时适当增加洒水次数，以混凝土表面保持湿润状态为宜。</w:t>
            </w:r>
          </w:p>
          <w:p>
            <w:pPr>
              <w:pStyle w:val="6"/>
              <w:widowControl/>
              <w:suppressLineNumbers w:val="0"/>
              <w:shd w:val="clear"/>
              <w:bidi w:val="0"/>
              <w:ind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3.2.5</w:t>
            </w:r>
            <w:r>
              <w:rPr>
                <w:rFonts w:hint="default" w:cs="Times New Roman"/>
                <w:color w:val="000000" w:themeColor="text1"/>
                <w:szCs w:val="20"/>
                <w:highlight w:val="none"/>
                <w14:textFill>
                  <w14:solidFill>
                    <w14:schemeClr w14:val="tx1"/>
                  </w14:solidFill>
                </w14:textFill>
              </w:rPr>
              <w:t>防护工程的施工方法</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①防护工程中，挡土墙、护面墙是施工重点。施工前认真核对，熟悉设计图纸，精心选择经试验合格的砌筑材料。</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②防护工程基坑挖至设计高后，即应检平或夯实，满足地基承载力要求方可下基，否则重新处理地基。</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③挡墙砌筑方式，采用分层座浆式砌筑，砌筑上层时，不得振动下层，不得在已砌好的砌体上抛掷、滚动、翻转和敲击石块。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④挡墙砌筑临空面，因高度较大，采取搭设钢管脚手架，布设安全网，确保工程质量和施工安全。</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⑤沉降、伸缩缝贯穿全断面设置，缝内采用沥青麻絮或其它适宜材料沿内、外、顶三边填塞，深度不小于15cm。</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⑥挡墙泄水孔距地面30cm以上交错设置，孔后设反滤层，保证排水通畅、不堵塞。</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⑦墙背回填采用透水性材料，严格按规范分层填筑，分层夯实。</w:t>
            </w:r>
          </w:p>
          <w:p>
            <w:pPr>
              <w:pStyle w:val="6"/>
              <w:widowControl/>
              <w:suppressLineNumbers w:val="0"/>
              <w:shd w:val="clear"/>
              <w:bidi w:val="0"/>
              <w:ind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3.2.6</w:t>
            </w:r>
            <w:r>
              <w:rPr>
                <w:rFonts w:hint="default" w:cs="Times New Roman"/>
                <w:color w:val="000000" w:themeColor="text1"/>
                <w:szCs w:val="20"/>
                <w:highlight w:val="none"/>
                <w14:textFill>
                  <w14:solidFill>
                    <w14:schemeClr w14:val="tx1"/>
                  </w14:solidFill>
                </w14:textFill>
              </w:rPr>
              <w:t>路面工程的施工方法</w:t>
            </w:r>
          </w:p>
          <w:p>
            <w:pPr>
              <w:pStyle w:val="21"/>
              <w:shd w:val="clear"/>
              <w:bidi w:val="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路面结构层为水泥稳定层+水泥混凝土面层，采用拌和</w:t>
            </w:r>
            <w:r>
              <w:rPr>
                <w:rFonts w:hint="eastAsia"/>
                <w:color w:val="000000" w:themeColor="text1"/>
                <w:highlight w:val="none"/>
                <w:lang w:val="en-US" w:eastAsia="zh-CN"/>
                <w14:textFill>
                  <w14:solidFill>
                    <w14:schemeClr w14:val="tx1"/>
                  </w14:solidFill>
                </w14:textFill>
              </w:rPr>
              <w:t>厂</w:t>
            </w:r>
            <w:r>
              <w:rPr>
                <w:rFonts w:hint="default"/>
                <w:color w:val="000000" w:themeColor="text1"/>
                <w:highlight w:val="none"/>
                <w14:textFill>
                  <w14:solidFill>
                    <w14:schemeClr w14:val="tx1"/>
                  </w14:solidFill>
                </w14:textFill>
              </w:rPr>
              <w:t>内拌和，汽车运输，人工摊铺施工</w:t>
            </w:r>
            <w:r>
              <w:rPr>
                <w:rFonts w:hint="eastAsia"/>
                <w:color w:val="000000" w:themeColor="text1"/>
                <w:highlight w:val="none"/>
                <w:lang w:eastAsia="zh-CN"/>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在浇筑混凝土面层前，应将监理工程师认可的基层表面上的浮土杂物予以清除，并进行必要的修整。模板宜采用钢模板，模板应连接牢固、紧密，不允许漏浆，并应按要求的坡度和线向安设。</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混凝土混合料应采用机械摊铺。摊铺机摊铺时应以缓慢的速度均匀地进行，以保证摊铺机的连续操作。</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对混合料的振捣，每一位置的持续时间，应以混合料停止下沉，不再冒气泡并泛出砂浆为准，不宜过振。振捣时应辅以人工找平，并应随时检查模板有无下沉、变形或松动。</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摊铺平整后采用真空吸水工艺，能提高混凝土在未凝结硬化前的表层结构强度，能有效地防治表面缩裂和防冻等性能，缩短整平、抹面、拉毛、拆模工序的间隔时间。</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混凝土板做面完毕，应及时养生。养生应根据现场情况和条件选用土工布养护。</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纵向缩缝应平行于路中心线，并按图纸要求的位置设置。且应采用切缝法。在混凝土强度达到设计强度的25%~30%时，用切缝机切割，切割产生的粉末在其干燥前清除干净。纵向缩缝设置拉杆时，拉杆按照设计要求，采用螺纹钢筋，并应设置在板厚中央。</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横向施工缝，每天工作结束</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工作班</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或浇筑工序中断超过30min混凝土已初凝时，应设置平接横向施工缝。其位置宜与胀缝设计位置吻合，与路面中心线垂直。平面交叉</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多车道</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路面的施工缝应避免设在同一横断面上。</w:t>
            </w:r>
          </w:p>
          <w:p>
            <w:pPr>
              <w:pStyle w:val="6"/>
              <w:widowControl/>
              <w:suppressLineNumbers w:val="0"/>
              <w:shd w:val="clear"/>
              <w:bidi w:val="0"/>
              <w:ind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3.2.6</w:t>
            </w:r>
            <w:r>
              <w:rPr>
                <w:rFonts w:hint="eastAsia" w:cs="Times New Roman"/>
                <w:color w:val="000000" w:themeColor="text1"/>
                <w:szCs w:val="20"/>
                <w:highlight w:val="none"/>
                <w:lang w:eastAsia="zh-CN"/>
                <w14:textFill>
                  <w14:solidFill>
                    <w14:schemeClr w14:val="tx1"/>
                  </w14:solidFill>
                </w14:textFill>
              </w:rPr>
              <w:t>波形护栏</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钢护栏立柱放样</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①立柱应根指设计图纸进行放样</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并以桥梁、通道、涵洞、立交、平交等为控制点</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进行测距定位</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可利用调整段调节间距</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并利用分配方法处观间距零头数。</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②为准确放样和保证护栏的线形</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陽段进行桩号复核和闭合。</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③立柱放样后</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应调查每根立柱位置的地表状态</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如通地下通讯管线、泄水等</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求涵洞顶部埋深度不是时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应调某些立柱的位置</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歌变立柱固定方式。</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钢护栏立柱安装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①根指设计图纸进行立柱钻孔</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并检查使之与道路线形相协调。</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②如路肩本况允许</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采用打入法设置立桩</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施工时应情确定位</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立柱打入土中应至设计深度</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当打入过深时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不得只将立柱部拔出加以矫正</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而须将其全部拔出</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待基础压实后重新打入。</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③立柱打入困难时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可采用钻孔法或开挖法安装立柱。采用钻孔法安装</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立柱定位后应与路基相同的材料回填</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并分层亦填密实采用开挖法设立柱</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回填土应采用良好的材料并分夯实(每层享不超过15cm)</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回填土的压实度不应小于相邻原状土。</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④设置于村造物中的护栏立柱</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施工一般在结构物施工对已做好砼基础</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采用预留孔基础附</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应先膏除孔内杂物</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吸千孔内积水化好的沥青在孔底涂一遍</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然后放入立柱</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控制好标高。即可在立柱周围注砂。在灌砂时一定要保持立柱的正确位置和垂直度。把砂振实后</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即可用沥青封口</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防止雨水漏入孔内。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⑤沥青路面段的立柱施工时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柱抗从路基到面层下5cm采用与路基相同的材料回填并分层夯实</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余下部分采用与路面相同材料回揍并夯实。</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⑥立柱安装就位后</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其水平方向和坚直方向形成平顺的线形。</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⑦渐变段的部护栏施工时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应按设计规定的坐标严格控制英柱位置</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注意抛物线形。</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波形梁安装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①波形梁安装时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通过拼接螺栓相互拼接</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并连接螺栓固定于立柱或横梁上。波形梁拼接方向是安装的关键</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施工时保证搭接方向应与行车方向一致。</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②波形梁在安装过程中应不断进行调整</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因此连接螺检及拼接螺栓不宜过早拧紧</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以便在安装过移中利用波形梁的长圆孔及时进行调整</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使其形成平顺的线形</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避免局部凹凸。</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③安装时波形梁顶面应与道路坚曲统相协调。并检查护栏的线形</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当确定线形比软直顺和流畅时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方可最后拧紧螺检。</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防阻块安装</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阻块能防止立柱阻拌车轮</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避免护栏局部受力和碰撞时享辆减速</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因此</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应保证使其准确就位</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在安装调整之前</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即可安装防阻块</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防阻块通过追接爆检国定于立柱之间</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最后把波形梁装上并进行统调整。</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波形梁钢护栏起、终端头安装路</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侧护栏开口处应安装端头梁并进行锚固。端头锚固主要包括钢丝绳链固件及混爱土基础。在端部基础混凝土设计强度达到50%以后方可拧紧螺检或固定缆索。</w:t>
            </w:r>
          </w:p>
          <w:p>
            <w:pPr>
              <w:pStyle w:val="6"/>
              <w:widowControl/>
              <w:suppressLineNumbers w:val="0"/>
              <w:shd w:val="clear"/>
              <w:bidi w:val="0"/>
              <w:ind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3.2.7</w:t>
            </w:r>
            <w:r>
              <w:rPr>
                <w:rFonts w:hint="default"/>
                <w:color w:val="000000" w:themeColor="text1"/>
                <w:szCs w:val="20"/>
                <w:highlight w:val="none"/>
                <w:lang w:val="en-US" w:eastAsia="zh-CN"/>
                <w14:textFill>
                  <w14:solidFill>
                    <w14:schemeClr w14:val="tx1"/>
                  </w14:solidFill>
                </w14:textFill>
              </w:rPr>
              <w:t>涵洞</w:t>
            </w:r>
            <w:r>
              <w:rPr>
                <w:rFonts w:hint="eastAsia"/>
                <w:color w:val="000000" w:themeColor="text1"/>
                <w:szCs w:val="20"/>
                <w:highlight w:val="none"/>
                <w:lang w:val="en-US" w:eastAsia="zh-CN"/>
                <w14:textFill>
                  <w14:solidFill>
                    <w14:schemeClr w14:val="tx1"/>
                  </w14:solidFill>
                </w14:textFill>
              </w:rPr>
              <w:t>施工</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管节分标准管节和调整长度的辅助管节，标准管节长1m，机动管节长0.5m。</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管节采用平口接头填缝，具体构造：节间缝隙以及与旧涵连接部分采用沥青浸过的麻絮填塞，外面圈裹两道满涂热沥青的油毛毡或四层沥青浸制麻布，粗铅丝绑扎固定。</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路面车辆活荷载对涵顶的压力按30°角进行分布；填土内摩擦角为35°，土容重18KN/m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lang w:val="en-US" w:eastAsia="zh-CN"/>
                <w14:textFill>
                  <w14:solidFill>
                    <w14:schemeClr w14:val="tx1"/>
                  </w14:solidFill>
                </w14:textFill>
              </w:rPr>
              <w:t>涵台的计算按四铰框架模式进行。</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涵洞过水流量按无压力式涵洞设计。</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涵身荷载：涵身所受恒载包括涵身自重、涵身侧面及其顶面填土的压力，而不计算涵内流水的荷载。涵身所受活载的考虑，涵顶填土高度小于0.5m按45度角扩散车轮的荷载，并计入冲击力。土的容重按1.8t/m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计，侧向静土压力的土压力系数按0.4计。</w:t>
            </w:r>
          </w:p>
          <w:p>
            <w:pPr>
              <w:pStyle w:val="6"/>
              <w:widowControl/>
              <w:suppressLineNumbers w:val="0"/>
              <w:shd w:val="clear"/>
              <w:bidi w:val="0"/>
              <w:ind w:right="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3.2.8</w:t>
            </w:r>
            <w:r>
              <w:rPr>
                <w:rFonts w:hint="eastAsia"/>
                <w:color w:val="000000" w:themeColor="text1"/>
                <w:szCs w:val="20"/>
                <w:highlight w:val="none"/>
                <w14:textFill>
                  <w14:solidFill>
                    <w14:schemeClr w14:val="tx1"/>
                  </w14:solidFill>
                </w14:textFill>
              </w:rPr>
              <w:t>栈桥</w:t>
            </w:r>
            <w:r>
              <w:rPr>
                <w:rFonts w:hint="eastAsia"/>
                <w:color w:val="000000" w:themeColor="text1"/>
                <w:szCs w:val="20"/>
                <w:highlight w:val="none"/>
                <w:lang w:val="en-US" w:eastAsia="zh-CN"/>
                <w14:textFill>
                  <w14:solidFill>
                    <w14:schemeClr w14:val="tx1"/>
                  </w14:solidFill>
                </w14:textFill>
              </w:rPr>
              <w:t>施工</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本项目Y869透溪线</w:t>
            </w:r>
            <w:r>
              <w:rPr>
                <w:rFonts w:hint="eastAsia"/>
                <w:color w:val="000000" w:themeColor="text1"/>
                <w:highlight w:val="none"/>
                <w:lang w:val="en-US" w:eastAsia="zh-CN"/>
                <w14:textFill>
                  <w14:solidFill>
                    <w14:schemeClr w14:val="tx1"/>
                  </w14:solidFill>
                </w14:textFill>
              </w:rPr>
              <w:t>路右</w:t>
            </w:r>
            <w:r>
              <w:rPr>
                <w:rFonts w:hint="default"/>
                <w:color w:val="000000" w:themeColor="text1"/>
                <w:highlight w:val="none"/>
                <w:lang w:val="en-US" w:eastAsia="zh-CN"/>
                <w14:textFill>
                  <w14:solidFill>
                    <w14:schemeClr w14:val="tx1"/>
                  </w14:solidFill>
                </w14:textFill>
              </w:rPr>
              <w:t>沿着河流展线，遇到</w:t>
            </w:r>
            <w:r>
              <w:rPr>
                <w:rFonts w:hint="eastAsia"/>
                <w:color w:val="000000" w:themeColor="text1"/>
                <w:highlight w:val="none"/>
                <w:lang w:val="en-US" w:eastAsia="zh-CN"/>
                <w14:textFill>
                  <w14:solidFill>
                    <w14:schemeClr w14:val="tx1"/>
                  </w14:solidFill>
                </w14:textFill>
              </w:rPr>
              <w:t>路左</w:t>
            </w:r>
            <w:r>
              <w:rPr>
                <w:rFonts w:hint="default"/>
                <w:color w:val="000000" w:themeColor="text1"/>
                <w:highlight w:val="none"/>
                <w:lang w:val="en-US" w:eastAsia="zh-CN"/>
                <w14:textFill>
                  <w14:solidFill>
                    <w14:schemeClr w14:val="tx1"/>
                  </w14:solidFill>
                </w14:textFill>
              </w:rPr>
              <w:t>民房地段需向右河流侧拓宽，为不侵占河道采用栈桥架空处理，共设2处共计90米</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分别位于K1+327.2~K1+357.2及K1+361.7~K1+421.1两处</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栈桥采用简支板结构，一侧搭在原河岸挡墙上，另一侧设立柱支撑，立柱上设盖梁，立柱间距一般为5m。施工时应将原河岸挡墙拆除或加高至设计标高，整平后再浇筑台帽。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栈桥端部用挡墙与路基连接，端部横向设端墙支挡路基填土。栈桥部位原有些下行的人行踏步，施作栈桥时被占用需拆除，栈桥施工后在端部处设置踏步，以满足沿线群众生活需求。</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立柱、盖梁及简支板均采用C30砼现浇，台帽C25砼现浇，端墙采用C20砼，人行踏步采用M7.5浆砌片石。</w:t>
            </w:r>
          </w:p>
          <w:p>
            <w:pPr>
              <w:pStyle w:val="21"/>
              <w:shd w:val="clear"/>
              <w:bidi w:val="0"/>
              <w:rPr>
                <w:rFonts w:hint="default"/>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56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其他</w:t>
            </w:r>
          </w:p>
        </w:tc>
        <w:tc>
          <w:tcPr>
            <w:tcW w:w="7956" w:type="dxa"/>
            <w:noWrap w:val="0"/>
            <w:vAlign w:val="center"/>
          </w:tcPr>
          <w:p>
            <w:pPr>
              <w:keepNext w:val="0"/>
              <w:keepLines w:val="0"/>
              <w:suppressLineNumbers w:val="0"/>
              <w:shd w:val="clear"/>
              <w:spacing w:before="0" w:beforeAutospacing="0" w:after="0" w:afterAutospacing="0"/>
              <w:ind w:left="0" w:right="0"/>
              <w:jc w:val="center"/>
              <w:rPr>
                <w:rFonts w:hint="default"/>
                <w:color w:val="000000" w:themeColor="text1"/>
                <w:highlight w:val="none"/>
                <w14:textFill>
                  <w14:solidFill>
                    <w14:schemeClr w14:val="tx1"/>
                  </w14:solidFill>
                </w14:textFill>
              </w:rPr>
            </w:pPr>
          </w:p>
          <w:p>
            <w:pPr>
              <w:pStyle w:val="4"/>
              <w:numPr>
                <w:ilvl w:val="0"/>
                <w:numId w:val="8"/>
              </w:numPr>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选线比选方案</w:t>
            </w:r>
          </w:p>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选线比选情况如</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_Ref1166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表15</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所示，选线比选线路图如</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_Ref1139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图2</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p>
          <w:p>
            <w:pPr>
              <w:pStyle w:val="21"/>
              <w:shd w:val="clear"/>
              <w:bidi w:val="0"/>
              <w:rPr>
                <w:rFonts w:hint="default"/>
                <w:color w:val="000000" w:themeColor="text1"/>
                <w:highlight w:val="none"/>
                <w:lang w:val="en-US" w:eastAsia="zh-CN"/>
                <w14:textFill>
                  <w14:solidFill>
                    <w14:schemeClr w14:val="tx1"/>
                  </w14:solidFill>
                </w14:textFill>
              </w:rPr>
            </w:pPr>
          </w:p>
          <w:p>
            <w:pPr>
              <w:pStyle w:val="21"/>
              <w:shd w:val="clear"/>
              <w:bidi w:val="0"/>
              <w:rPr>
                <w:rFonts w:hint="default"/>
                <w:color w:val="000000" w:themeColor="text1"/>
                <w:highlight w:val="none"/>
                <w:lang w:val="en-US" w:eastAsia="zh-CN"/>
                <w14:textFill>
                  <w14:solidFill>
                    <w14:schemeClr w14:val="tx1"/>
                  </w14:solidFill>
                </w14:textFill>
              </w:rPr>
            </w:pPr>
          </w:p>
          <w:p>
            <w:pPr>
              <w:pStyle w:val="21"/>
              <w:shd w:val="clear"/>
              <w:bidi w:val="0"/>
              <w:rPr>
                <w:rFonts w:hint="default"/>
                <w:color w:val="000000" w:themeColor="text1"/>
                <w:highlight w:val="none"/>
                <w:lang w:val="en-US" w:eastAsia="zh-CN"/>
                <w14:textFill>
                  <w14:solidFill>
                    <w14:schemeClr w14:val="tx1"/>
                  </w14:solidFill>
                </w14:textFill>
              </w:rPr>
            </w:pPr>
          </w:p>
          <w:p>
            <w:pPr>
              <w:pStyle w:val="21"/>
              <w:shd w:val="clear"/>
              <w:bidi w:val="0"/>
              <w:rPr>
                <w:rFonts w:hint="default"/>
                <w:color w:val="000000" w:themeColor="text1"/>
                <w:highlight w:val="none"/>
                <w:lang w:val="en-US" w:eastAsia="zh-CN"/>
                <w14:textFill>
                  <w14:solidFill>
                    <w14:schemeClr w14:val="tx1"/>
                  </w14:solidFill>
                </w14:textFill>
              </w:rPr>
            </w:pPr>
          </w:p>
          <w:p>
            <w:pPr>
              <w:pStyle w:val="18"/>
              <w:keepNext w:val="0"/>
              <w:keepLines w:val="0"/>
              <w:suppressLineNumbers w:val="0"/>
              <w:shd w:val="clear"/>
              <w:bidi w:val="0"/>
              <w:spacing w:before="0" w:beforeAutospacing="0" w:after="0" w:afterAutospacing="0"/>
              <w:ind w:right="0"/>
              <w:rPr>
                <w:rFonts w:hint="default" w:eastAsia="宋体"/>
                <w:color w:val="000000" w:themeColor="text1"/>
                <w:highlight w:val="none"/>
                <w:lang w:val="en-US" w:eastAsia="zh-CN"/>
                <w14:textFill>
                  <w14:solidFill>
                    <w14:schemeClr w14:val="tx1"/>
                  </w14:solidFill>
                </w14:textFill>
              </w:rPr>
            </w:pPr>
            <w:bookmarkStart w:id="3" w:name="_Ref5023"/>
            <w:bookmarkStart w:id="4" w:name="_Ref1166"/>
            <w:r>
              <w:rPr>
                <w:rFonts w:hint="eastAsia"/>
                <w:color w:val="000000" w:themeColor="text1"/>
                <w:highlight w:val="none"/>
                <w:lang w:val="en-US" w:eastAsia="zh-CN"/>
                <w14:textFill>
                  <w14:solidFill>
                    <w14:schemeClr w14:val="tx1"/>
                  </w14:solidFill>
                </w14:textFill>
              </w:rPr>
              <w:t>线路选线</w:t>
            </w:r>
            <w:r>
              <w:rPr>
                <w:rStyle w:val="26"/>
                <w:rFonts w:hint="eastAsia"/>
                <w:b/>
                <w:color w:val="000000" w:themeColor="text1"/>
                <w:highlight w:val="none"/>
                <w:lang w:val="en-US" w:eastAsia="zh-CN"/>
                <w14:textFill>
                  <w14:solidFill>
                    <w14:schemeClr w14:val="tx1"/>
                  </w14:solidFill>
                </w14:textFill>
              </w:rPr>
              <w:t>比</w:t>
            </w:r>
            <w:r>
              <w:rPr>
                <w:rFonts w:hint="eastAsia"/>
                <w:color w:val="000000" w:themeColor="text1"/>
                <w:highlight w:val="none"/>
                <w:lang w:val="en-US" w:eastAsia="zh-CN"/>
                <w14:textFill>
                  <w14:solidFill>
                    <w14:schemeClr w14:val="tx1"/>
                  </w14:solidFill>
                </w14:textFill>
              </w:rPr>
              <w:t>较方案</w:t>
            </w:r>
            <w:bookmarkEnd w:id="3"/>
            <w:bookmarkEnd w:id="4"/>
          </w:p>
          <w:tbl>
            <w:tblPr>
              <w:tblStyle w:val="13"/>
              <w:tblW w:w="4962" w:type="pct"/>
              <w:tblInd w:w="0" w:type="dxa"/>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Layout w:type="autofit"/>
              <w:tblCellMar>
                <w:top w:w="0" w:type="dxa"/>
                <w:left w:w="0" w:type="dxa"/>
                <w:bottom w:w="0" w:type="dxa"/>
                <w:right w:w="0" w:type="dxa"/>
              </w:tblCellMar>
            </w:tblPr>
            <w:tblGrid>
              <w:gridCol w:w="1167"/>
              <w:gridCol w:w="2232"/>
              <w:gridCol w:w="2137"/>
              <w:gridCol w:w="2130"/>
            </w:tblGrid>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19" w:hRule="atLeast"/>
              </w:trPr>
              <w:tc>
                <w:tcPr>
                  <w:tcW w:w="761" w:type="pct"/>
                  <w:tcBorders>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项</w:t>
                  </w:r>
                  <w:r>
                    <w:rPr>
                      <w:rFonts w:hint="default" w:cs="Times New Roman"/>
                      <w:color w:val="000000" w:themeColor="text1"/>
                      <w:szCs w:val="20"/>
                      <w:highlight w:val="none"/>
                      <w14:textFill>
                        <w14:solidFill>
                          <w14:schemeClr w14:val="tx1"/>
                        </w14:solidFill>
                      </w14:textFill>
                    </w:rPr>
                    <w:tab/>
                  </w:r>
                  <w:r>
                    <w:rPr>
                      <w:rFonts w:hint="default" w:cs="Times New Roman"/>
                      <w:color w:val="000000" w:themeColor="text1"/>
                      <w:szCs w:val="20"/>
                      <w:highlight w:val="none"/>
                      <w14:textFill>
                        <w14:solidFill>
                          <w14:schemeClr w14:val="tx1"/>
                        </w14:solidFill>
                      </w14:textFill>
                    </w:rPr>
                    <w:t>目</w:t>
                  </w:r>
                </w:p>
              </w:tc>
              <w:tc>
                <w:tcPr>
                  <w:tcW w:w="1455" w:type="pc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方案</w:t>
                  </w:r>
                  <w:r>
                    <w:rPr>
                      <w:rFonts w:hint="eastAsia" w:cs="Times New Roman"/>
                      <w:color w:val="000000" w:themeColor="text1"/>
                      <w:szCs w:val="20"/>
                      <w:highlight w:val="none"/>
                      <w:lang w:val="en-US" w:eastAsia="zh-CN"/>
                      <w14:textFill>
                        <w14:solidFill>
                          <w14:schemeClr w14:val="tx1"/>
                        </w14:solidFill>
                      </w14:textFill>
                    </w:rPr>
                    <w:t>一</w:t>
                  </w:r>
                </w:p>
              </w:tc>
              <w:tc>
                <w:tcPr>
                  <w:tcW w:w="1393" w:type="pc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方案</w:t>
                  </w:r>
                  <w:r>
                    <w:rPr>
                      <w:rFonts w:hint="eastAsia" w:cs="Times New Roman"/>
                      <w:color w:val="000000" w:themeColor="text1"/>
                      <w:szCs w:val="20"/>
                      <w:highlight w:val="none"/>
                      <w:lang w:val="en-US" w:eastAsia="zh-CN"/>
                      <w14:textFill>
                        <w14:solidFill>
                          <w14:schemeClr w14:val="tx1"/>
                        </w14:solidFill>
                      </w14:textFill>
                    </w:rPr>
                    <w:t>二</w:t>
                  </w:r>
                </w:p>
              </w:tc>
              <w:tc>
                <w:tcPr>
                  <w:tcW w:w="1389" w:type="pct"/>
                  <w:tcBorders>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eastAsia"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方案三</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8" w:hRule="atLeast"/>
              </w:trPr>
              <w:tc>
                <w:tcPr>
                  <w:tcW w:w="761" w:type="pct"/>
                  <w:tcBorders>
                    <w:top w:val="single" w:color="000000" w:sz="4" w:space="0"/>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路径长度</w:t>
                  </w:r>
                </w:p>
              </w:tc>
              <w:tc>
                <w:tcPr>
                  <w:tcW w:w="145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3105</w:t>
                  </w:r>
                  <w:r>
                    <w:rPr>
                      <w:rFonts w:hint="default" w:cs="Times New Roman"/>
                      <w:color w:val="000000" w:themeColor="text1"/>
                      <w:szCs w:val="20"/>
                      <w:highlight w:val="none"/>
                      <w14:textFill>
                        <w14:solidFill>
                          <w14:schemeClr w14:val="tx1"/>
                        </w14:solidFill>
                      </w14:textFill>
                    </w:rPr>
                    <w:t>m</w:t>
                  </w:r>
                </w:p>
              </w:tc>
              <w:tc>
                <w:tcPr>
                  <w:tcW w:w="139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2948m</w:t>
                  </w:r>
                </w:p>
              </w:tc>
              <w:tc>
                <w:tcPr>
                  <w:tcW w:w="1389"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2164m</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8" w:hRule="atLeast"/>
              </w:trPr>
              <w:tc>
                <w:tcPr>
                  <w:tcW w:w="761" w:type="pct"/>
                  <w:tcBorders>
                    <w:top w:val="single" w:color="000000" w:sz="4" w:space="0"/>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占地</w:t>
                  </w:r>
                  <w:r>
                    <w:rPr>
                      <w:rFonts w:hint="default" w:cs="Times New Roman"/>
                      <w:color w:val="000000" w:themeColor="text1"/>
                      <w:szCs w:val="20"/>
                      <w:highlight w:val="none"/>
                      <w14:textFill>
                        <w14:solidFill>
                          <w14:schemeClr w14:val="tx1"/>
                        </w14:solidFill>
                      </w14:textFill>
                    </w:rPr>
                    <w:t>现状</w:t>
                  </w:r>
                </w:p>
              </w:tc>
              <w:tc>
                <w:tcPr>
                  <w:tcW w:w="145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90%为山地，10%为茶园，没有利用旧路</w:t>
                  </w:r>
                </w:p>
              </w:tc>
              <w:tc>
                <w:tcPr>
                  <w:tcW w:w="139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60.1%为山地、33.8%为旧路、6.1%为茶园，旧路利用度较大</w:t>
                  </w:r>
                </w:p>
              </w:tc>
              <w:tc>
                <w:tcPr>
                  <w:tcW w:w="1389"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95%为山地，5%为茶园，没有利用旧路</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61" w:type="pct"/>
                  <w:tcBorders>
                    <w:top w:val="single" w:color="000000" w:sz="4" w:space="0"/>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施工难度</w:t>
                  </w:r>
                </w:p>
              </w:tc>
              <w:tc>
                <w:tcPr>
                  <w:tcW w:w="145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都是山地</w:t>
                  </w:r>
                  <w:r>
                    <w:rPr>
                      <w:rFonts w:hint="default" w:cs="Times New Roman"/>
                      <w:color w:val="000000" w:themeColor="text1"/>
                      <w:szCs w:val="20"/>
                      <w:highlight w:val="none"/>
                      <w14:textFill>
                        <w14:solidFill>
                          <w14:schemeClr w14:val="tx1"/>
                        </w14:solidFill>
                      </w14:textFill>
                    </w:rPr>
                    <w:t>，施工难度大</w:t>
                  </w:r>
                </w:p>
              </w:tc>
              <w:tc>
                <w:tcPr>
                  <w:tcW w:w="139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挨着旧路施工，施工条件较好，施工难度一般</w:t>
                  </w:r>
                </w:p>
              </w:tc>
              <w:tc>
                <w:tcPr>
                  <w:tcW w:w="1389"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基本为山地，且多为陡坡，施工难度大</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8" w:hRule="atLeast"/>
              </w:trPr>
              <w:tc>
                <w:tcPr>
                  <w:tcW w:w="761" w:type="pct"/>
                  <w:tcBorders>
                    <w:top w:val="single" w:color="000000" w:sz="4" w:space="0"/>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穿越饮用水源保护区情况</w:t>
                  </w:r>
                </w:p>
              </w:tc>
              <w:tc>
                <w:tcPr>
                  <w:tcW w:w="145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穿越3处水源保护区，穿越路段约453m</w:t>
                  </w:r>
                </w:p>
              </w:tc>
              <w:tc>
                <w:tcPr>
                  <w:tcW w:w="139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全线位于山前水厂水源保护区二级陆域范围</w:t>
                  </w:r>
                </w:p>
              </w:tc>
              <w:tc>
                <w:tcPr>
                  <w:tcW w:w="1389"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不穿越水源保护区</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8" w:hRule="atLeast"/>
              </w:trPr>
              <w:tc>
                <w:tcPr>
                  <w:tcW w:w="761" w:type="pct"/>
                  <w:tcBorders>
                    <w:top w:val="single" w:color="000000" w:sz="4" w:space="0"/>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穿越生态红线情况</w:t>
                  </w:r>
                </w:p>
              </w:tc>
              <w:tc>
                <w:tcPr>
                  <w:tcW w:w="145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穿越2处生态保护红线，穿越路段约254m</w:t>
                  </w:r>
                </w:p>
              </w:tc>
              <w:tc>
                <w:tcPr>
                  <w:tcW w:w="139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不穿越生态保护红线</w:t>
                  </w:r>
                </w:p>
              </w:tc>
              <w:tc>
                <w:tcPr>
                  <w:tcW w:w="1389"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穿越1处生态保护红线，穿越路段约10m</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8" w:hRule="atLeast"/>
              </w:trPr>
              <w:tc>
                <w:tcPr>
                  <w:tcW w:w="761" w:type="pct"/>
                  <w:tcBorders>
                    <w:top w:val="single" w:color="000000" w:sz="4" w:space="0"/>
                    <w:left w:val="nil"/>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对生态影响</w:t>
                  </w:r>
                </w:p>
              </w:tc>
              <w:tc>
                <w:tcPr>
                  <w:tcW w:w="145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林地占用较多，砍伐植被多，水土流失量大</w:t>
                  </w:r>
                </w:p>
              </w:tc>
              <w:tc>
                <w:tcPr>
                  <w:tcW w:w="139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旧路利用率较高，水土流失量较小</w:t>
                  </w:r>
                </w:p>
              </w:tc>
              <w:tc>
                <w:tcPr>
                  <w:tcW w:w="1389"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林地占用较多，砍伐植被多，水土流失影响大</w:t>
                  </w:r>
                </w:p>
              </w:tc>
            </w:tr>
            <w:tr>
              <w:tblPrEx>
                <w:tblBorders>
                  <w:top w:val="single" w:color="000000" w:sz="12" w:space="0"/>
                  <w:left w:val="single" w:color="000000" w:sz="12"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61" w:type="pct"/>
                  <w:tcBorders>
                    <w:top w:val="single" w:color="000000" w:sz="4" w:space="0"/>
                    <w:left w:val="nil"/>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综合评价</w:t>
                  </w:r>
                </w:p>
              </w:tc>
              <w:tc>
                <w:tcPr>
                  <w:tcW w:w="1455"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穿越饮用水源保护区较少，但会穿越生态保护红线；且旧路利用率小，都是山地，造成水土流失较大，施工难度大</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不推荐</w:t>
                  </w:r>
                </w:p>
              </w:tc>
              <w:tc>
                <w:tcPr>
                  <w:tcW w:w="1393"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全线位于饮用水源保护区，水源风险大，但旧路利用率大，不穿越生态保护红线，且做好措施的前提下对饮用水源保护区的影响较小。推荐</w:t>
                  </w:r>
                </w:p>
              </w:tc>
              <w:tc>
                <w:tcPr>
                  <w:tcW w:w="1389" w:type="pct"/>
                  <w:tcBorders>
                    <w:top w:val="single" w:color="000000" w:sz="4" w:space="0"/>
                    <w:left w:val="single" w:color="000000" w:sz="4" w:space="0"/>
                  </w:tcBorders>
                  <w:vAlign w:val="center"/>
                </w:tcPr>
                <w:p>
                  <w:pPr>
                    <w:pStyle w:val="1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不穿越水源保护区，但会穿越生态保护红线；且施工难度大，林地占用较多，水土流失量较大。不推荐</w:t>
                  </w:r>
                </w:p>
              </w:tc>
            </w:tr>
          </w:tbl>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综合比较，方案二虽然全线位于二级水源保护区陆域范围，但是不涉及生态红线，旧路利用率大，林地占用相对较少，水土流失量较少，施工难度较小，在建设单位做好</w:t>
            </w:r>
            <w:r>
              <w:rPr>
                <w:rFonts w:hint="eastAsia"/>
                <w:color w:val="000000" w:themeColor="text1"/>
                <w:highlight w:val="none"/>
                <w:lang w:eastAsia="zh-CN"/>
                <w14:textFill>
                  <w14:solidFill>
                    <w14:schemeClr w14:val="tx1"/>
                  </w14:solidFill>
                </w14:textFill>
              </w:rPr>
              <w:t>水源保护区污染防治及风险防范措施</w:t>
            </w:r>
            <w:r>
              <w:rPr>
                <w:rFonts w:hint="eastAsia"/>
                <w:color w:val="000000" w:themeColor="text1"/>
                <w:highlight w:val="none"/>
                <w:lang w:val="en-US" w:eastAsia="zh-CN"/>
                <w14:textFill>
                  <w14:solidFill>
                    <w14:schemeClr w14:val="tx1"/>
                  </w14:solidFill>
                </w14:textFill>
              </w:rPr>
              <w:t>情况下，对饮用水源影响较小，因此推荐使用方案二。</w:t>
            </w:r>
          </w:p>
          <w:p>
            <w:pPr>
              <w:keepNext w:val="0"/>
              <w:keepLines w:val="0"/>
              <w:suppressLineNumbers w:val="0"/>
              <w:shd w:val="clear"/>
              <w:spacing w:before="0" w:beforeAutospacing="0" w:after="0" w:afterAutospacing="0"/>
              <w:ind w:left="0" w:right="0"/>
              <w:jc w:val="center"/>
              <w:rPr>
                <w:rFonts w:hint="default"/>
                <w:color w:val="000000" w:themeColor="text1"/>
                <w:highlight w:val="no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涉密</w:t>
            </w:r>
          </w:p>
          <w:p>
            <w:pPr>
              <w:pStyle w:val="22"/>
              <w:keepNext w:val="0"/>
              <w:keepLines w:val="0"/>
              <w:widowControl/>
              <w:suppressLineNumbers w:val="0"/>
              <w:shd w:val="clear"/>
              <w:bidi w:val="0"/>
              <w:spacing w:before="0" w:beforeAutospacing="0" w:after="0" w:afterAutospacing="0"/>
              <w:ind w:right="0"/>
              <w:rPr>
                <w:rFonts w:hint="default"/>
                <w:color w:val="000000" w:themeColor="text1"/>
                <w:szCs w:val="20"/>
                <w:highlight w:val="none"/>
                <w:lang w:val="en-US" w:eastAsia="zh-CN"/>
                <w14:textFill>
                  <w14:solidFill>
                    <w14:schemeClr w14:val="tx1"/>
                  </w14:solidFill>
                </w14:textFill>
              </w:rPr>
            </w:pPr>
            <w:bookmarkStart w:id="5" w:name="_Ref1139"/>
            <w:r>
              <w:rPr>
                <w:rFonts w:hint="eastAsia"/>
                <w:color w:val="000000" w:themeColor="text1"/>
                <w:szCs w:val="20"/>
                <w:highlight w:val="none"/>
                <w:lang w:val="en-US" w:eastAsia="zh-CN"/>
                <w14:textFill>
                  <w14:solidFill>
                    <w14:schemeClr w14:val="tx1"/>
                  </w14:solidFill>
                </w14:textFill>
              </w:rPr>
              <w:t>选线比选线路图</w:t>
            </w:r>
            <w:bookmarkEnd w:id="5"/>
          </w:p>
          <w:p>
            <w:pPr>
              <w:pStyle w:val="10"/>
              <w:keepNext w:val="0"/>
              <w:keepLines w:val="0"/>
              <w:suppressLineNumbers w:val="0"/>
              <w:shd w:val="clear"/>
              <w:spacing w:beforeAutospacing="0" w:afterAutospacing="0"/>
              <w:ind w:left="0"/>
              <w:rPr>
                <w:rFonts w:hint="default"/>
                <w:b/>
                <w:bCs/>
                <w:color w:val="000000" w:themeColor="text1"/>
                <w:highlight w:val="none"/>
                <w:lang w:val="en-US" w:eastAsia="zh-CN"/>
                <w14:textFill>
                  <w14:solidFill>
                    <w14:schemeClr w14:val="tx1"/>
                  </w14:solidFill>
                </w14:textFill>
              </w:rPr>
            </w:pPr>
          </w:p>
        </w:tc>
      </w:tr>
    </w:tbl>
    <w:p>
      <w:pPr>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hd w:val="clear"/>
        <w:jc w:val="center"/>
        <w:outlineLvl w:val="0"/>
        <w:rPr>
          <w:rFonts w:ascii="Times New Roman" w:hAnsi="Times New Roman"/>
          <w:snapToGrid w:val="0"/>
          <w:color w:val="000000" w:themeColor="text1"/>
          <w:sz w:val="30"/>
          <w:szCs w:val="30"/>
          <w:highlight w:val="none"/>
          <w14:textFill>
            <w14:solidFill>
              <w14:schemeClr w14:val="tx1"/>
            </w14:solidFill>
          </w14:textFill>
        </w:rPr>
      </w:pPr>
      <w:bookmarkStart w:id="6" w:name="_Toc30399"/>
      <w:bookmarkStart w:id="7" w:name="_Toc2429_WPSOffice_Level1"/>
      <w:r>
        <w:rPr>
          <w:rFonts w:ascii="Times New Roman" w:hAnsi="Times New Roman"/>
          <w:snapToGrid w:val="0"/>
          <w:color w:val="000000" w:themeColor="text1"/>
          <w:sz w:val="30"/>
          <w:szCs w:val="30"/>
          <w:highlight w:val="none"/>
          <w14:textFill>
            <w14:solidFill>
              <w14:schemeClr w14:val="tx1"/>
            </w14:solidFill>
          </w14:textFill>
        </w:rPr>
        <w:t>三、生态环境现状、保护目标及评价标准</w:t>
      </w:r>
      <w:bookmarkEnd w:id="6"/>
      <w:bookmarkEnd w:id="7"/>
    </w:p>
    <w:tbl>
      <w:tblPr>
        <w:tblStyle w:val="13"/>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8" w:hRule="atLeast"/>
          <w:jc w:val="center"/>
        </w:trPr>
        <w:tc>
          <w:tcPr>
            <w:tcW w:w="9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生态环境现状</w:t>
            </w:r>
          </w:p>
        </w:tc>
        <w:tc>
          <w:tcPr>
            <w:tcW w:w="8253" w:type="dxa"/>
            <w:noWrap w:val="0"/>
            <w:vAlign w:val="top"/>
          </w:tcPr>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1.地表水环境现状</w:t>
            </w:r>
          </w:p>
          <w:p>
            <w:pPr>
              <w:keepNext w:val="0"/>
              <w:keepLines w:val="0"/>
              <w:numPr>
                <w:ilvl w:val="0"/>
                <w:numId w:val="0"/>
              </w:numPr>
              <w:suppressLineNumbers w:val="0"/>
              <w:shd w:val="clear"/>
              <w:adjustRightInd w:val="0"/>
              <w:snapToGrid w:val="0"/>
              <w:spacing w:before="0" w:beforeAutospacing="0" w:after="0" w:afterAutospacing="0" w:line="360" w:lineRule="auto"/>
              <w:ind w:left="0" w:right="0" w:firstLine="480" w:firstLineChars="20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为了了解区域水环境质量现状，本评价引用</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福鼎市岙里制水厂水北溪饮用水水源保护区（原山前水厂水源保护区）调整技术报告</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中福建省环境保护股份公司委托福建中凯检测技术有限公司于2020年3月7日</w:t>
            </w:r>
            <w:r>
              <w:rPr>
                <w:rFonts w:hint="default"/>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3月8日对福鼎市岙里制水厂水北溪饮用水水源保护区(原山前水厂水源保护区)水质监测结果。</w:t>
            </w:r>
          </w:p>
          <w:p>
            <w:pPr>
              <w:keepNext w:val="0"/>
              <w:keepLines w:val="0"/>
              <w:numPr>
                <w:ilvl w:val="0"/>
                <w:numId w:val="0"/>
              </w:numPr>
              <w:suppressLineNumbers w:val="0"/>
              <w:shd w:val="clear"/>
              <w:adjustRightInd w:val="0"/>
              <w:snapToGrid w:val="0"/>
              <w:spacing w:before="0" w:beforeAutospacing="0" w:after="0" w:afterAutospacing="0" w:line="360" w:lineRule="auto"/>
              <w:ind w:left="0" w:right="0" w:firstLine="480" w:firstLineChars="20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(1)监测断面与监测因子</w:t>
            </w:r>
          </w:p>
          <w:p>
            <w:pPr>
              <w:keepNext w:val="0"/>
              <w:keepLines w:val="0"/>
              <w:numPr>
                <w:ilvl w:val="0"/>
                <w:numId w:val="0"/>
              </w:numPr>
              <w:suppressLineNumbers w:val="0"/>
              <w:shd w:val="clear"/>
              <w:adjustRightInd w:val="0"/>
              <w:snapToGrid w:val="0"/>
              <w:spacing w:before="0" w:beforeAutospacing="0" w:after="0" w:afterAutospacing="0" w:line="360" w:lineRule="auto"/>
              <w:ind w:left="0" w:right="0" w:firstLine="480" w:firstLineChars="20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监测断面具体位置（附图5）、监测因子见表16。</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地表水监测点位</w:t>
            </w:r>
          </w:p>
          <w:tbl>
            <w:tblPr>
              <w:tblStyle w:val="14"/>
              <w:tblW w:w="0" w:type="auto"/>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83"/>
              <w:gridCol w:w="4521"/>
              <w:gridCol w:w="485"/>
              <w:gridCol w:w="1109"/>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tcBorders>
                    <w:top w:val="single" w:color="000000" w:sz="12" w:space="0"/>
                    <w:bottom w:val="single" w:color="000000" w:sz="6"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监测点位号</w:t>
                  </w:r>
                </w:p>
              </w:tc>
              <w:tc>
                <w:tcPr>
                  <w:tcW w:w="1183" w:type="dxa"/>
                  <w:tcBorders>
                    <w:top w:val="single" w:color="000000" w:sz="12" w:space="0"/>
                    <w:left w:val="single" w:color="000000" w:sz="6" w:space="0"/>
                    <w:bottom w:val="single" w:color="000000" w:sz="6"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具体位置</w:t>
                  </w:r>
                </w:p>
              </w:tc>
              <w:tc>
                <w:tcPr>
                  <w:tcW w:w="4521" w:type="dxa"/>
                  <w:tcBorders>
                    <w:top w:val="single" w:color="000000" w:sz="12" w:space="0"/>
                    <w:left w:val="single" w:color="000000" w:sz="6" w:space="0"/>
                    <w:bottom w:val="single" w:color="000000" w:sz="6"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检测项目</w:t>
                  </w:r>
                </w:p>
              </w:tc>
              <w:tc>
                <w:tcPr>
                  <w:tcW w:w="485" w:type="dxa"/>
                  <w:tcBorders>
                    <w:top w:val="single" w:color="000000" w:sz="12" w:space="0"/>
                    <w:left w:val="single" w:color="000000" w:sz="6" w:space="0"/>
                    <w:bottom w:val="single" w:color="000000"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备注</w:t>
                  </w:r>
                </w:p>
              </w:tc>
              <w:tc>
                <w:tcPr>
                  <w:tcW w:w="1109" w:type="dxa"/>
                  <w:tcBorders>
                    <w:top w:val="single" w:color="000000" w:sz="12" w:space="0"/>
                    <w:left w:val="single" w:color="000000" w:sz="6" w:space="0"/>
                    <w:bottom w:val="single" w:color="000000"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与项目位置关系</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tcBorders>
                    <w:top w:val="single" w:color="000000" w:sz="6" w:space="0"/>
                    <w:bottom w:val="single" w:color="000000" w:sz="6"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W1</w:t>
                  </w:r>
                </w:p>
              </w:tc>
              <w:tc>
                <w:tcPr>
                  <w:tcW w:w="1183" w:type="dxa"/>
                  <w:tcBorders>
                    <w:top w:val="single" w:color="000000" w:sz="6" w:space="0"/>
                    <w:left w:val="single" w:color="000000" w:sz="6" w:space="0"/>
                    <w:bottom w:val="single" w:color="000000" w:sz="6"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高滩桥上游300m处</w:t>
                  </w:r>
                </w:p>
              </w:tc>
              <w:tc>
                <w:tcPr>
                  <w:tcW w:w="4521" w:type="dxa"/>
                  <w:tcBorders>
                    <w:top w:val="single" w:color="000000" w:sz="6" w:space="0"/>
                    <w:left w:val="single" w:color="000000" w:sz="6" w:space="0"/>
                    <w:bottom w:val="single" w:color="000000" w:sz="6"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水温、pH、溶解氧、高猛酸盐指数、COD、BOD5、氨氮、TP、TN、氟化物、氰化物、挥发酚、石油类、阴离子表面活性剂、硫化物、粪大肠菌群</w:t>
                  </w:r>
                </w:p>
              </w:tc>
              <w:tc>
                <w:tcPr>
                  <w:tcW w:w="485" w:type="dxa"/>
                  <w:tcBorders>
                    <w:top w:val="single" w:color="000000" w:sz="6" w:space="0"/>
                    <w:left w:val="single" w:color="000000" w:sz="6" w:space="0"/>
                    <w:bottom w:val="single" w:color="000000"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引用</w:t>
                  </w:r>
                </w:p>
              </w:tc>
              <w:tc>
                <w:tcPr>
                  <w:tcW w:w="1109" w:type="dxa"/>
                  <w:tcBorders>
                    <w:top w:val="single" w:color="000000" w:sz="6" w:space="0"/>
                    <w:left w:val="single" w:color="000000" w:sz="6" w:space="0"/>
                    <w:bottom w:val="single" w:color="000000"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项目下游约3890m</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tcBorders>
                    <w:top w:val="single" w:color="000000" w:sz="6" w:space="0"/>
                    <w:bottom w:val="single" w:color="000000" w:sz="12"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W2</w:t>
                  </w:r>
                </w:p>
              </w:tc>
              <w:tc>
                <w:tcPr>
                  <w:tcW w:w="1183" w:type="dxa"/>
                  <w:tcBorders>
                    <w:top w:val="single" w:color="000000" w:sz="6" w:space="0"/>
                    <w:left w:val="single" w:color="000000" w:sz="6" w:space="0"/>
                    <w:bottom w:val="single" w:color="000000" w:sz="12"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高滩桥上游1300m处</w:t>
                  </w:r>
                </w:p>
              </w:tc>
              <w:tc>
                <w:tcPr>
                  <w:tcW w:w="4521" w:type="dxa"/>
                  <w:tcBorders>
                    <w:top w:val="single" w:color="000000" w:sz="6" w:space="0"/>
                    <w:left w:val="single" w:color="000000" w:sz="6" w:space="0"/>
                    <w:bottom w:val="single" w:color="000000" w:sz="12" w:space="0"/>
                    <w:right w:val="single" w:color="000000"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水温、pH、溶解氧、高猛酸盐指数、COD、BOD5、氨氮、TP、TN、氟化物、氰化物、挥发酚、石油类、阴离子表面活性剂、硫化物、粪大肠菌群</w:t>
                  </w:r>
                </w:p>
              </w:tc>
              <w:tc>
                <w:tcPr>
                  <w:tcW w:w="485" w:type="dxa"/>
                  <w:tcBorders>
                    <w:top w:val="single" w:color="000000" w:sz="6" w:space="0"/>
                    <w:left w:val="single" w:color="000000" w:sz="6" w:space="0"/>
                    <w:bottom w:val="single" w:color="000000" w:sz="12"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引用</w:t>
                  </w:r>
                </w:p>
              </w:tc>
              <w:tc>
                <w:tcPr>
                  <w:tcW w:w="1109" w:type="dxa"/>
                  <w:tcBorders>
                    <w:top w:val="single" w:color="000000" w:sz="6" w:space="0"/>
                    <w:left w:val="single" w:color="000000" w:sz="6" w:space="0"/>
                    <w:bottom w:val="single" w:color="000000" w:sz="12"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项目下游约2890m</w:t>
                  </w:r>
                </w:p>
              </w:tc>
            </w:tr>
          </w:tbl>
          <w:p>
            <w:pPr>
              <w:pStyle w:val="21"/>
              <w:shd w:val="clear"/>
              <w:bidi w:val="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监测时间及频次</w:t>
            </w:r>
          </w:p>
          <w:p>
            <w:pPr>
              <w:pStyle w:val="21"/>
              <w:shd w:val="clear"/>
              <w:bidi w:val="0"/>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引用</w:t>
            </w:r>
            <w:r>
              <w:rPr>
                <w:rFonts w:hint="eastAsia"/>
                <w:color w:val="000000" w:themeColor="text1"/>
                <w:sz w:val="24"/>
                <w:szCs w:val="24"/>
                <w:highlight w:val="none"/>
                <w:lang w:val="en-US" w:eastAsia="zh-CN"/>
                <w14:textFill>
                  <w14:solidFill>
                    <w14:schemeClr w14:val="tx1"/>
                  </w14:solidFill>
                </w14:textFill>
              </w:rPr>
              <w:t>水北溪</w:t>
            </w:r>
            <w:r>
              <w:rPr>
                <w:rFonts w:hint="default"/>
                <w:color w:val="000000" w:themeColor="text1"/>
                <w:sz w:val="24"/>
                <w:szCs w:val="24"/>
                <w:highlight w:val="none"/>
                <w:lang w:val="en-US" w:eastAsia="zh-CN"/>
                <w14:textFill>
                  <w14:solidFill>
                    <w14:schemeClr w14:val="tx1"/>
                  </w14:solidFill>
                </w14:textFill>
              </w:rPr>
              <w:t>监测：共监测</w:t>
            </w:r>
            <w:r>
              <w:rPr>
                <w:rFonts w:hint="eastAsia"/>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lang w:val="en-US" w:eastAsia="zh-CN"/>
                <w14:textFill>
                  <w14:solidFill>
                    <w14:schemeClr w14:val="tx1"/>
                  </w14:solidFill>
                </w14:textFill>
              </w:rPr>
              <w:t>天，每天监测一次</w:t>
            </w:r>
          </w:p>
          <w:p>
            <w:pPr>
              <w:pStyle w:val="21"/>
              <w:shd w:val="clear"/>
              <w:bidi w:val="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地表水水质检测结果及评价</w:t>
            </w:r>
          </w:p>
          <w:p>
            <w:pPr>
              <w:pStyle w:val="21"/>
              <w:shd w:val="clear"/>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①</w:t>
            </w:r>
            <w:r>
              <w:rPr>
                <w:rFonts w:hint="default"/>
                <w:color w:val="000000" w:themeColor="text1"/>
                <w:sz w:val="24"/>
                <w:szCs w:val="24"/>
                <w:highlight w:val="none"/>
                <w14:textFill>
                  <w14:solidFill>
                    <w14:schemeClr w14:val="tx1"/>
                  </w14:solidFill>
                </w14:textFill>
              </w:rPr>
              <w:t>评价标准</w:t>
            </w:r>
          </w:p>
          <w:p>
            <w:pPr>
              <w:pStyle w:val="21"/>
              <w:shd w:val="clear"/>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项目</w:t>
            </w:r>
            <w:r>
              <w:rPr>
                <w:rFonts w:hint="default"/>
                <w:color w:val="000000" w:themeColor="text1"/>
                <w:sz w:val="24"/>
                <w:szCs w:val="24"/>
                <w:highlight w:val="none"/>
                <w14:textFill>
                  <w14:solidFill>
                    <w14:schemeClr w14:val="tx1"/>
                  </w14:solidFill>
                </w14:textFill>
              </w:rPr>
              <w:t>所在区域的水域执行《地表水环境质量标准》</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GB3838-2002</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Ⅲ类标准。</w:t>
            </w:r>
          </w:p>
          <w:p>
            <w:pPr>
              <w:pStyle w:val="21"/>
              <w:shd w:val="clear"/>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②</w:t>
            </w:r>
            <w:r>
              <w:rPr>
                <w:rFonts w:hint="default"/>
                <w:color w:val="000000" w:themeColor="text1"/>
                <w:sz w:val="24"/>
                <w:szCs w:val="24"/>
                <w:highlight w:val="none"/>
                <w14:textFill>
                  <w14:solidFill>
                    <w14:schemeClr w14:val="tx1"/>
                  </w14:solidFill>
                </w14:textFill>
              </w:rPr>
              <w:t>评价方法</w:t>
            </w:r>
          </w:p>
          <w:p>
            <w:pPr>
              <w:pStyle w:val="21"/>
              <w:shd w:val="clear"/>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地表水现状评价采用单项水质参数评价模式，在各项水质参数评价中，对某一水质参数的现状浓度采用多次监测的平均浓度值。单因子污染指数计算公式为：</w:t>
            </w:r>
          </w:p>
          <w:p>
            <w:pPr>
              <w:keepNext w:val="0"/>
              <w:keepLines w:val="0"/>
              <w:suppressLineNumbers w:val="0"/>
              <w:shd w:val="clear"/>
              <w:spacing w:before="0" w:beforeAutospacing="0" w:after="0" w:afterAutospacing="0" w:line="360" w:lineRule="auto"/>
              <w:ind w:left="0" w:leftChars="0" w:right="0" w:firstLine="0" w:firstLineChars="0"/>
              <w:jc w:val="center"/>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drawing>
                <wp:inline distT="0" distB="0" distL="114300" distR="114300">
                  <wp:extent cx="914400" cy="228600"/>
                  <wp:effectExtent l="0" t="0" r="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9"/>
                          <a:stretch>
                            <a:fillRect/>
                          </a:stretch>
                        </pic:blipFill>
                        <pic:spPr>
                          <a:xfrm>
                            <a:off x="0" y="0"/>
                            <a:ext cx="914400" cy="228600"/>
                          </a:xfrm>
                          <a:prstGeom prst="rect">
                            <a:avLst/>
                          </a:prstGeom>
                          <a:noFill/>
                          <a:ln>
                            <a:noFill/>
                          </a:ln>
                        </pic:spPr>
                      </pic:pic>
                    </a:graphicData>
                  </a:graphic>
                </wp:inline>
              </w:drawing>
            </w:r>
          </w:p>
          <w:p>
            <w:pPr>
              <w:keepNext w:val="0"/>
              <w:keepLines w:val="0"/>
              <w:suppressLineNumbers w:val="0"/>
              <w:shd w:val="clear"/>
              <w:spacing w:before="0" w:beforeAutospacing="0" w:after="0" w:afterAutospacing="0" w:line="360" w:lineRule="auto"/>
              <w:ind w:left="0" w:leftChars="0" w:right="0" w:firstLine="0" w:firstLineChars="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式中：Sij——第i种污染物在第j点的标准指数；</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Cij——第i种污染物在第j点的监测平均浓度值，mg/L；</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Csj——第i种污染物的地表水水质标准值，mg/L；</w:t>
            </w:r>
          </w:p>
          <w:p>
            <w:pPr>
              <w:keepNext w:val="0"/>
              <w:keepLines w:val="0"/>
              <w:suppressLineNumbers w:val="0"/>
              <w:shd w:val="clear"/>
              <w:spacing w:before="0" w:beforeAutospacing="0" w:after="0" w:afterAutospacing="0" w:line="360" w:lineRule="auto"/>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其中pH</w:t>
            </w:r>
            <w:r>
              <w:rPr>
                <w:rFonts w:hint="eastAsia"/>
                <w:color w:val="000000" w:themeColor="text1"/>
                <w:sz w:val="24"/>
                <w:szCs w:val="24"/>
                <w:highlight w:val="none"/>
                <w:lang w:val="en-US" w:eastAsia="zh-CN"/>
                <w14:textFill>
                  <w14:solidFill>
                    <w14:schemeClr w14:val="tx1"/>
                  </w14:solidFill>
                </w14:textFill>
              </w:rPr>
              <w:t>值的质素计算公式</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leftChars="0" w:right="0" w:firstLine="0" w:firstLineChars="0"/>
              <w:jc w:val="center"/>
              <w:rPr>
                <w:rFonts w:hint="eastAsia"/>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14:textFill>
                  <w14:solidFill>
                    <w14:schemeClr w14:val="tx1"/>
                  </w14:solidFill>
                </w14:textFill>
              </w:rPr>
              <w:drawing>
                <wp:inline distT="0" distB="0" distL="114300" distR="114300">
                  <wp:extent cx="1228090" cy="457200"/>
                  <wp:effectExtent l="0" t="0" r="10160" b="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10"/>
                          <a:stretch>
                            <a:fillRect/>
                          </a:stretch>
                        </pic:blipFill>
                        <pic:spPr>
                          <a:xfrm>
                            <a:off x="0" y="0"/>
                            <a:ext cx="1228090" cy="457200"/>
                          </a:xfrm>
                          <a:prstGeom prst="rect">
                            <a:avLst/>
                          </a:prstGeom>
                          <a:noFill/>
                          <a:ln>
                            <a:noFill/>
                          </a:ln>
                        </pic:spPr>
                      </pic:pic>
                    </a:graphicData>
                  </a:graphic>
                </wp:inline>
              </w:drawing>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pHj≤7.0</w:t>
            </w:r>
            <w:r>
              <w:rPr>
                <w:rFonts w:hint="eastAsia"/>
                <w:color w:val="000000" w:themeColor="text1"/>
                <w:sz w:val="24"/>
                <w:szCs w:val="24"/>
                <w:highlight w:val="none"/>
                <w:lang w:eastAsia="zh-CN"/>
                <w14:textFill>
                  <w14:solidFill>
                    <w14:schemeClr w14:val="tx1"/>
                  </w14:solidFill>
                </w14:textFill>
              </w:rPr>
              <w:t>)</w:t>
            </w:r>
          </w:p>
          <w:p>
            <w:pPr>
              <w:keepNext w:val="0"/>
              <w:keepLines w:val="0"/>
              <w:suppressLineNumbers w:val="0"/>
              <w:shd w:val="clear"/>
              <w:spacing w:before="0" w:beforeAutospacing="0" w:after="0" w:afterAutospacing="0" w:line="360" w:lineRule="auto"/>
              <w:ind w:left="0" w:leftChars="0" w:right="0" w:firstLine="0" w:firstLineChars="0"/>
              <w:jc w:val="center"/>
              <w:rPr>
                <w:rFonts w:hint="eastAsia"/>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14:textFill>
                  <w14:solidFill>
                    <w14:schemeClr w14:val="tx1"/>
                  </w14:solidFill>
                </w14:textFill>
              </w:rPr>
              <w:drawing>
                <wp:inline distT="0" distB="0" distL="114300" distR="114300">
                  <wp:extent cx="1219200" cy="457200"/>
                  <wp:effectExtent l="0" t="0" r="0" b="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11"/>
                          <a:stretch>
                            <a:fillRect/>
                          </a:stretch>
                        </pic:blipFill>
                        <pic:spPr>
                          <a:xfrm>
                            <a:off x="0" y="0"/>
                            <a:ext cx="1219200" cy="457200"/>
                          </a:xfrm>
                          <a:prstGeom prst="rect">
                            <a:avLst/>
                          </a:prstGeom>
                          <a:noFill/>
                          <a:ln>
                            <a:noFill/>
                          </a:ln>
                        </pic:spPr>
                      </pic:pic>
                    </a:graphicData>
                  </a:graphic>
                </wp:inline>
              </w:drawing>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pHj＞7.0</w:t>
            </w:r>
            <w:r>
              <w:rPr>
                <w:rFonts w:hint="eastAsia"/>
                <w:color w:val="000000" w:themeColor="text1"/>
                <w:sz w:val="24"/>
                <w:szCs w:val="24"/>
                <w:highlight w:val="none"/>
                <w:lang w:eastAsia="zh-CN"/>
                <w14:textFill>
                  <w14:solidFill>
                    <w14:schemeClr w14:val="tx1"/>
                  </w14:solidFill>
                </w14:textFill>
              </w:rPr>
              <w:t>)</w:t>
            </w:r>
          </w:p>
          <w:p>
            <w:pPr>
              <w:keepNext w:val="0"/>
              <w:keepLines w:val="0"/>
              <w:suppressLineNumbers w:val="0"/>
              <w:shd w:val="clear"/>
              <w:spacing w:before="0" w:beforeAutospacing="0" w:after="0" w:afterAutospacing="0" w:line="360" w:lineRule="auto"/>
              <w:ind w:left="0" w:leftChars="0" w:right="0" w:firstLine="0" w:firstLineChars="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式中：SpH</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j——水质参数pH在j点的标准指数；</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pHj——j点的pH值；</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pHsu——地表水水质标准中规定的pH值上限；</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pHsd——地表水水质标准中规定的pH值下限。</w:t>
            </w:r>
          </w:p>
          <w:p>
            <w:pPr>
              <w:pStyle w:val="21"/>
              <w:shd w:val="clea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溶解氧的标准指数计算公式：</w:t>
            </w:r>
          </w:p>
          <w:p>
            <w:pPr>
              <w:pStyle w:val="8"/>
              <w:keepNext w:val="0"/>
              <w:keepLines w:val="0"/>
              <w:suppressLineNumbers w:val="0"/>
              <w:shd w:val="clear"/>
              <w:spacing w:before="0" w:beforeAutospacing="0" w:after="0" w:afterAutospacing="0"/>
              <w:ind w:left="0" w:leftChars="0" w:right="0" w:firstLine="0" w:firstLineChars="0"/>
              <w:jc w:val="center"/>
              <w:rPr>
                <w:rFonts w:hint="eastAsia"/>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object>
                <v:shape id="_x0000_i1025" o:spt="75" type="#_x0000_t75" style="height:35pt;width:63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r>
              <w:rPr>
                <w:rFonts w:hint="eastAsia"/>
                <w:color w:val="000000" w:themeColor="text1"/>
                <w:sz w:val="24"/>
                <w:szCs w:val="24"/>
                <w:highlight w:val="none"/>
                <w:lang w:val="en-US" w:eastAsia="zh-CN"/>
                <w14:textFill>
                  <w14:solidFill>
                    <w14:schemeClr w14:val="tx1"/>
                  </w14:solidFill>
                </w14:textFill>
              </w:rPr>
              <w:t>，DOj≤DOf</w:t>
            </w:r>
          </w:p>
          <w:p>
            <w:pPr>
              <w:keepNext w:val="0"/>
              <w:keepLines w:val="0"/>
              <w:suppressLineNumbers w:val="0"/>
              <w:shd w:val="clear"/>
              <w:spacing w:before="0" w:beforeAutospacing="0" w:after="0" w:afterAutospacing="0" w:line="360" w:lineRule="auto"/>
              <w:ind w:left="0" w:leftChars="0" w:right="0" w:firstLine="0" w:firstLineChars="0"/>
              <w:jc w:val="center"/>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object>
                <v:shape id="_x0000_i1026" o:spt="75" type="#_x0000_t75" style="height:39pt;width:103.95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r>
              <w:rPr>
                <w:rFonts w:hint="eastAsia"/>
                <w:color w:val="000000" w:themeColor="text1"/>
                <w:sz w:val="24"/>
                <w:szCs w:val="24"/>
                <w:highlight w:val="none"/>
                <w:lang w:val="en-US" w:eastAsia="zh-CN"/>
                <w14:textFill>
                  <w14:solidFill>
                    <w14:schemeClr w14:val="tx1"/>
                  </w14:solidFill>
                </w14:textFill>
              </w:rPr>
              <w:t>，DOj＞DOf</w:t>
            </w:r>
          </w:p>
          <w:p>
            <w:pPr>
              <w:keepNext w:val="0"/>
              <w:keepLines w:val="0"/>
              <w:suppressLineNumbers w:val="0"/>
              <w:shd w:val="clear"/>
              <w:spacing w:before="0" w:beforeAutospacing="0" w:after="0" w:afterAutospacing="0" w:line="360" w:lineRule="auto"/>
              <w:ind w:left="0" w:leftChars="0" w:right="0" w:firstLine="0" w:firstLineChars="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式中：</w:t>
            </w:r>
            <w:r>
              <w:rPr>
                <w:rFonts w:hint="eastAsia"/>
                <w:color w:val="000000" w:themeColor="text1"/>
                <w:sz w:val="24"/>
                <w:szCs w:val="24"/>
                <w:highlight w:val="none"/>
                <w:lang w:val="en-US" w:eastAsia="zh-CN"/>
                <w14:textFill>
                  <w14:solidFill>
                    <w14:schemeClr w14:val="tx1"/>
                  </w14:solidFill>
                </w14:textFill>
              </w:rPr>
              <w:t>SDO，</w:t>
            </w:r>
            <w:r>
              <w:rPr>
                <w:rFonts w:hint="default"/>
                <w:color w:val="000000" w:themeColor="text1"/>
                <w:sz w:val="24"/>
                <w:szCs w:val="24"/>
                <w:highlight w:val="none"/>
                <w14:textFill>
                  <w14:solidFill>
                    <w14:schemeClr w14:val="tx1"/>
                  </w14:solidFill>
                </w14:textFill>
              </w:rPr>
              <w:t>j——</w:t>
            </w:r>
            <w:r>
              <w:rPr>
                <w:rFonts w:hint="eastAsia"/>
                <w:color w:val="000000" w:themeColor="text1"/>
                <w:sz w:val="24"/>
                <w:szCs w:val="24"/>
                <w:highlight w:val="none"/>
                <w:lang w:val="en-US" w:eastAsia="zh-CN"/>
                <w14:textFill>
                  <w14:solidFill>
                    <w14:schemeClr w14:val="tx1"/>
                  </w14:solidFill>
                </w14:textFill>
              </w:rPr>
              <w:t>溶解氧</w:t>
            </w:r>
            <w:r>
              <w:rPr>
                <w:rFonts w:hint="default"/>
                <w:color w:val="000000" w:themeColor="text1"/>
                <w:sz w:val="24"/>
                <w:szCs w:val="24"/>
                <w:highlight w:val="none"/>
                <w14:textFill>
                  <w14:solidFill>
                    <w14:schemeClr w14:val="tx1"/>
                  </w14:solidFill>
                </w14:textFill>
              </w:rPr>
              <w:t>的标准指数</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大于1表明该水质因子超标</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DOj</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溶解氧在j点的实测统计代表值，mg/L</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DOs</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溶解氧的水质评价标准限值，mg/L</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DOf</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饱和溶解氧浓度，mg/L，对于河流，DOf=468/(31.6+T)，对于盐度比较高的湖泊、水库及入海河口、近岸海域，DOf=(491-2.65S)/(33.5+T)</w:t>
            </w:r>
            <w:r>
              <w:rPr>
                <w:rFonts w:hint="eastAsia"/>
                <w:color w:val="000000" w:themeColor="text1"/>
                <w:sz w:val="24"/>
                <w:szCs w:val="24"/>
                <w:highlight w:val="none"/>
                <w:lang w:eastAsia="zh-CN"/>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S</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实用盐度符号，量纲一</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T</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水温，℃。</w:t>
            </w:r>
          </w:p>
          <w:p>
            <w:pPr>
              <w:keepNext w:val="0"/>
              <w:keepLines w:val="0"/>
              <w:suppressLineNumbers w:val="0"/>
              <w:shd w:val="clear"/>
              <w:spacing w:before="0" w:beforeAutospacing="0" w:after="0" w:afterAutospacing="0" w:line="360" w:lineRule="auto"/>
              <w:ind w:left="0" w:right="0" w:firstLine="48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③</w:t>
            </w:r>
            <w:r>
              <w:rPr>
                <w:rFonts w:hint="default"/>
                <w:color w:val="000000" w:themeColor="text1"/>
                <w:sz w:val="24"/>
                <w:szCs w:val="24"/>
                <w:highlight w:val="none"/>
                <w14:textFill>
                  <w14:solidFill>
                    <w14:schemeClr w14:val="tx1"/>
                  </w14:solidFill>
                </w14:textFill>
              </w:rPr>
              <w:t>监测结果及评价</w:t>
            </w:r>
          </w:p>
          <w:p>
            <w:pPr>
              <w:keepNext w:val="0"/>
              <w:keepLines w:val="0"/>
              <w:widowControl/>
              <w:suppressLineNumbers w:val="0"/>
              <w:shd w:val="clear"/>
              <w:spacing w:before="0" w:beforeAutospacing="0" w:after="0" w:afterAutospacing="0" w:line="360" w:lineRule="auto"/>
              <w:ind w:left="0" w:right="0" w:firstLine="480" w:firstLineChars="200"/>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14:textFill>
                  <w14:solidFill>
                    <w14:schemeClr w14:val="tx1"/>
                  </w14:solidFill>
                </w14:textFill>
              </w:rPr>
              <w:t>地表水监测结果及水质评价结果见表</w:t>
            </w:r>
            <w:r>
              <w:rPr>
                <w:rFonts w:hint="eastAsia"/>
                <w:color w:val="000000" w:themeColor="text1"/>
                <w:sz w:val="24"/>
                <w:szCs w:val="24"/>
                <w:highlight w:val="none"/>
                <w:lang w:val="en-US" w:eastAsia="zh-CN"/>
                <w14:textFill>
                  <w14:solidFill>
                    <w14:schemeClr w14:val="tx1"/>
                  </w14:solidFill>
                </w14:textFill>
              </w:rPr>
              <w:t>17</w:t>
            </w:r>
            <w:r>
              <w:rPr>
                <w:rFonts w:hint="default"/>
                <w:color w:val="000000" w:themeColor="text1"/>
                <w:sz w:val="24"/>
                <w:szCs w:val="24"/>
                <w:highlight w:val="none"/>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地表水水质现状监测及评价结果一览表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W1、W2</w:t>
            </w:r>
            <w:r>
              <w:rPr>
                <w:rFonts w:hint="eastAsia"/>
                <w:color w:val="000000" w:themeColor="text1"/>
                <w:highlight w:val="none"/>
                <w:lang w:eastAsia="zh-CN"/>
                <w14:textFill>
                  <w14:solidFill>
                    <w14:schemeClr w14:val="tx1"/>
                  </w14:solidFill>
                </w14:textFill>
              </w:rPr>
              <w:t>)</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1"/>
              <w:gridCol w:w="998"/>
              <w:gridCol w:w="984"/>
              <w:gridCol w:w="754"/>
              <w:gridCol w:w="984"/>
              <w:gridCol w:w="754"/>
              <w:gridCol w:w="771"/>
              <w:gridCol w:w="1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51" w:type="dxa"/>
                  <w:vMerge w:val="restart"/>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采样日期</w:t>
                  </w:r>
                </w:p>
              </w:tc>
              <w:tc>
                <w:tcPr>
                  <w:tcW w:w="998" w:type="dxa"/>
                  <w:vMerge w:val="restart"/>
                  <w:tcBorders>
                    <w:tl2br w:val="nil"/>
                    <w:tr2bl w:val="nil"/>
                  </w:tcBorders>
                  <w:noWrap w:val="0"/>
                  <w:vAlign w:val="center"/>
                </w:tcPr>
                <w:p>
                  <w:pPr>
                    <w:keepNext w:val="0"/>
                    <w:keepLines w:val="0"/>
                    <w:pageBreakBefore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检测项目</w:t>
                  </w:r>
                </w:p>
              </w:tc>
              <w:tc>
                <w:tcPr>
                  <w:tcW w:w="3476" w:type="dxa"/>
                  <w:gridSpan w:val="4"/>
                  <w:tcBorders>
                    <w:tl2br w:val="nil"/>
                    <w:tr2bl w:val="nil"/>
                  </w:tcBorders>
                  <w:noWrap w:val="0"/>
                  <w:vAlign w:val="center"/>
                </w:tcPr>
                <w:p>
                  <w:pPr>
                    <w:keepNext w:val="0"/>
                    <w:keepLines w:val="0"/>
                    <w:pageBreakBefore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检测点位及结果</w:t>
                  </w:r>
                </w:p>
              </w:tc>
              <w:tc>
                <w:tcPr>
                  <w:tcW w:w="771" w:type="dxa"/>
                  <w:vMerge w:val="restart"/>
                  <w:tcBorders>
                    <w:tl2br w:val="nil"/>
                    <w:tr2bl w:val="nil"/>
                  </w:tcBorders>
                  <w:noWrap w:val="0"/>
                  <w:vAlign w:val="center"/>
                </w:tcPr>
                <w:p>
                  <w:pPr>
                    <w:keepNext w:val="0"/>
                    <w:keepLines w:val="0"/>
                    <w:pageBreakBefore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单位</w:t>
                  </w:r>
                </w:p>
              </w:tc>
              <w:tc>
                <w:tcPr>
                  <w:tcW w:w="1838" w:type="dxa"/>
                  <w:vMerge w:val="restart"/>
                  <w:tcBorders>
                    <w:tl2br w:val="nil"/>
                    <w:tr2bl w:val="nil"/>
                  </w:tcBorders>
                  <w:noWrap w:val="0"/>
                  <w:vAlign w:val="center"/>
                </w:tcPr>
                <w:p>
                  <w:pPr>
                    <w:keepNext w:val="0"/>
                    <w:keepLines w:val="0"/>
                    <w:pageBreakBefore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GB3838-2002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类</w:t>
                  </w:r>
                  <w:r>
                    <w:rPr>
                      <w:rFonts w:hint="default"/>
                      <w:color w:val="000000" w:themeColor="text1"/>
                      <w:highlight w:val="none"/>
                      <w14:textFill>
                        <w14:solidFill>
                          <w14:schemeClr w14:val="tx1"/>
                        </w14:solidFill>
                      </w14:textFill>
                    </w:rPr>
                    <w:t>Ⅲ</w:t>
                  </w:r>
                  <w:r>
                    <w:rPr>
                      <w:rFonts w:hint="default"/>
                      <w:color w:val="000000" w:themeColor="text1"/>
                      <w:highlight w:val="none"/>
                      <w:lang w:val="en-US" w:eastAsia="zh-CN"/>
                      <w14:textFill>
                        <w14:solidFill>
                          <w14:schemeClr w14:val="tx1"/>
                        </w14:solidFill>
                      </w14:textFill>
                    </w:rPr>
                    <w:t>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p>
              </w:tc>
              <w:tc>
                <w:tcPr>
                  <w:tcW w:w="998"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1738" w:type="dxa"/>
                  <w:gridSpan w:val="2"/>
                  <w:tcBorders>
                    <w:tl2br w:val="nil"/>
                    <w:tr2bl w:val="nil"/>
                  </w:tcBorders>
                  <w:noWrap w:val="0"/>
                  <w:vAlign w:val="center"/>
                </w:tcPr>
                <w:p>
                  <w:pPr>
                    <w:pStyle w:val="10"/>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W1</w:t>
                  </w:r>
                  <w:r>
                    <w:rPr>
                      <w:rFonts w:hint="eastAsia"/>
                      <w:color w:val="000000" w:themeColor="text1"/>
                      <w:sz w:val="21"/>
                      <w:szCs w:val="21"/>
                      <w:highlight w:val="none"/>
                      <w:lang w:val="en-US" w:eastAsia="zh-CN"/>
                      <w14:textFill>
                        <w14:solidFill>
                          <w14:schemeClr w14:val="tx1"/>
                        </w14:solidFill>
                      </w14:textFill>
                    </w:rPr>
                    <w:t>高滩桥上游300m处</w:t>
                  </w:r>
                </w:p>
              </w:tc>
              <w:tc>
                <w:tcPr>
                  <w:tcW w:w="1738" w:type="dxa"/>
                  <w:gridSpan w:val="2"/>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W2</w:t>
                  </w:r>
                  <w:r>
                    <w:rPr>
                      <w:rFonts w:hint="eastAsia"/>
                      <w:color w:val="000000" w:themeColor="text1"/>
                      <w:sz w:val="21"/>
                      <w:szCs w:val="21"/>
                      <w:highlight w:val="none"/>
                      <w:lang w:val="en-US" w:eastAsia="zh-CN"/>
                      <w14:textFill>
                        <w14:solidFill>
                          <w14:schemeClr w14:val="tx1"/>
                        </w14:solidFill>
                      </w14:textFill>
                    </w:rPr>
                    <w:t>高滩桥上游1300m处</w:t>
                  </w:r>
                </w:p>
              </w:tc>
              <w:tc>
                <w:tcPr>
                  <w:tcW w:w="771"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1838"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p>
              </w:tc>
              <w:tc>
                <w:tcPr>
                  <w:tcW w:w="998"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984" w:type="dxa"/>
                  <w:tcBorders>
                    <w:tl2br w:val="nil"/>
                    <w:tr2bl w:val="nil"/>
                  </w:tcBorders>
                  <w:noWrap w:val="0"/>
                  <w:vAlign w:val="center"/>
                </w:tcPr>
                <w:p>
                  <w:pPr>
                    <w:pStyle w:val="10"/>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监测结果</w:t>
                  </w:r>
                </w:p>
              </w:tc>
              <w:tc>
                <w:tcPr>
                  <w:tcW w:w="754" w:type="dxa"/>
                  <w:tcBorders>
                    <w:tl2br w:val="nil"/>
                    <w:tr2bl w:val="nil"/>
                  </w:tcBorders>
                  <w:noWrap w:val="0"/>
                  <w:vAlign w:val="center"/>
                </w:tcPr>
                <w:p>
                  <w:pPr>
                    <w:pStyle w:val="10"/>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污染指数</w:t>
                  </w:r>
                </w:p>
              </w:tc>
              <w:tc>
                <w:tcPr>
                  <w:tcW w:w="98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监测结果</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污染指数</w:t>
                  </w:r>
                </w:p>
              </w:tc>
              <w:tc>
                <w:tcPr>
                  <w:tcW w:w="771"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1838"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restart"/>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2022.3.6</w:t>
                  </w:r>
                </w:p>
              </w:tc>
              <w:tc>
                <w:tcPr>
                  <w:tcW w:w="998" w:type="dxa"/>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pH</w:t>
                  </w:r>
                  <w:r>
                    <w:rPr>
                      <w:rFonts w:hint="default"/>
                      <w:color w:val="000000" w:themeColor="text1"/>
                      <w:sz w:val="21"/>
                      <w:szCs w:val="21"/>
                      <w:highlight w:val="none"/>
                      <w:lang w:val="en-US" w:eastAsia="zh-CN"/>
                      <w14:textFill>
                        <w14:solidFill>
                          <w14:schemeClr w14:val="tx1"/>
                        </w14:solidFill>
                      </w14:textFill>
                    </w:rPr>
                    <w:t>值</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7.35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0.175</w:t>
                  </w:r>
                  <w:r>
                    <w:rPr>
                      <w:rFonts w:hint="default"/>
                      <w:color w:val="000000" w:themeColor="text1"/>
                      <w:sz w:val="21"/>
                      <w:szCs w:val="2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7.28</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0.14</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无量纲</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水温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15.2</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15.2</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1838"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溶解氧</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8.9</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0.22</w:t>
                  </w:r>
                </w:p>
              </w:tc>
              <w:tc>
                <w:tcPr>
                  <w:tcW w:w="98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9.1</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w:t>
                  </w:r>
                </w:p>
              </w:tc>
              <w:tc>
                <w:tcPr>
                  <w:tcW w:w="771"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高锰酸盐指数</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0.217</w:t>
                  </w:r>
                </w:p>
              </w:tc>
              <w:tc>
                <w:tcPr>
                  <w:tcW w:w="98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0.217</w:t>
                  </w:r>
                </w:p>
              </w:tc>
              <w:tc>
                <w:tcPr>
                  <w:tcW w:w="771"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COD</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BOD5</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0.375</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0.35</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氨氮</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0.112</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0.112</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0.103</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0.103</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总磷</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0.06</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0.30</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0.06</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0.30</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总氮</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0.48</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0.48</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0.45</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氟化物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0.17</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0.17</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氰化物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0.004L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0.004L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挥发酚</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0.0003L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0.0003L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石油类</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0.01L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阴离子表面活性剂</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硫化物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粪大肠菌群</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1.3×103</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0.13</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4.9×102</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0.049</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51" w:type="dxa"/>
                  <w:vMerge w:val="restart"/>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2022.3.7</w:t>
                  </w:r>
                </w:p>
              </w:tc>
              <w:tc>
                <w:tcPr>
                  <w:tcW w:w="998" w:type="dxa"/>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pH</w:t>
                  </w:r>
                  <w:r>
                    <w:rPr>
                      <w:rFonts w:hint="default"/>
                      <w:color w:val="000000" w:themeColor="text1"/>
                      <w:highlight w:val="none"/>
                      <w:lang w:val="en-US" w:eastAsia="zh-CN"/>
                      <w14:textFill>
                        <w14:solidFill>
                          <w14:schemeClr w14:val="tx1"/>
                        </w14:solidFill>
                      </w14:textFill>
                    </w:rPr>
                    <w:t>值</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7.31</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0.155</w:t>
                  </w:r>
                  <w:r>
                    <w:rPr>
                      <w:rFonts w:hint="default"/>
                      <w:color w:val="000000" w:themeColor="text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7.30</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0.15</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无量纲</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水温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14.7</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14.7</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1838"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溶解氧</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8.6</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0.295</w:t>
                  </w:r>
                  <w:r>
                    <w:rPr>
                      <w:rFonts w:hint="default"/>
                      <w:color w:val="000000" w:themeColor="text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8.7</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0.276</w:t>
                  </w:r>
                </w:p>
              </w:tc>
              <w:tc>
                <w:tcPr>
                  <w:tcW w:w="771"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高锰酸盐指数</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0.233</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0.20</w:t>
                  </w:r>
                </w:p>
              </w:tc>
              <w:tc>
                <w:tcPr>
                  <w:tcW w:w="771"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COD</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0.30</w:t>
                  </w:r>
                  <w:r>
                    <w:rPr>
                      <w:rFonts w:hint="default"/>
                      <w:color w:val="000000" w:themeColor="text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0.20</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BOD5</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0.375</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0.325</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氨氮</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0.136</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0.136</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0.111</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0.111</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总磷</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0.08</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0.40</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总氮</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0.47</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0.47</w:t>
                  </w:r>
                  <w:r>
                    <w:rPr>
                      <w:rFonts w:hint="default"/>
                      <w:color w:val="000000" w:themeColor="text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0.43</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0.43</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氟化物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0.16</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0.16</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氰化物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0.004L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0.004L</w:t>
                  </w:r>
                </w:p>
              </w:tc>
              <w:tc>
                <w:tcPr>
                  <w:tcW w:w="754" w:type="dxa"/>
                  <w:tcBorders>
                    <w:tl2br w:val="nil"/>
                    <w:tr2bl w:val="nil"/>
                  </w:tcBorders>
                  <w:noWrap w:val="0"/>
                  <w:vAlign w:val="center"/>
                </w:tcPr>
                <w:p>
                  <w:pPr>
                    <w:keepNext w:val="0"/>
                    <w:keepLines w:val="0"/>
                    <w:pageBreakBefore w:val="0"/>
                    <w:suppressLineNumbers w:val="0"/>
                    <w:shd w:val="clear"/>
                    <w:tabs>
                      <w:tab w:val="left" w:pos="99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挥发酚</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0.0003L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0.0003L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石油类</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0.01 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0.01L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阴离子表面活性剂</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硫化物</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 </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0.005L</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tcBorders>
                    <w:tl2br w:val="nil"/>
                    <w:tr2bl w:val="nil"/>
                  </w:tcBorders>
                  <w:noWrap w:val="0"/>
                  <w:vAlign w:val="center"/>
                </w:tcPr>
                <w:p>
                  <w:pPr>
                    <w:keepNext w:val="0"/>
                    <w:keepLines w:val="0"/>
                    <w:pageBreakBefore w:val="0"/>
                    <w:suppressLineNumbers w:val="0"/>
                    <w:shd w:val="clear"/>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p>
              </w:tc>
              <w:tc>
                <w:tcPr>
                  <w:tcW w:w="99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粪大肠菌群</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2.7×102</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0.027</w:t>
                  </w:r>
                </w:p>
              </w:tc>
              <w:tc>
                <w:tcPr>
                  <w:tcW w:w="98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7.9×102</w:t>
                  </w:r>
                </w:p>
              </w:tc>
              <w:tc>
                <w:tcPr>
                  <w:tcW w:w="754"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0.079</w:t>
                  </w:r>
                </w:p>
              </w:tc>
              <w:tc>
                <w:tcPr>
                  <w:tcW w:w="771"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mg/L</w:t>
                  </w:r>
                </w:p>
              </w:tc>
              <w:tc>
                <w:tcPr>
                  <w:tcW w:w="1838" w:type="dxa"/>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4" w:type="dxa"/>
                  <w:gridSpan w:val="8"/>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备注：</w:t>
                  </w:r>
                  <w:r>
                    <w:rPr>
                      <w:rFonts w:hint="eastAsia"/>
                      <w:color w:val="000000" w:themeColor="text1"/>
                      <w:highlight w:val="none"/>
                      <w:lang w:val="en-US" w:eastAsia="zh-CN"/>
                      <w14:textFill>
                        <w14:solidFill>
                          <w14:schemeClr w14:val="tx1"/>
                        </w14:solidFill>
                      </w14:textFill>
                    </w:rPr>
                    <w:t>表中监测数据后“L”表示检测结果低于方法检出限。</w:t>
                  </w:r>
                </w:p>
              </w:tc>
            </w:tr>
          </w:tbl>
          <w:p>
            <w:pPr>
              <w:keepNext w:val="0"/>
              <w:keepLines w:val="0"/>
              <w:numPr>
                <w:ilvl w:val="0"/>
                <w:numId w:val="0"/>
              </w:numPr>
              <w:suppressLineNumbers w:val="0"/>
              <w:shd w:val="clear"/>
              <w:tabs>
                <w:tab w:val="left" w:pos="0"/>
              </w:tabs>
              <w:bidi w:val="0"/>
              <w:spacing w:before="0" w:beforeAutospacing="0" w:after="0" w:afterAutospacing="0" w:line="360" w:lineRule="auto"/>
              <w:ind w:left="0" w:right="0" w:firstLine="480" w:firstLineChars="200"/>
              <w:jc w:val="both"/>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根据监测结果显示，溪底溪下游干流水北溪各项数据均满足</w:t>
            </w:r>
            <w:r>
              <w:rPr>
                <w:rFonts w:hint="default"/>
                <w:color w:val="000000" w:themeColor="text1"/>
                <w:sz w:val="24"/>
                <w:szCs w:val="24"/>
                <w:highlight w:val="none"/>
                <w:lang w:val="en-US" w:eastAsia="zh-CN"/>
                <w14:textFill>
                  <w14:solidFill>
                    <w14:schemeClr w14:val="tx1"/>
                  </w14:solidFill>
                </w14:textFill>
              </w:rPr>
              <w:t>《地表水环境质量标准》</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GB3838-2002</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表1中Ⅲ类水质标准，</w:t>
            </w:r>
            <w:r>
              <w:rPr>
                <w:rFonts w:hint="eastAsia"/>
                <w:color w:val="000000" w:themeColor="text1"/>
                <w:sz w:val="24"/>
                <w:szCs w:val="24"/>
                <w:highlight w:val="none"/>
                <w:lang w:val="en-US" w:eastAsia="zh-CN"/>
                <w14:textFill>
                  <w14:solidFill>
                    <w14:schemeClr w14:val="tx1"/>
                  </w14:solidFill>
                </w14:textFill>
              </w:rPr>
              <w:t>水北溪水环境质量较好。</w:t>
            </w:r>
          </w:p>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2.大气环境质量现状</w:t>
            </w:r>
          </w:p>
          <w:p>
            <w:pPr>
              <w:keepNext w:val="0"/>
              <w:keepLines w:val="0"/>
              <w:widowControl w:val="0"/>
              <w:suppressLineNumbers w:val="0"/>
              <w:shd w:val="clear"/>
              <w:bidi w:val="0"/>
              <w:spacing w:before="0" w:beforeAutospacing="0" w:after="0" w:afterAutospacing="0" w:line="360" w:lineRule="auto"/>
              <w:ind w:left="0" w:right="0" w:firstLine="480" w:firstLineChars="200"/>
              <w:jc w:val="both"/>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本项目位于福鼎市，根据宁德市环境监测中心站公布的《宁德市环境质量概要</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1</w:t>
            </w:r>
            <w:r>
              <w:rPr>
                <w:rFonts w:hint="default"/>
                <w:color w:val="000000" w:themeColor="text1"/>
                <w:sz w:val="24"/>
                <w:szCs w:val="24"/>
                <w:highlight w:val="none"/>
                <w:lang w:val="en-US" w:eastAsia="zh-CN"/>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1</w:t>
            </w:r>
            <w:r>
              <w:rPr>
                <w:rFonts w:hint="default"/>
                <w:color w:val="000000" w:themeColor="text1"/>
                <w:sz w:val="24"/>
                <w:szCs w:val="24"/>
                <w:highlight w:val="none"/>
                <w:lang w:val="en-US" w:eastAsia="zh-CN"/>
                <w14:textFill>
                  <w14:solidFill>
                    <w14:schemeClr w14:val="tx1"/>
                  </w14:solidFill>
                </w14:textFill>
              </w:rPr>
              <w:t>年福鼎市的基本污染物的年均浓度详见表</w:t>
            </w:r>
            <w:r>
              <w:rPr>
                <w:rFonts w:hint="eastAsia"/>
                <w:color w:val="000000" w:themeColor="text1"/>
                <w:sz w:val="24"/>
                <w:szCs w:val="24"/>
                <w:highlight w:val="none"/>
                <w:lang w:val="en-US" w:eastAsia="zh-CN"/>
                <w14:textFill>
                  <w14:solidFill>
                    <w14:schemeClr w14:val="tx1"/>
                  </w14:solidFill>
                </w14:textFill>
              </w:rPr>
              <w:t>18</w:t>
            </w:r>
            <w:r>
              <w:rPr>
                <w:rFonts w:hint="default"/>
                <w:color w:val="000000" w:themeColor="text1"/>
                <w:sz w:val="24"/>
                <w:szCs w:val="24"/>
                <w:highlight w:val="none"/>
                <w:lang w:val="en-US"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福鼎市区域空气质量现状评价表</w:t>
            </w:r>
          </w:p>
          <w:tbl>
            <w:tblPr>
              <w:tblStyle w:val="13"/>
              <w:tblW w:w="4998" w:type="pct"/>
              <w:jc w:val="center"/>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Layout w:type="fixed"/>
              <w:tblCellMar>
                <w:top w:w="0" w:type="dxa"/>
                <w:left w:w="0" w:type="dxa"/>
                <w:bottom w:w="0" w:type="dxa"/>
                <w:right w:w="0" w:type="dxa"/>
              </w:tblCellMar>
            </w:tblPr>
            <w:tblGrid>
              <w:gridCol w:w="637"/>
              <w:gridCol w:w="2545"/>
              <w:gridCol w:w="1506"/>
              <w:gridCol w:w="1296"/>
              <w:gridCol w:w="1241"/>
              <w:gridCol w:w="809"/>
            </w:tblGrid>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污染物</w:t>
                  </w:r>
                </w:p>
              </w:tc>
              <w:tc>
                <w:tcPr>
                  <w:tcW w:w="1583"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年评价指标</w:t>
                  </w:r>
                </w:p>
              </w:tc>
              <w:tc>
                <w:tcPr>
                  <w:tcW w:w="937"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现状浓度</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μg/m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tc>
              <w:tc>
                <w:tcPr>
                  <w:tcW w:w="806"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标准值</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μg/m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tc>
              <w:tc>
                <w:tcPr>
                  <w:tcW w:w="772"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占标率</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503" w:type="pct"/>
                  <w:tcBorders>
                    <w:left w:val="single" w:color="000000" w:sz="4" w:space="0"/>
                    <w:bottom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情况</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top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SO</w:t>
                  </w:r>
                  <w:r>
                    <w:rPr>
                      <w:rFonts w:hint="default"/>
                      <w:color w:val="000000" w:themeColor="text1"/>
                      <w:highlight w:val="none"/>
                      <w:vertAlign w:val="subscript"/>
                      <w:lang w:val="en-US" w:eastAsia="zh-CN"/>
                      <w14:textFill>
                        <w14:solidFill>
                          <w14:schemeClr w14:val="tx1"/>
                        </w14:solidFill>
                      </w14:textFill>
                    </w:rPr>
                    <w:t>2</w:t>
                  </w:r>
                </w:p>
              </w:tc>
              <w:tc>
                <w:tcPr>
                  <w:tcW w:w="1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年均质量浓度</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8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60</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11.7</w:t>
                  </w:r>
                </w:p>
              </w:tc>
              <w:tc>
                <w:tcPr>
                  <w:tcW w:w="503" w:type="pct"/>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top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NO</w:t>
                  </w:r>
                  <w:r>
                    <w:rPr>
                      <w:rFonts w:hint="default"/>
                      <w:color w:val="000000" w:themeColor="text1"/>
                      <w:highlight w:val="none"/>
                      <w:vertAlign w:val="subscript"/>
                      <w:lang w:val="en-US" w:eastAsia="zh-CN"/>
                      <w14:textFill>
                        <w14:solidFill>
                          <w14:schemeClr w14:val="tx1"/>
                        </w14:solidFill>
                      </w14:textFill>
                    </w:rPr>
                    <w:t>2</w:t>
                  </w:r>
                </w:p>
              </w:tc>
              <w:tc>
                <w:tcPr>
                  <w:tcW w:w="1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年均质量浓度</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8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40</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503" w:type="pct"/>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top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PM</w:t>
                  </w:r>
                  <w:r>
                    <w:rPr>
                      <w:rFonts w:hint="default"/>
                      <w:color w:val="000000" w:themeColor="text1"/>
                      <w:highlight w:val="none"/>
                      <w:vertAlign w:val="subscript"/>
                      <w:lang w:val="en-US" w:eastAsia="zh-CN"/>
                      <w14:textFill>
                        <w14:solidFill>
                          <w14:schemeClr w14:val="tx1"/>
                        </w14:solidFill>
                      </w14:textFill>
                    </w:rPr>
                    <w:t>10</w:t>
                  </w:r>
                </w:p>
              </w:tc>
              <w:tc>
                <w:tcPr>
                  <w:tcW w:w="1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年均质量浓度</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31</w:t>
                  </w:r>
                </w:p>
              </w:tc>
              <w:tc>
                <w:tcPr>
                  <w:tcW w:w="8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70</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44.3</w:t>
                  </w:r>
                </w:p>
              </w:tc>
              <w:tc>
                <w:tcPr>
                  <w:tcW w:w="503" w:type="pct"/>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top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PM</w:t>
                  </w:r>
                  <w:r>
                    <w:rPr>
                      <w:rFonts w:hint="default"/>
                      <w:color w:val="000000" w:themeColor="text1"/>
                      <w:highlight w:val="none"/>
                      <w:vertAlign w:val="subscript"/>
                      <w:lang w:val="en-US" w:eastAsia="zh-CN"/>
                      <w14:textFill>
                        <w14:solidFill>
                          <w14:schemeClr w14:val="tx1"/>
                        </w14:solidFill>
                      </w14:textFill>
                    </w:rPr>
                    <w:t>2.5</w:t>
                  </w:r>
                </w:p>
              </w:tc>
              <w:tc>
                <w:tcPr>
                  <w:tcW w:w="1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年均质量浓度</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p>
              </w:tc>
              <w:tc>
                <w:tcPr>
                  <w:tcW w:w="8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35</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7.1</w:t>
                  </w:r>
                </w:p>
              </w:tc>
              <w:tc>
                <w:tcPr>
                  <w:tcW w:w="503" w:type="pct"/>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top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CO</w:t>
                  </w:r>
                </w:p>
              </w:tc>
              <w:tc>
                <w:tcPr>
                  <w:tcW w:w="158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日均质量浓度</w:t>
                  </w:r>
                </w:p>
              </w:tc>
              <w:tc>
                <w:tcPr>
                  <w:tcW w:w="937"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1.4mg/m</w:t>
                  </w:r>
                  <w:r>
                    <w:rPr>
                      <w:rFonts w:hint="default"/>
                      <w:color w:val="000000" w:themeColor="text1"/>
                      <w:highlight w:val="none"/>
                      <w:vertAlign w:val="superscript"/>
                      <w:lang w:val="en-US" w:eastAsia="zh-CN"/>
                      <w14:textFill>
                        <w14:solidFill>
                          <w14:schemeClr w14:val="tx1"/>
                        </w14:solidFill>
                      </w14:textFill>
                    </w:rPr>
                    <w:t>3</w:t>
                  </w:r>
                </w:p>
              </w:tc>
              <w:tc>
                <w:tcPr>
                  <w:tcW w:w="80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4mg/m</w:t>
                  </w:r>
                  <w:r>
                    <w:rPr>
                      <w:rFonts w:hint="default"/>
                      <w:color w:val="000000" w:themeColor="text1"/>
                      <w:highlight w:val="none"/>
                      <w:vertAlign w:val="superscript"/>
                      <w:lang w:val="en-US" w:eastAsia="zh-CN"/>
                      <w14:textFill>
                        <w14:solidFill>
                          <w14:schemeClr w14:val="tx1"/>
                        </w14:solidFill>
                      </w14:textFill>
                    </w:rPr>
                    <w:t>3</w:t>
                  </w:r>
                </w:p>
              </w:tc>
              <w:tc>
                <w:tcPr>
                  <w:tcW w:w="772"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35</w:t>
                  </w:r>
                </w:p>
              </w:tc>
              <w:tc>
                <w:tcPr>
                  <w:tcW w:w="503" w:type="pct"/>
                  <w:tcBorders>
                    <w:top w:val="single" w:color="000000" w:sz="4" w:space="0"/>
                    <w:left w:val="single" w:color="000000"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397" w:type="pct"/>
                  <w:tcBorders>
                    <w:top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O</w:t>
                  </w:r>
                  <w:r>
                    <w:rPr>
                      <w:rFonts w:hint="default"/>
                      <w:color w:val="000000" w:themeColor="text1"/>
                      <w:highlight w:val="none"/>
                      <w:vertAlign w:val="subscript"/>
                      <w:lang w:val="en-US" w:eastAsia="zh-CN"/>
                      <w14:textFill>
                        <w14:solidFill>
                          <w14:schemeClr w14:val="tx1"/>
                        </w14:solidFill>
                      </w14:textFill>
                    </w:rPr>
                    <w:t>3</w:t>
                  </w:r>
                </w:p>
              </w:tc>
              <w:tc>
                <w:tcPr>
                  <w:tcW w:w="15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日最大8小时平均质量浓度</w:t>
                  </w:r>
                </w:p>
              </w:tc>
              <w:tc>
                <w:tcPr>
                  <w:tcW w:w="93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93</w:t>
                  </w:r>
                </w:p>
              </w:tc>
              <w:tc>
                <w:tcPr>
                  <w:tcW w:w="8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160</w:t>
                  </w:r>
                </w:p>
              </w:tc>
              <w:tc>
                <w:tcPr>
                  <w:tcW w:w="77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58.1</w:t>
                  </w:r>
                </w:p>
              </w:tc>
              <w:tc>
                <w:tcPr>
                  <w:tcW w:w="503" w:type="pct"/>
                  <w:tcBorders>
                    <w:top w:val="single" w:color="auto" w:sz="4" w:space="0"/>
                    <w:left w:val="single" w:color="auto" w:sz="4" w:space="0"/>
                  </w:tcBorders>
                  <w:noWrap w:val="0"/>
                  <w:vAlign w:val="center"/>
                </w:tcPr>
                <w:p>
                  <w:pPr>
                    <w:keepNext w:val="0"/>
                    <w:keepLines w:val="0"/>
                    <w:pageBreakBefore w:val="0"/>
                    <w:widowControl w:val="0"/>
                    <w:suppressLineNumbers w:val="0"/>
                    <w:shd w:val="clear"/>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达标</w:t>
                  </w:r>
                </w:p>
              </w:tc>
            </w:tr>
          </w:tbl>
          <w:p>
            <w:pPr>
              <w:keepNext w:val="0"/>
              <w:keepLines w:val="0"/>
              <w:suppressLineNumbers w:val="0"/>
              <w:shd w:val="clear"/>
              <w:spacing w:before="0" w:beforeAutospacing="0" w:after="0" w:afterAutospacing="0" w:line="360" w:lineRule="auto"/>
              <w:ind w:left="0" w:right="0" w:firstLine="480" w:firstLineChars="200"/>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由上表福鼎市区域空气质量现状评价表的达标评价可知，SO</w:t>
            </w:r>
            <w:r>
              <w:rPr>
                <w:rFonts w:hint="default"/>
                <w:color w:val="000000" w:themeColor="text1"/>
                <w:sz w:val="24"/>
                <w:szCs w:val="24"/>
                <w:highlight w:val="none"/>
                <w:vertAlign w:val="subscript"/>
                <w:lang w:val="en-US" w:eastAsia="zh-CN"/>
                <w14:textFill>
                  <w14:solidFill>
                    <w14:schemeClr w14:val="tx1"/>
                  </w14:solidFill>
                </w14:textFill>
              </w:rPr>
              <w:t>2</w:t>
            </w:r>
            <w:r>
              <w:rPr>
                <w:rFonts w:hint="default"/>
                <w:color w:val="000000" w:themeColor="text1"/>
                <w:sz w:val="24"/>
                <w:szCs w:val="24"/>
                <w:highlight w:val="none"/>
                <w:lang w:val="en-US" w:eastAsia="zh-CN"/>
                <w14:textFill>
                  <w14:solidFill>
                    <w14:schemeClr w14:val="tx1"/>
                  </w14:solidFill>
                </w14:textFill>
              </w:rPr>
              <w:t>、NO</w:t>
            </w:r>
            <w:r>
              <w:rPr>
                <w:rFonts w:hint="default"/>
                <w:color w:val="000000" w:themeColor="text1"/>
                <w:sz w:val="24"/>
                <w:szCs w:val="24"/>
                <w:highlight w:val="none"/>
                <w:vertAlign w:val="subscript"/>
                <w:lang w:val="en-US" w:eastAsia="zh-CN"/>
                <w14:textFill>
                  <w14:solidFill>
                    <w14:schemeClr w14:val="tx1"/>
                  </w14:solidFill>
                </w14:textFill>
              </w:rPr>
              <w:t>2</w:t>
            </w:r>
            <w:r>
              <w:rPr>
                <w:rFonts w:hint="default"/>
                <w:color w:val="000000" w:themeColor="text1"/>
                <w:sz w:val="24"/>
                <w:szCs w:val="24"/>
                <w:highlight w:val="none"/>
                <w:lang w:val="en-US" w:eastAsia="zh-CN"/>
                <w14:textFill>
                  <w14:solidFill>
                    <w14:schemeClr w14:val="tx1"/>
                  </w14:solidFill>
                </w14:textFill>
              </w:rPr>
              <w:t>、PM</w:t>
            </w:r>
            <w:r>
              <w:rPr>
                <w:rFonts w:hint="default"/>
                <w:color w:val="000000" w:themeColor="text1"/>
                <w:sz w:val="24"/>
                <w:szCs w:val="24"/>
                <w:highlight w:val="none"/>
                <w:vertAlign w:val="subscript"/>
                <w:lang w:val="en-US" w:eastAsia="zh-CN"/>
                <w14:textFill>
                  <w14:solidFill>
                    <w14:schemeClr w14:val="tx1"/>
                  </w14:solidFill>
                </w14:textFill>
              </w:rPr>
              <w:t>10</w:t>
            </w:r>
            <w:r>
              <w:rPr>
                <w:rFonts w:hint="default"/>
                <w:color w:val="000000" w:themeColor="text1"/>
                <w:sz w:val="24"/>
                <w:szCs w:val="24"/>
                <w:highlight w:val="none"/>
                <w:lang w:val="en-US" w:eastAsia="zh-CN"/>
                <w14:textFill>
                  <w14:solidFill>
                    <w14:schemeClr w14:val="tx1"/>
                  </w14:solidFill>
                </w14:textFill>
              </w:rPr>
              <w:t>、PM</w:t>
            </w:r>
            <w:r>
              <w:rPr>
                <w:rFonts w:hint="default"/>
                <w:color w:val="000000" w:themeColor="text1"/>
                <w:sz w:val="24"/>
                <w:szCs w:val="24"/>
                <w:highlight w:val="none"/>
                <w:vertAlign w:val="subscript"/>
                <w:lang w:val="en-US" w:eastAsia="zh-CN"/>
                <w14:textFill>
                  <w14:solidFill>
                    <w14:schemeClr w14:val="tx1"/>
                  </w14:solidFill>
                </w14:textFill>
              </w:rPr>
              <w:t>2.5</w:t>
            </w:r>
            <w:r>
              <w:rPr>
                <w:rFonts w:hint="default"/>
                <w:color w:val="000000" w:themeColor="text1"/>
                <w:sz w:val="24"/>
                <w:szCs w:val="24"/>
                <w:highlight w:val="none"/>
                <w:lang w:val="en-US" w:eastAsia="zh-CN"/>
                <w14:textFill>
                  <w14:solidFill>
                    <w14:schemeClr w14:val="tx1"/>
                  </w14:solidFill>
                </w14:textFill>
              </w:rPr>
              <w:t>、CO、O</w:t>
            </w:r>
            <w:r>
              <w:rPr>
                <w:rFonts w:hint="default"/>
                <w:color w:val="000000" w:themeColor="text1"/>
                <w:sz w:val="24"/>
                <w:szCs w:val="24"/>
                <w:highlight w:val="none"/>
                <w:vertAlign w:val="subscript"/>
                <w:lang w:val="en-US" w:eastAsia="zh-CN"/>
                <w14:textFill>
                  <w14:solidFill>
                    <w14:schemeClr w14:val="tx1"/>
                  </w14:solidFill>
                </w14:textFill>
              </w:rPr>
              <w:t>3</w:t>
            </w:r>
            <w:r>
              <w:rPr>
                <w:rFonts w:hint="default"/>
                <w:color w:val="000000" w:themeColor="text1"/>
                <w:sz w:val="24"/>
                <w:szCs w:val="24"/>
                <w:highlight w:val="none"/>
                <w:lang w:val="en-US" w:eastAsia="zh-CN"/>
                <w14:textFill>
                  <w14:solidFill>
                    <w14:schemeClr w14:val="tx1"/>
                  </w14:solidFill>
                </w14:textFill>
              </w:rPr>
              <w:t>六项污染物全部符合《环境空气质量标准》</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GB3095-2012</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及修改单中的二级标准要求，项目所在区域福鼎市</w:t>
            </w:r>
            <w:r>
              <w:rPr>
                <w:rFonts w:hint="eastAsia"/>
                <w:color w:val="000000" w:themeColor="text1"/>
                <w:sz w:val="24"/>
                <w:szCs w:val="24"/>
                <w:highlight w:val="none"/>
                <w:lang w:val="en-US" w:eastAsia="zh-CN"/>
                <w14:textFill>
                  <w14:solidFill>
                    <w14:schemeClr w14:val="tx1"/>
                  </w14:solidFill>
                </w14:textFill>
              </w:rPr>
              <w:t>属于</w:t>
            </w:r>
            <w:r>
              <w:rPr>
                <w:rFonts w:hint="default"/>
                <w:color w:val="000000" w:themeColor="text1"/>
                <w:sz w:val="24"/>
                <w:szCs w:val="24"/>
                <w:highlight w:val="none"/>
                <w:lang w:val="en-US" w:eastAsia="zh-CN"/>
                <w14:textFill>
                  <w14:solidFill>
                    <w14:schemeClr w14:val="tx1"/>
                  </w14:solidFill>
                </w14:textFill>
              </w:rPr>
              <w:t>环境空气质量达标</w:t>
            </w:r>
            <w:r>
              <w:rPr>
                <w:rFonts w:hint="eastAsia"/>
                <w:color w:val="000000" w:themeColor="text1"/>
                <w:sz w:val="24"/>
                <w:szCs w:val="24"/>
                <w:highlight w:val="none"/>
                <w:lang w:val="en-US" w:eastAsia="zh-CN"/>
                <w14:textFill>
                  <w14:solidFill>
                    <w14:schemeClr w14:val="tx1"/>
                  </w14:solidFill>
                </w14:textFill>
              </w:rPr>
              <w:t>区。</w:t>
            </w:r>
          </w:p>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3.声环境质量现状</w:t>
            </w:r>
          </w:p>
          <w:p>
            <w:pPr>
              <w:keepNext w:val="0"/>
              <w:keepLines w:val="0"/>
              <w:widowControl/>
              <w:suppressLineNumbers w:val="0"/>
              <w:shd w:val="clear"/>
              <w:tabs>
                <w:tab w:val="left" w:pos="1980"/>
                <w:tab w:val="left" w:pos="3825"/>
                <w:tab w:val="left" w:pos="4680"/>
              </w:tabs>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为了解本项目所在区域声环境现状，</w:t>
            </w:r>
            <w:r>
              <w:rPr>
                <w:rFonts w:hint="eastAsia"/>
                <w:color w:val="000000" w:themeColor="text1"/>
                <w:sz w:val="24"/>
                <w:szCs w:val="24"/>
                <w:highlight w:val="none"/>
                <w:lang w:val="en-US" w:eastAsia="zh-CN"/>
                <w14:textFill>
                  <w14:solidFill>
                    <w14:schemeClr w14:val="tx1"/>
                  </w14:solidFill>
                </w14:textFill>
              </w:rPr>
              <w:t>本项目委托福建晟立检测技术服务有限公司于</w:t>
            </w:r>
            <w:r>
              <w:rPr>
                <w:rFonts w:hint="default"/>
                <w:color w:val="000000" w:themeColor="text1"/>
                <w:sz w:val="24"/>
                <w:szCs w:val="24"/>
                <w:highlight w:val="none"/>
                <w14:textFill>
                  <w14:solidFill>
                    <w14:schemeClr w14:val="tx1"/>
                  </w14:solidFill>
                </w14:textFill>
              </w:rPr>
              <w:t>20</w:t>
            </w:r>
            <w:r>
              <w:rPr>
                <w:rFonts w:hint="default"/>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7</w:t>
            </w:r>
            <w:r>
              <w:rPr>
                <w:rFonts w:hint="default"/>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对项目周边敏感目标声环境</w:t>
            </w:r>
            <w:r>
              <w:rPr>
                <w:rFonts w:hint="default"/>
                <w:color w:val="000000" w:themeColor="text1"/>
                <w:sz w:val="24"/>
                <w:szCs w:val="24"/>
                <w:highlight w:val="none"/>
                <w:lang w:val="en-US" w:eastAsia="zh-CN"/>
                <w14:textFill>
                  <w14:solidFill>
                    <w14:schemeClr w14:val="tx1"/>
                  </w14:solidFill>
                </w14:textFill>
              </w:rPr>
              <w:t>进行</w:t>
            </w:r>
            <w:r>
              <w:rPr>
                <w:rFonts w:hint="eastAsia"/>
                <w:color w:val="000000" w:themeColor="text1"/>
                <w:sz w:val="24"/>
                <w:szCs w:val="24"/>
                <w:highlight w:val="none"/>
                <w:lang w:val="en-US" w:eastAsia="zh-CN"/>
                <w14:textFill>
                  <w14:solidFill>
                    <w14:schemeClr w14:val="tx1"/>
                  </w14:solidFill>
                </w14:textFill>
              </w:rPr>
              <w:t>质量现状</w:t>
            </w:r>
            <w:r>
              <w:rPr>
                <w:rFonts w:hint="default"/>
                <w:color w:val="000000" w:themeColor="text1"/>
                <w:sz w:val="24"/>
                <w:szCs w:val="24"/>
                <w:highlight w:val="none"/>
                <w:lang w:val="en-US" w:eastAsia="zh-CN"/>
                <w14:textFill>
                  <w14:solidFill>
                    <w14:schemeClr w14:val="tx1"/>
                  </w14:solidFill>
                </w14:textFill>
              </w:rPr>
              <w:t>监测</w:t>
            </w:r>
            <w:r>
              <w:rPr>
                <w:rFonts w:hint="default"/>
                <w:color w:val="000000" w:themeColor="text1"/>
                <w:sz w:val="24"/>
                <w:szCs w:val="24"/>
                <w:highlight w:val="none"/>
                <w14:textFill>
                  <w14:solidFill>
                    <w14:schemeClr w14:val="tx1"/>
                  </w14:solidFill>
                </w14:textFill>
              </w:rPr>
              <w:t>。</w:t>
            </w:r>
          </w:p>
          <w:p>
            <w:pPr>
              <w:keepNext w:val="0"/>
              <w:keepLines w:val="0"/>
              <w:widowControl/>
              <w:suppressLineNumbers w:val="0"/>
              <w:shd w:val="clear"/>
              <w:tabs>
                <w:tab w:val="left" w:pos="1980"/>
                <w:tab w:val="left" w:pos="3825"/>
                <w:tab w:val="left" w:pos="4680"/>
              </w:tabs>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附图6</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及监测项目</w:t>
            </w:r>
          </w:p>
          <w:p>
            <w:pPr>
              <w:keepNext w:val="0"/>
              <w:keepLines w:val="0"/>
              <w:widowControl/>
              <w:suppressLineNumbers w:val="0"/>
              <w:shd w:val="clear"/>
              <w:tabs>
                <w:tab w:val="left" w:pos="1980"/>
                <w:tab w:val="left" w:pos="3825"/>
                <w:tab w:val="left" w:pos="4680"/>
              </w:tabs>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在评价区域共设</w:t>
            </w:r>
            <w:r>
              <w:rPr>
                <w:rFonts w:hint="eastAsia"/>
                <w:color w:val="000000" w:themeColor="text1"/>
                <w:sz w:val="24"/>
                <w:szCs w:val="24"/>
                <w:highlight w:val="none"/>
                <w:lang w:val="en-US" w:eastAsia="zh-CN"/>
                <w14:textFill>
                  <w14:solidFill>
                    <w14:schemeClr w14:val="tx1"/>
                  </w14:solidFill>
                </w14:textFill>
              </w:rPr>
              <w:t>3</w:t>
            </w:r>
            <w:r>
              <w:rPr>
                <w:rFonts w:hint="default"/>
                <w:color w:val="000000" w:themeColor="text1"/>
                <w:sz w:val="24"/>
                <w:szCs w:val="24"/>
                <w:highlight w:val="none"/>
                <w14:textFill>
                  <w14:solidFill>
                    <w14:schemeClr w14:val="tx1"/>
                  </w14:solidFill>
                </w14:textFill>
              </w:rPr>
              <w:t>个</w:t>
            </w:r>
            <w:r>
              <w:rPr>
                <w:rFonts w:hint="eastAsia"/>
                <w:color w:val="000000" w:themeColor="text1"/>
                <w:sz w:val="24"/>
                <w:szCs w:val="24"/>
                <w:highlight w:val="none"/>
                <w:lang w:val="en-US" w:eastAsia="zh-CN"/>
                <w14:textFill>
                  <w14:solidFill>
                    <w14:schemeClr w14:val="tx1"/>
                  </w14:solidFill>
                </w14:textFill>
              </w:rPr>
              <w:t>检测</w:t>
            </w:r>
            <w:r>
              <w:rPr>
                <w:rFonts w:hint="default"/>
                <w:color w:val="000000" w:themeColor="text1"/>
                <w:sz w:val="24"/>
                <w:szCs w:val="24"/>
                <w:highlight w:val="none"/>
                <w14:textFill>
                  <w14:solidFill>
                    <w14:schemeClr w14:val="tx1"/>
                  </w14:solidFill>
                </w14:textFill>
              </w:rPr>
              <w:t>点位，监测布点详见表</w:t>
            </w:r>
            <w:r>
              <w:rPr>
                <w:rFonts w:hint="eastAsia"/>
                <w:color w:val="000000" w:themeColor="text1"/>
                <w:sz w:val="24"/>
                <w:szCs w:val="24"/>
                <w:highlight w:val="none"/>
                <w:lang w:val="en-US" w:eastAsia="zh-CN"/>
                <w14:textFill>
                  <w14:solidFill>
                    <w14:schemeClr w14:val="tx1"/>
                  </w14:solidFill>
                </w14:textFill>
              </w:rPr>
              <w:t>19</w:t>
            </w:r>
            <w:r>
              <w:rPr>
                <w:rFonts w:hint="default"/>
                <w:color w:val="000000" w:themeColor="text1"/>
                <w:sz w:val="24"/>
                <w:szCs w:val="24"/>
                <w:highlight w:val="none"/>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声环境现状监测点位</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701"/>
              <w:gridCol w:w="1478"/>
              <w:gridCol w:w="1963"/>
              <w:gridCol w:w="1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lang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编号</w:t>
                  </w:r>
                </w:p>
              </w:tc>
              <w:tc>
                <w:tcPr>
                  <w:tcW w:w="1058"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位置</w:t>
                  </w:r>
                </w:p>
              </w:tc>
              <w:tc>
                <w:tcPr>
                  <w:tcW w:w="919"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监测因子</w:t>
                  </w:r>
                </w:p>
              </w:tc>
              <w:tc>
                <w:tcPr>
                  <w:tcW w:w="1221"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监测频次</w:t>
                  </w:r>
                </w:p>
              </w:tc>
              <w:tc>
                <w:tcPr>
                  <w:tcW w:w="1221"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N1</w:t>
                  </w:r>
                </w:p>
              </w:tc>
              <w:tc>
                <w:tcPr>
                  <w:tcW w:w="1058"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项目起点</w:t>
                  </w:r>
                </w:p>
              </w:tc>
              <w:tc>
                <w:tcPr>
                  <w:tcW w:w="919" w:type="pct"/>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等效</w:t>
                  </w:r>
                  <w:r>
                    <w:rPr>
                      <w:rFonts w:hint="default"/>
                      <w:color w:val="000000" w:themeColor="text1"/>
                      <w:highlight w:val="none"/>
                      <w:lang w:val="en-US" w:eastAsia="zh-CN"/>
                      <w14:textFill>
                        <w14:solidFill>
                          <w14:schemeClr w14:val="tx1"/>
                        </w14:solidFill>
                      </w14:textFill>
                    </w:rPr>
                    <w:t>连续</w:t>
                  </w:r>
                  <w:r>
                    <w:rPr>
                      <w:rFonts w:hint="default"/>
                      <w:color w:val="000000" w:themeColor="text1"/>
                      <w:highlight w:val="none"/>
                      <w14:textFill>
                        <w14:solidFill>
                          <w14:schemeClr w14:val="tx1"/>
                        </w14:solidFill>
                      </w14:textFill>
                    </w:rPr>
                    <w:t>A声级</w:t>
                  </w:r>
                </w:p>
              </w:tc>
              <w:tc>
                <w:tcPr>
                  <w:tcW w:w="1221" w:type="pct"/>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昼间、夜间各1次，每次10min，测1天</w:t>
                  </w:r>
                </w:p>
              </w:tc>
              <w:tc>
                <w:tcPr>
                  <w:tcW w:w="1221" w:type="pct"/>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《声环境质量标准》</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GB3096-2008</w:t>
                  </w:r>
                  <w:r>
                    <w:rPr>
                      <w:rFonts w:hint="eastAsia"/>
                      <w:color w:val="000000" w:themeColor="text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N2</w:t>
                  </w:r>
                </w:p>
              </w:tc>
              <w:tc>
                <w:tcPr>
                  <w:tcW w:w="1058"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溪底村</w:t>
                  </w:r>
                </w:p>
              </w:tc>
              <w:tc>
                <w:tcPr>
                  <w:tcW w:w="919" w:type="pct"/>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1221" w:type="pct"/>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1221" w:type="pct"/>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N3</w:t>
                  </w:r>
                </w:p>
              </w:tc>
              <w:tc>
                <w:tcPr>
                  <w:tcW w:w="1058" w:type="pc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项目终点</w:t>
                  </w:r>
                </w:p>
              </w:tc>
              <w:tc>
                <w:tcPr>
                  <w:tcW w:w="919" w:type="pct"/>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1221" w:type="pct"/>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1221" w:type="pct"/>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r>
          </w:tbl>
          <w:p>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监测时间及频次</w:t>
            </w:r>
          </w:p>
          <w:p>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监测时间为20</w:t>
            </w:r>
            <w:r>
              <w:rPr>
                <w:rFonts w:hint="default"/>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7</w:t>
            </w:r>
            <w:r>
              <w:rPr>
                <w:rFonts w:hint="default"/>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14:textFill>
                  <w14:solidFill>
                    <w14:schemeClr w14:val="tx1"/>
                  </w14:solidFill>
                </w14:textFill>
              </w:rPr>
              <w:t>日</w:t>
            </w: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昼夜各监测1次。</w:t>
            </w:r>
          </w:p>
          <w:p>
            <w:pPr>
              <w:keepNext w:val="0"/>
              <w:keepLines w:val="0"/>
              <w:widowControl/>
              <w:suppressLineNumbers w:val="0"/>
              <w:shd w:val="clear"/>
              <w:tabs>
                <w:tab w:val="left" w:pos="1980"/>
                <w:tab w:val="left" w:pos="3825"/>
                <w:tab w:val="left" w:pos="4680"/>
              </w:tabs>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监测结果</w:t>
            </w:r>
          </w:p>
          <w:p>
            <w:pPr>
              <w:keepNext w:val="0"/>
              <w:keepLines w:val="0"/>
              <w:widowControl/>
              <w:suppressLineNumbers w:val="0"/>
              <w:shd w:val="clear"/>
              <w:tabs>
                <w:tab w:val="left" w:pos="1980"/>
                <w:tab w:val="left" w:pos="3825"/>
                <w:tab w:val="left" w:pos="4680"/>
              </w:tabs>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项目厂界声环境质量</w:t>
            </w:r>
            <w:r>
              <w:rPr>
                <w:rFonts w:hint="default"/>
                <w:color w:val="000000" w:themeColor="text1"/>
                <w:sz w:val="24"/>
                <w:szCs w:val="24"/>
                <w:highlight w:val="none"/>
                <w14:textFill>
                  <w14:solidFill>
                    <w14:schemeClr w14:val="tx1"/>
                  </w14:solidFill>
                </w14:textFill>
              </w:rPr>
              <w:t>监测结果详见表</w:t>
            </w:r>
            <w:r>
              <w:rPr>
                <w:rFonts w:hint="eastAsia"/>
                <w:color w:val="000000" w:themeColor="text1"/>
                <w:sz w:val="24"/>
                <w:szCs w:val="24"/>
                <w:highlight w:val="none"/>
                <w:lang w:val="en-US" w:eastAsia="zh-CN"/>
                <w14:textFill>
                  <w14:solidFill>
                    <w14:schemeClr w14:val="tx1"/>
                  </w14:solidFill>
                </w14:textFill>
              </w:rPr>
              <w:t>20</w:t>
            </w:r>
            <w:r>
              <w:rPr>
                <w:rFonts w:hint="default"/>
                <w:color w:val="000000" w:themeColor="text1"/>
                <w:sz w:val="24"/>
                <w:szCs w:val="24"/>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ind w:left="0" w:leftChars="0" w:firstLine="0" w:firstLineChars="0"/>
              <w:rPr>
                <w:rFonts w:hint="default"/>
                <w:color w:val="000000" w:themeColor="text1"/>
                <w:highlight w:val="none"/>
                <w14:textFill>
                  <w14:solidFill>
                    <w14:schemeClr w14:val="tx1"/>
                  </w14:solidFill>
                </w14:textFill>
              </w:rPr>
            </w:pPr>
          </w:p>
          <w:p>
            <w:pPr>
              <w:pStyle w:val="21"/>
              <w:shd w:val="clear"/>
              <w:bidi w:val="0"/>
              <w:ind w:left="0" w:leftChars="0" w:firstLine="0" w:firstLineChars="0"/>
              <w:rPr>
                <w:rFonts w:hint="default"/>
                <w:color w:val="000000" w:themeColor="text1"/>
                <w:highlight w:val="none"/>
                <w14:textFill>
                  <w14:solidFill>
                    <w14:schemeClr w14:val="tx1"/>
                  </w14:solidFill>
                </w14:textFill>
              </w:rPr>
            </w:pP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厂界噪声现状监测结果</w:t>
            </w:r>
          </w:p>
          <w:tbl>
            <w:tblPr>
              <w:tblStyle w:val="1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8"/>
              <w:gridCol w:w="1229"/>
              <w:gridCol w:w="1417"/>
              <w:gridCol w:w="1404"/>
              <w:gridCol w:w="1306"/>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21" w:type="pct"/>
                  <w:vMerge w:val="restar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eastAsia="zh-CN"/>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检测</w:t>
                  </w:r>
                  <w:r>
                    <w:rPr>
                      <w:rFonts w:hint="default" w:cs="Times New Roman"/>
                      <w:color w:val="000000" w:themeColor="text1"/>
                      <w:szCs w:val="20"/>
                      <w:highlight w:val="none"/>
                      <w:lang w:val="en-US" w:eastAsia="zh-CN"/>
                      <w14:textFill>
                        <w14:solidFill>
                          <w14:schemeClr w14:val="tx1"/>
                        </w14:solidFill>
                      </w14:textFill>
                    </w:rPr>
                    <w:t>日期</w:t>
                  </w:r>
                </w:p>
              </w:tc>
              <w:tc>
                <w:tcPr>
                  <w:tcW w:w="765" w:type="pct"/>
                  <w:vMerge w:val="restar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eastAsia="zh-CN"/>
                      <w14:textFill>
                        <w14:solidFill>
                          <w14:schemeClr w14:val="tx1"/>
                        </w14:solidFill>
                      </w14:textFill>
                    </w:rPr>
                  </w:pPr>
                  <w:r>
                    <w:rPr>
                      <w:rFonts w:hint="default" w:cs="Times New Roman"/>
                      <w:color w:val="000000" w:themeColor="text1"/>
                      <w:szCs w:val="20"/>
                      <w:highlight w:val="none"/>
                      <w:lang w:eastAsia="zh-CN"/>
                      <w14:textFill>
                        <w14:solidFill>
                          <w14:schemeClr w14:val="tx1"/>
                        </w14:solidFill>
                      </w14:textFill>
                    </w:rPr>
                    <w:t>检测点位</w:t>
                  </w:r>
                </w:p>
              </w:tc>
              <w:tc>
                <w:tcPr>
                  <w:tcW w:w="1756" w:type="pct"/>
                  <w:gridSpan w:val="2"/>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Leq检测结果</w:t>
                  </w:r>
                  <w:r>
                    <w:rPr>
                      <w:rFonts w:hint="eastAsia" w:cs="Times New Roman"/>
                      <w:color w:val="000000" w:themeColor="text1"/>
                      <w:szCs w:val="20"/>
                      <w:highlight w:val="none"/>
                      <w:lang w:eastAsia="zh-CN"/>
                      <w14:textFill>
                        <w14:solidFill>
                          <w14:schemeClr w14:val="tx1"/>
                        </w14:solidFill>
                      </w14:textFill>
                    </w:rPr>
                    <w:t>(</w:t>
                  </w:r>
                  <w:r>
                    <w:rPr>
                      <w:rFonts w:hint="default" w:cs="Times New Roman"/>
                      <w:color w:val="000000" w:themeColor="text1"/>
                      <w:szCs w:val="20"/>
                      <w:highlight w:val="none"/>
                      <w14:textFill>
                        <w14:solidFill>
                          <w14:schemeClr w14:val="tx1"/>
                        </w14:solidFill>
                      </w14:textFill>
                    </w:rPr>
                    <w:t>dB</w:t>
                  </w:r>
                  <w:r>
                    <w:rPr>
                      <w:rFonts w:hint="eastAsia" w:cs="Times New Roman"/>
                      <w:color w:val="000000" w:themeColor="text1"/>
                      <w:szCs w:val="20"/>
                      <w:highlight w:val="none"/>
                      <w:lang w:eastAsia="zh-CN"/>
                      <w14:textFill>
                        <w14:solidFill>
                          <w14:schemeClr w14:val="tx1"/>
                        </w14:solidFill>
                      </w14:textFill>
                    </w:rPr>
                    <w:t>(</w:t>
                  </w:r>
                  <w:r>
                    <w:rPr>
                      <w:rFonts w:hint="default" w:cs="Times New Roman"/>
                      <w:color w:val="000000" w:themeColor="text1"/>
                      <w:szCs w:val="20"/>
                      <w:highlight w:val="none"/>
                      <w14:textFill>
                        <w14:solidFill>
                          <w14:schemeClr w14:val="tx1"/>
                        </w14:solidFill>
                      </w14:textFill>
                    </w:rPr>
                    <w:t>A</w:t>
                  </w:r>
                  <w:r>
                    <w:rPr>
                      <w:rFonts w:hint="eastAsia" w:cs="Times New Roman"/>
                      <w:color w:val="000000" w:themeColor="text1"/>
                      <w:szCs w:val="20"/>
                      <w:highlight w:val="none"/>
                      <w:lang w:eastAsia="zh-CN"/>
                      <w14:textFill>
                        <w14:solidFill>
                          <w14:schemeClr w14:val="tx1"/>
                        </w14:solidFill>
                      </w14:textFill>
                    </w:rPr>
                    <w:t>))</w:t>
                  </w:r>
                </w:p>
              </w:tc>
              <w:tc>
                <w:tcPr>
                  <w:tcW w:w="1756" w:type="pct"/>
                  <w:gridSpan w:val="2"/>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执行标准</w:t>
                  </w:r>
                  <w:r>
                    <w:rPr>
                      <w:rFonts w:hint="eastAsia" w:cs="Times New Roman"/>
                      <w:color w:val="000000" w:themeColor="text1"/>
                      <w:szCs w:val="20"/>
                      <w:highlight w:val="none"/>
                      <w:lang w:eastAsia="zh-CN"/>
                      <w14:textFill>
                        <w14:solidFill>
                          <w14:schemeClr w14:val="tx1"/>
                        </w14:solidFill>
                      </w14:textFill>
                    </w:rPr>
                    <w:t>(</w:t>
                  </w:r>
                  <w:r>
                    <w:rPr>
                      <w:rFonts w:hint="default" w:cs="Times New Roman"/>
                      <w:color w:val="000000" w:themeColor="text1"/>
                      <w:szCs w:val="20"/>
                      <w:highlight w:val="none"/>
                      <w14:textFill>
                        <w14:solidFill>
                          <w14:schemeClr w14:val="tx1"/>
                        </w14:solidFill>
                      </w14:textFill>
                    </w:rPr>
                    <w:t>dB</w:t>
                  </w:r>
                  <w:r>
                    <w:rPr>
                      <w:rFonts w:hint="eastAsia" w:cs="Times New Roman"/>
                      <w:color w:val="000000" w:themeColor="text1"/>
                      <w:szCs w:val="20"/>
                      <w:highlight w:val="none"/>
                      <w:lang w:eastAsia="zh-CN"/>
                      <w14:textFill>
                        <w14:solidFill>
                          <w14:schemeClr w14:val="tx1"/>
                        </w14:solidFill>
                      </w14:textFill>
                    </w:rPr>
                    <w:t>(</w:t>
                  </w:r>
                  <w:r>
                    <w:rPr>
                      <w:rFonts w:hint="default" w:cs="Times New Roman"/>
                      <w:color w:val="000000" w:themeColor="text1"/>
                      <w:szCs w:val="20"/>
                      <w:highlight w:val="none"/>
                      <w14:textFill>
                        <w14:solidFill>
                          <w14:schemeClr w14:val="tx1"/>
                        </w14:solidFill>
                      </w14:textFill>
                    </w:rPr>
                    <w:t>A</w:t>
                  </w:r>
                  <w:r>
                    <w:rPr>
                      <w:rFonts w:hint="eastAsia" w:cs="Times New Roman"/>
                      <w:color w:val="000000" w:themeColor="text1"/>
                      <w:szCs w:val="20"/>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21"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765"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eastAsia="zh-CN"/>
                      <w14:textFill>
                        <w14:solidFill>
                          <w14:schemeClr w14:val="tx1"/>
                        </w14:solidFill>
                      </w14:textFill>
                    </w:rPr>
                  </w:pPr>
                </w:p>
              </w:tc>
              <w:tc>
                <w:tcPr>
                  <w:tcW w:w="882"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昼间</w:t>
                  </w:r>
                </w:p>
              </w:tc>
              <w:tc>
                <w:tcPr>
                  <w:tcW w:w="874"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夜间</w:t>
                  </w:r>
                </w:p>
              </w:tc>
              <w:tc>
                <w:tcPr>
                  <w:tcW w:w="813"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昼间</w:t>
                  </w:r>
                </w:p>
              </w:tc>
              <w:tc>
                <w:tcPr>
                  <w:tcW w:w="943"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restar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20</w:t>
                  </w:r>
                  <w:r>
                    <w:rPr>
                      <w:rFonts w:hint="default" w:cs="Times New Roman"/>
                      <w:color w:val="000000" w:themeColor="text1"/>
                      <w:szCs w:val="20"/>
                      <w:highlight w:val="none"/>
                      <w:lang w:val="en-US" w:eastAsia="zh-CN"/>
                      <w14:textFill>
                        <w14:solidFill>
                          <w14:schemeClr w14:val="tx1"/>
                        </w14:solidFill>
                      </w14:textFill>
                    </w:rPr>
                    <w:t>2</w:t>
                  </w:r>
                  <w:r>
                    <w:rPr>
                      <w:rFonts w:hint="eastAsia" w:cs="Times New Roman"/>
                      <w:color w:val="000000" w:themeColor="text1"/>
                      <w:szCs w:val="20"/>
                      <w:highlight w:val="none"/>
                      <w:lang w:val="en-US" w:eastAsia="zh-CN"/>
                      <w14:textFill>
                        <w14:solidFill>
                          <w14:schemeClr w14:val="tx1"/>
                        </w14:solidFill>
                      </w14:textFill>
                    </w:rPr>
                    <w:t>2</w:t>
                  </w:r>
                  <w:r>
                    <w:rPr>
                      <w:rFonts w:hint="default" w:cs="Times New Roman"/>
                      <w:color w:val="000000" w:themeColor="text1"/>
                      <w:szCs w:val="20"/>
                      <w:highlight w:val="none"/>
                      <w14:textFill>
                        <w14:solidFill>
                          <w14:schemeClr w14:val="tx1"/>
                        </w14:solidFill>
                      </w14:textFill>
                    </w:rPr>
                    <w:t>年</w:t>
                  </w:r>
                  <w:r>
                    <w:rPr>
                      <w:rFonts w:hint="eastAsia" w:cs="Times New Roman"/>
                      <w:color w:val="000000" w:themeColor="text1"/>
                      <w:szCs w:val="20"/>
                      <w:highlight w:val="none"/>
                      <w:lang w:val="en-US" w:eastAsia="zh-CN"/>
                      <w14:textFill>
                        <w14:solidFill>
                          <w14:schemeClr w14:val="tx1"/>
                        </w14:solidFill>
                      </w14:textFill>
                    </w:rPr>
                    <w:t>7</w:t>
                  </w:r>
                  <w:r>
                    <w:rPr>
                      <w:rFonts w:hint="default" w:cs="Times New Roman"/>
                      <w:color w:val="000000" w:themeColor="text1"/>
                      <w:szCs w:val="20"/>
                      <w:highlight w:val="none"/>
                      <w14:textFill>
                        <w14:solidFill>
                          <w14:schemeClr w14:val="tx1"/>
                        </w14:solidFill>
                      </w14:textFill>
                    </w:rPr>
                    <w:t>月</w:t>
                  </w:r>
                  <w:r>
                    <w:rPr>
                      <w:rFonts w:hint="eastAsia" w:cs="Times New Roman"/>
                      <w:color w:val="000000" w:themeColor="text1"/>
                      <w:szCs w:val="20"/>
                      <w:highlight w:val="none"/>
                      <w:lang w:val="en-US" w:eastAsia="zh-CN"/>
                      <w14:textFill>
                        <w14:solidFill>
                          <w14:schemeClr w14:val="tx1"/>
                        </w14:solidFill>
                      </w14:textFill>
                    </w:rPr>
                    <w:t>2</w:t>
                  </w:r>
                  <w:r>
                    <w:rPr>
                      <w:rFonts w:hint="default" w:cs="Times New Roman"/>
                      <w:color w:val="000000" w:themeColor="text1"/>
                      <w:szCs w:val="20"/>
                      <w:highlight w:val="none"/>
                      <w14:textFill>
                        <w14:solidFill>
                          <w14:schemeClr w14:val="tx1"/>
                        </w14:solidFill>
                      </w14:textFill>
                    </w:rPr>
                    <w:t>日</w:t>
                  </w:r>
                </w:p>
              </w:tc>
              <w:tc>
                <w:tcPr>
                  <w:tcW w:w="765"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N1</w:t>
                  </w:r>
                  <w:r>
                    <w:rPr>
                      <w:rFonts w:hint="eastAsia" w:cs="Times New Roman"/>
                      <w:color w:val="000000" w:themeColor="text1"/>
                      <w:szCs w:val="20"/>
                      <w:highlight w:val="none"/>
                      <w:lang w:val="en-US" w:eastAsia="zh-CN"/>
                      <w14:textFill>
                        <w14:solidFill>
                          <w14:schemeClr w14:val="tx1"/>
                        </w14:solidFill>
                      </w14:textFill>
                    </w:rPr>
                    <w:t>项目起点</w:t>
                  </w:r>
                </w:p>
              </w:tc>
              <w:tc>
                <w:tcPr>
                  <w:tcW w:w="882"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48.9</w:t>
                  </w:r>
                </w:p>
              </w:tc>
              <w:tc>
                <w:tcPr>
                  <w:tcW w:w="874"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48.9</w:t>
                  </w:r>
                </w:p>
              </w:tc>
              <w:tc>
                <w:tcPr>
                  <w:tcW w:w="813" w:type="pct"/>
                  <w:vMerge w:val="restar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w:t>
                  </w:r>
                </w:p>
              </w:tc>
              <w:tc>
                <w:tcPr>
                  <w:tcW w:w="943" w:type="pct"/>
                  <w:vMerge w:val="restar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765"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eastAsia="zh-CN"/>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N2</w:t>
                  </w:r>
                  <w:r>
                    <w:rPr>
                      <w:rFonts w:hint="eastAsia" w:cs="Times New Roman"/>
                      <w:color w:val="000000" w:themeColor="text1"/>
                      <w:szCs w:val="20"/>
                      <w:highlight w:val="none"/>
                      <w:lang w:val="en-US" w:eastAsia="zh-CN"/>
                      <w14:textFill>
                        <w14:solidFill>
                          <w14:schemeClr w14:val="tx1"/>
                        </w14:solidFill>
                      </w14:textFill>
                    </w:rPr>
                    <w:t>溪底村</w:t>
                  </w:r>
                </w:p>
              </w:tc>
              <w:tc>
                <w:tcPr>
                  <w:tcW w:w="882"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46.6</w:t>
                  </w:r>
                </w:p>
              </w:tc>
              <w:tc>
                <w:tcPr>
                  <w:tcW w:w="874"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43.5</w:t>
                  </w:r>
                </w:p>
              </w:tc>
              <w:tc>
                <w:tcPr>
                  <w:tcW w:w="813"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943"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765"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eastAsia="zh-CN"/>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N3</w:t>
                  </w:r>
                  <w:r>
                    <w:rPr>
                      <w:rFonts w:hint="eastAsia" w:cs="Times New Roman"/>
                      <w:color w:val="000000" w:themeColor="text1"/>
                      <w:szCs w:val="20"/>
                      <w:highlight w:val="none"/>
                      <w:lang w:val="en-US" w:eastAsia="zh-CN"/>
                      <w14:textFill>
                        <w14:solidFill>
                          <w14:schemeClr w14:val="tx1"/>
                        </w14:solidFill>
                      </w14:textFill>
                    </w:rPr>
                    <w:t>项目终点</w:t>
                  </w:r>
                </w:p>
              </w:tc>
              <w:tc>
                <w:tcPr>
                  <w:tcW w:w="882"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45.5</w:t>
                  </w:r>
                </w:p>
              </w:tc>
              <w:tc>
                <w:tcPr>
                  <w:tcW w:w="874"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4</w:t>
                  </w:r>
                  <w:r>
                    <w:rPr>
                      <w:rFonts w:hint="default" w:cs="Times New Roman"/>
                      <w:color w:val="000000" w:themeColor="text1"/>
                      <w:szCs w:val="20"/>
                      <w:highlight w:val="none"/>
                      <w:lang w:val="en-US" w:eastAsia="zh-CN"/>
                      <w14:textFill>
                        <w14:solidFill>
                          <w14:schemeClr w14:val="tx1"/>
                        </w14:solidFill>
                      </w14:textFill>
                    </w:rPr>
                    <w:t>3.2</w:t>
                  </w:r>
                </w:p>
              </w:tc>
              <w:tc>
                <w:tcPr>
                  <w:tcW w:w="813"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c>
                <w:tcPr>
                  <w:tcW w:w="943" w:type="pct"/>
                  <w:vMerge w:val="continue"/>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tcBorders>
                    <w:tl2br w:val="nil"/>
                    <w:tr2bl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备注</w:t>
                  </w:r>
                </w:p>
              </w:tc>
              <w:tc>
                <w:tcPr>
                  <w:tcW w:w="4278" w:type="pct"/>
                  <w:gridSpan w:val="5"/>
                  <w:tcBorders>
                    <w:tl2br w:val="nil"/>
                    <w:tr2bl w:val="nil"/>
                  </w:tcBorders>
                  <w:noWrap w:val="0"/>
                  <w:vAlign w:val="bottom"/>
                </w:tcPr>
                <w:p>
                  <w:pPr>
                    <w:pStyle w:val="19"/>
                    <w:keepNext w:val="0"/>
                    <w:keepLines w:val="0"/>
                    <w:widowControl/>
                    <w:suppressLineNumbers w:val="0"/>
                    <w:shd w:val="clear"/>
                    <w:bidi w:val="0"/>
                    <w:spacing w:before="0" w:beforeAutospacing="0" w:after="0" w:afterAutospacing="0"/>
                    <w:ind w:left="0" w:right="0"/>
                    <w:jc w:val="both"/>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检测气象条件：天气晴，风速&lt;5m/s。</w:t>
                  </w:r>
                </w:p>
              </w:tc>
            </w:tr>
          </w:tbl>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由表</w:t>
            </w:r>
            <w:r>
              <w:rPr>
                <w:rFonts w:hint="eastAsia"/>
                <w:color w:val="000000" w:themeColor="text1"/>
                <w:highlight w:val="none"/>
                <w:lang w:val="en-US" w:eastAsia="zh-CN"/>
                <w14:textFill>
                  <w14:solidFill>
                    <w14:schemeClr w14:val="tx1"/>
                  </w14:solidFill>
                </w14:textFill>
              </w:rPr>
              <w:t>20</w:t>
            </w:r>
            <w:r>
              <w:rPr>
                <w:rFonts w:hint="default"/>
                <w:color w:val="000000" w:themeColor="text1"/>
                <w:highlight w:val="none"/>
                <w14:textFill>
                  <w14:solidFill>
                    <w14:schemeClr w14:val="tx1"/>
                  </w14:solidFill>
                </w14:textFill>
              </w:rPr>
              <w:t>可知，项目</w:t>
            </w:r>
            <w:r>
              <w:rPr>
                <w:rFonts w:hint="eastAsia"/>
                <w:color w:val="000000" w:themeColor="text1"/>
                <w:highlight w:val="none"/>
                <w:lang w:val="en-US" w:eastAsia="zh-CN"/>
                <w14:textFill>
                  <w14:solidFill>
                    <w14:schemeClr w14:val="tx1"/>
                  </w14:solidFill>
                </w14:textFill>
              </w:rPr>
              <w:t>周边敏感目标声环境质量现状均可达</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声环境质量标准</w:t>
            </w:r>
            <w:r>
              <w:rPr>
                <w:rFonts w:hint="default"/>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GB</w:t>
            </w:r>
            <w:r>
              <w:rPr>
                <w:rFonts w:hint="eastAsia"/>
                <w:color w:val="000000" w:themeColor="text1"/>
                <w:highlight w:val="none"/>
                <w:lang w:val="en-US" w:eastAsia="zh-CN"/>
                <w14:textFill>
                  <w14:solidFill>
                    <w14:schemeClr w14:val="tx1"/>
                  </w14:solidFill>
                </w14:textFill>
              </w:rPr>
              <w:t>3096-2008</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中的</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类标准</w:t>
            </w:r>
            <w:r>
              <w:rPr>
                <w:rFonts w:hint="eastAsia"/>
                <w:color w:val="000000" w:themeColor="text1"/>
                <w:highlight w:val="none"/>
                <w:lang w:val="en-US" w:eastAsia="zh-CN"/>
                <w14:textFill>
                  <w14:solidFill>
                    <w14:schemeClr w14:val="tx1"/>
                  </w14:solidFill>
                </w14:textFill>
              </w:rPr>
              <w:t>限值要求</w:t>
            </w:r>
            <w:r>
              <w:rPr>
                <w:rFonts w:hint="default"/>
                <w:color w:val="000000" w:themeColor="text1"/>
                <w:highlight w:val="none"/>
                <w14:textFill>
                  <w14:solidFill>
                    <w14:schemeClr w14:val="tx1"/>
                  </w14:solidFill>
                </w14:textFill>
              </w:rPr>
              <w:t>。</w:t>
            </w:r>
          </w:p>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4.生态环境现状</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4.1</w:t>
            </w:r>
            <w:r>
              <w:rPr>
                <w:rFonts w:hint="default"/>
                <w:color w:val="000000" w:themeColor="text1"/>
                <w:highlight w:val="none"/>
                <w:lang w:val="en-US" w:eastAsia="zh-CN"/>
                <w14:textFill>
                  <w14:solidFill>
                    <w14:schemeClr w14:val="tx1"/>
                  </w14:solidFill>
                </w14:textFill>
              </w:rPr>
              <w:t>土地利用现状</w:t>
            </w:r>
          </w:p>
          <w:p>
            <w:pPr>
              <w:keepNext w:val="0"/>
              <w:keepLines w:val="0"/>
              <w:suppressLineNumbers w:val="0"/>
              <w:shd w:val="clear"/>
              <w:bidi w:val="0"/>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本项目总用地面积</w:t>
            </w:r>
            <w:r>
              <w:rPr>
                <w:rFonts w:hint="eastAsia"/>
                <w:color w:val="000000" w:themeColor="text1"/>
                <w:sz w:val="24"/>
                <w:szCs w:val="24"/>
                <w:highlight w:val="none"/>
                <w:lang w:val="en-US" w:eastAsia="zh-CN"/>
                <w14:textFill>
                  <w14:solidFill>
                    <w14:schemeClr w14:val="tx1"/>
                  </w14:solidFill>
                </w14:textFill>
              </w:rPr>
              <w:t>53.95</w:t>
            </w:r>
            <w:r>
              <w:rPr>
                <w:rFonts w:hint="default"/>
                <w:color w:val="000000" w:themeColor="text1"/>
                <w:sz w:val="24"/>
                <w:szCs w:val="24"/>
                <w:highlight w:val="none"/>
                <w:lang w:val="en-US" w:eastAsia="zh-CN"/>
                <w14:textFill>
                  <w14:solidFill>
                    <w14:schemeClr w14:val="tx1"/>
                  </w14:solidFill>
                </w14:textFill>
              </w:rPr>
              <w:t>亩，路线全长</w:t>
            </w:r>
            <w:r>
              <w:rPr>
                <w:rFonts w:hint="eastAsia"/>
                <w:color w:val="000000" w:themeColor="text1"/>
                <w:sz w:val="24"/>
                <w:szCs w:val="24"/>
                <w:highlight w:val="none"/>
                <w:lang w:val="en-US" w:eastAsia="zh-CN"/>
                <w14:textFill>
                  <w14:solidFill>
                    <w14:schemeClr w14:val="tx1"/>
                  </w14:solidFill>
                </w14:textFill>
              </w:rPr>
              <w:t>2948.3</w:t>
            </w:r>
            <w:r>
              <w:rPr>
                <w:rFonts w:hint="default"/>
                <w:color w:val="000000" w:themeColor="text1"/>
                <w:sz w:val="24"/>
                <w:szCs w:val="24"/>
                <w:highlight w:val="none"/>
                <w:lang w:val="en-US" w:eastAsia="zh-CN"/>
                <w14:textFill>
                  <w14:solidFill>
                    <w14:schemeClr w14:val="tx1"/>
                  </w14:solidFill>
                </w14:textFill>
              </w:rPr>
              <w:t>m；占地类型为</w:t>
            </w:r>
            <w:r>
              <w:rPr>
                <w:rFonts w:hint="eastAsia"/>
                <w:color w:val="000000" w:themeColor="text1"/>
                <w:sz w:val="24"/>
                <w:szCs w:val="24"/>
                <w:highlight w:val="none"/>
                <w:lang w:val="en-US" w:eastAsia="zh-CN"/>
                <w14:textFill>
                  <w14:solidFill>
                    <w14:schemeClr w14:val="tx1"/>
                  </w14:solidFill>
                </w14:textFill>
              </w:rPr>
              <w:t>茶园3.27</w:t>
            </w:r>
            <w:r>
              <w:rPr>
                <w:rFonts w:hint="default"/>
                <w:color w:val="000000" w:themeColor="text1"/>
                <w:sz w:val="24"/>
                <w:szCs w:val="24"/>
                <w:highlight w:val="none"/>
                <w:lang w:val="en-US" w:eastAsia="zh-CN"/>
                <w14:textFill>
                  <w14:solidFill>
                    <w14:schemeClr w14:val="tx1"/>
                  </w14:solidFill>
                </w14:textFill>
              </w:rPr>
              <w:t>亩，</w:t>
            </w:r>
            <w:r>
              <w:rPr>
                <w:rFonts w:hint="eastAsia"/>
                <w:color w:val="000000" w:themeColor="text1"/>
                <w:sz w:val="24"/>
                <w:szCs w:val="24"/>
                <w:highlight w:val="none"/>
                <w:lang w:val="en-US" w:eastAsia="zh-CN"/>
                <w14:textFill>
                  <w14:solidFill>
                    <w14:schemeClr w14:val="tx1"/>
                  </w14:solidFill>
                </w14:textFill>
              </w:rPr>
              <w:t>山地32.46</w:t>
            </w:r>
            <w:r>
              <w:rPr>
                <w:rFonts w:hint="default"/>
                <w:color w:val="000000" w:themeColor="text1"/>
                <w:sz w:val="24"/>
                <w:szCs w:val="24"/>
                <w:highlight w:val="none"/>
                <w:lang w:val="en-US" w:eastAsia="zh-CN"/>
                <w14:textFill>
                  <w14:solidFill>
                    <w14:schemeClr w14:val="tx1"/>
                  </w14:solidFill>
                </w14:textFill>
              </w:rPr>
              <w:t>亩，</w:t>
            </w:r>
            <w:r>
              <w:rPr>
                <w:rFonts w:hint="eastAsia"/>
                <w:color w:val="000000" w:themeColor="text1"/>
                <w:sz w:val="24"/>
                <w:szCs w:val="24"/>
                <w:highlight w:val="none"/>
                <w:lang w:val="en-US" w:eastAsia="zh-CN"/>
                <w14:textFill>
                  <w14:solidFill>
                    <w14:schemeClr w14:val="tx1"/>
                  </w14:solidFill>
                </w14:textFill>
              </w:rPr>
              <w:t>旧路18.22</w:t>
            </w:r>
            <w:r>
              <w:rPr>
                <w:rFonts w:hint="default"/>
                <w:color w:val="000000" w:themeColor="text1"/>
                <w:sz w:val="24"/>
                <w:szCs w:val="24"/>
                <w:highlight w:val="none"/>
                <w:lang w:val="en-US" w:eastAsia="zh-CN"/>
                <w14:textFill>
                  <w14:solidFill>
                    <w14:schemeClr w14:val="tx1"/>
                  </w14:solidFill>
                </w14:textFill>
              </w:rPr>
              <w:t>亩。临时施工场地面积</w:t>
            </w:r>
            <w:r>
              <w:rPr>
                <w:rFonts w:hint="eastAsia"/>
                <w:color w:val="000000" w:themeColor="text1"/>
                <w:sz w:val="24"/>
                <w:szCs w:val="24"/>
                <w:highlight w:val="none"/>
                <w:lang w:val="en-US" w:eastAsia="zh-CN"/>
                <w14:textFill>
                  <w14:solidFill>
                    <w14:schemeClr w14:val="tx1"/>
                  </w14:solidFill>
                </w14:textFill>
              </w:rPr>
              <w:t>1.5</w:t>
            </w:r>
            <w:r>
              <w:rPr>
                <w:rFonts w:hint="default"/>
                <w:color w:val="000000" w:themeColor="text1"/>
                <w:sz w:val="24"/>
                <w:szCs w:val="24"/>
                <w:highlight w:val="none"/>
                <w:lang w:val="en-US" w:eastAsia="zh-CN"/>
                <w14:textFill>
                  <w14:solidFill>
                    <w14:schemeClr w14:val="tx1"/>
                  </w14:solidFill>
                </w14:textFill>
              </w:rPr>
              <w:t>亩。项目用地不占用基本农田</w:t>
            </w:r>
            <w:r>
              <w:rPr>
                <w:rFonts w:hint="eastAsia"/>
                <w:color w:val="000000" w:themeColor="text1"/>
                <w:sz w:val="24"/>
                <w:szCs w:val="24"/>
                <w:highlight w:val="none"/>
                <w:lang w:val="en-US" w:eastAsia="zh-CN"/>
                <w14:textFill>
                  <w14:solidFill>
                    <w14:schemeClr w14:val="tx1"/>
                  </w14:solidFill>
                </w14:textFill>
              </w:rPr>
              <w:t>。</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4.2生态现状</w:t>
            </w:r>
          </w:p>
          <w:p>
            <w:pPr>
              <w:keepNext w:val="0"/>
              <w:keepLines w:val="0"/>
              <w:suppressLineNumbers w:val="0"/>
              <w:shd w:val="clear"/>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根据对本</w:t>
            </w:r>
            <w:r>
              <w:rPr>
                <w:rFonts w:hint="eastAsia"/>
                <w:color w:val="000000" w:themeColor="text1"/>
                <w:sz w:val="24"/>
                <w:szCs w:val="24"/>
                <w:highlight w:val="none"/>
                <w:lang w:val="en-US" w:eastAsia="zh-CN"/>
                <w14:textFill>
                  <w14:solidFill>
                    <w14:schemeClr w14:val="tx1"/>
                  </w14:solidFill>
                </w14:textFill>
              </w:rPr>
              <w:t>项目周边的生态环境现状</w:t>
            </w:r>
            <w:r>
              <w:rPr>
                <w:rFonts w:hint="default"/>
                <w:color w:val="000000" w:themeColor="text1"/>
                <w:sz w:val="24"/>
                <w:szCs w:val="24"/>
                <w:highlight w:val="none"/>
                <w14:textFill>
                  <w14:solidFill>
                    <w14:schemeClr w14:val="tx1"/>
                  </w14:solidFill>
                </w14:textFill>
              </w:rPr>
              <w:t>调查，可将</w:t>
            </w:r>
            <w:r>
              <w:rPr>
                <w:rFonts w:hint="eastAsia"/>
                <w:color w:val="000000" w:themeColor="text1"/>
                <w:sz w:val="24"/>
                <w:szCs w:val="24"/>
                <w:highlight w:val="none"/>
                <w:lang w:val="en-US" w:eastAsia="zh-CN"/>
                <w14:textFill>
                  <w14:solidFill>
                    <w14:schemeClr w14:val="tx1"/>
                  </w14:solidFill>
                </w14:textFill>
              </w:rPr>
              <w:t>项目所在区内的</w:t>
            </w:r>
            <w:r>
              <w:rPr>
                <w:rFonts w:hint="default"/>
                <w:color w:val="000000" w:themeColor="text1"/>
                <w:sz w:val="24"/>
                <w:szCs w:val="24"/>
                <w:highlight w:val="none"/>
                <w14:textFill>
                  <w14:solidFill>
                    <w14:schemeClr w14:val="tx1"/>
                  </w14:solidFill>
                </w14:textFill>
              </w:rPr>
              <w:t>现状生态系统划分为</w:t>
            </w:r>
            <w:r>
              <w:rPr>
                <w:rFonts w:hint="eastAsia"/>
                <w:color w:val="000000" w:themeColor="text1"/>
                <w:sz w:val="24"/>
                <w:szCs w:val="24"/>
                <w:highlight w:val="none"/>
                <w:lang w:val="en-US" w:eastAsia="zh-CN"/>
                <w14:textFill>
                  <w14:solidFill>
                    <w14:schemeClr w14:val="tx1"/>
                  </w14:solidFill>
                </w14:textFill>
              </w:rPr>
              <w:t>4</w:t>
            </w:r>
            <w:r>
              <w:rPr>
                <w:rFonts w:hint="default"/>
                <w:color w:val="000000" w:themeColor="text1"/>
                <w:sz w:val="24"/>
                <w:szCs w:val="24"/>
                <w:highlight w:val="none"/>
                <w14:textFill>
                  <w14:solidFill>
                    <w14:schemeClr w14:val="tx1"/>
                  </w14:solidFill>
                </w14:textFill>
              </w:rPr>
              <w:t>种主要类型，包括农田生态系统、林地生态系统、</w:t>
            </w:r>
            <w:r>
              <w:rPr>
                <w:rFonts w:hint="eastAsia"/>
                <w:color w:val="000000" w:themeColor="text1"/>
                <w:sz w:val="24"/>
                <w:szCs w:val="24"/>
                <w:highlight w:val="none"/>
                <w:lang w:val="en-US" w:eastAsia="zh-CN"/>
                <w14:textFill>
                  <w14:solidFill>
                    <w14:schemeClr w14:val="tx1"/>
                  </w14:solidFill>
                </w14:textFill>
              </w:rPr>
              <w:t>野生动物生态系统</w:t>
            </w:r>
            <w:r>
              <w:rPr>
                <w:rFonts w:hint="default"/>
                <w:color w:val="000000" w:themeColor="text1"/>
                <w:sz w:val="24"/>
                <w:szCs w:val="24"/>
                <w:highlight w:val="none"/>
                <w14:textFill>
                  <w14:solidFill>
                    <w14:schemeClr w14:val="tx1"/>
                  </w14:solidFill>
                </w14:textFill>
              </w:rPr>
              <w:t>以及水域生态系统。规划片区内各生态系统特征及质量现状如下：</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农田生态系统</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在透溪线两侧</w:t>
            </w:r>
            <w:r>
              <w:rPr>
                <w:rFonts w:hint="default"/>
                <w:color w:val="000000" w:themeColor="text1"/>
                <w:sz w:val="24"/>
                <w:szCs w:val="24"/>
                <w:highlight w:val="none"/>
                <w14:textFill>
                  <w14:solidFill>
                    <w14:schemeClr w14:val="tx1"/>
                  </w14:solidFill>
                </w14:textFill>
              </w:rPr>
              <w:t>分布，主要种植水稻</w:t>
            </w:r>
            <w:r>
              <w:rPr>
                <w:rFonts w:hint="default"/>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芋头及玉米</w:t>
            </w:r>
            <w:r>
              <w:rPr>
                <w:rFonts w:hint="default"/>
                <w:color w:val="000000" w:themeColor="text1"/>
                <w:sz w:val="24"/>
                <w:szCs w:val="24"/>
                <w:highlight w:val="none"/>
                <w14:textFill>
                  <w14:solidFill>
                    <w14:schemeClr w14:val="tx1"/>
                  </w14:solidFill>
                </w14:textFill>
              </w:rPr>
              <w:t>等作物。农田生态系统是人类用来生产</w:t>
            </w:r>
            <w:r>
              <w:rPr>
                <w:rFonts w:hint="default"/>
                <w:color w:val="000000" w:themeColor="text1"/>
                <w:sz w:val="24"/>
                <w:szCs w:val="24"/>
                <w:highlight w:val="none"/>
                <w:lang w:val="en-US" w:eastAsia="zh-CN"/>
                <w14:textFill>
                  <w14:solidFill>
                    <w14:schemeClr w14:val="tx1"/>
                  </w14:solidFill>
                </w14:textFill>
              </w:rPr>
              <w:t>的</w:t>
            </w:r>
            <w:r>
              <w:rPr>
                <w:rFonts w:hint="default"/>
                <w:color w:val="000000" w:themeColor="text1"/>
                <w:sz w:val="24"/>
                <w:szCs w:val="24"/>
                <w:highlight w:val="none"/>
                <w14:textFill>
                  <w14:solidFill>
                    <w14:schemeClr w14:val="tx1"/>
                  </w14:solidFill>
                </w14:textFill>
              </w:rPr>
              <w:t>半自然、半人工的生态系统，与周围其他生态系统的物质和能量交流较少，是一个相对孤立的系统，主要依靠人类的能量输入来保证其物质的输出。规划范围内农田生态系统的主要生态功能为农产品生产、农田景观维护以及水土保持。农田生态系统因受到强烈的人类干预，造成系统内土地利用方式十分单一，只能维持较短的食物链，因此系统内部物种多样性水平很低。从现场调查情况来看，目前</w:t>
            </w:r>
            <w:r>
              <w:rPr>
                <w:rFonts w:hint="eastAsia"/>
                <w:color w:val="000000" w:themeColor="text1"/>
                <w:sz w:val="24"/>
                <w:szCs w:val="24"/>
                <w:highlight w:val="none"/>
                <w:lang w:val="en-US" w:eastAsia="zh-CN"/>
                <w14:textFill>
                  <w14:solidFill>
                    <w14:schemeClr w14:val="tx1"/>
                  </w14:solidFill>
                </w14:textFill>
              </w:rPr>
              <w:t>透溪线两侧的</w:t>
            </w:r>
            <w:r>
              <w:rPr>
                <w:rFonts w:hint="default"/>
                <w:color w:val="000000" w:themeColor="text1"/>
                <w:sz w:val="24"/>
                <w:szCs w:val="24"/>
                <w:highlight w:val="none"/>
                <w14:textFill>
                  <w14:solidFill>
                    <w14:schemeClr w14:val="tx1"/>
                  </w14:solidFill>
                </w14:textFill>
              </w:rPr>
              <w:t>农田生态系统在人类的打理下，整体生态系统的质量较好。</w:t>
            </w:r>
          </w:p>
          <w:p>
            <w:pPr>
              <w:pStyle w:val="3"/>
              <w:keepLines w:val="0"/>
              <w:numPr>
                <w:ilvl w:val="0"/>
                <w:numId w:val="0"/>
              </w:numPr>
              <w:suppressLineNumbers w:val="0"/>
              <w:shd w:val="clear"/>
              <w:spacing w:beforeAutospacing="0" w:afterAutospacing="0"/>
              <w:ind w:leftChars="0" w:right="0"/>
              <w:rPr>
                <w:rFonts w:hint="default"/>
                <w:color w:val="000000" w:themeColor="text1"/>
                <w:highlight w:val="none"/>
                <w:lang w:val="en-US" w:eastAsia="zh-CN"/>
                <w14:textFill>
                  <w14:solidFill>
                    <w14:schemeClr w14:val="tx1"/>
                  </w14:solidFill>
                </w14:textFill>
              </w:rPr>
            </w:pPr>
          </w:p>
          <w:p>
            <w:pPr>
              <w:keepNext w:val="0"/>
              <w:keepLines w:val="0"/>
              <w:suppressLineNumbers w:val="0"/>
              <w:shd w:val="clear"/>
              <w:spacing w:before="0" w:beforeAutospacing="0" w:after="0" w:afterAutospacing="0"/>
              <w:ind w:left="0" w:right="0"/>
              <w:rPr>
                <w:rFonts w:hint="default"/>
                <w:color w:val="000000" w:themeColor="text1"/>
                <w:highlight w:val="none"/>
                <w14:textFill>
                  <w14:solidFill>
                    <w14:schemeClr w14:val="tx1"/>
                  </w14:solidFill>
                </w14:textFill>
              </w:rPr>
            </w:pPr>
          </w:p>
          <w:p>
            <w:pPr>
              <w:pStyle w:val="3"/>
              <w:keepLines w:val="0"/>
              <w:numPr>
                <w:ilvl w:val="0"/>
                <w:numId w:val="0"/>
              </w:numPr>
              <w:suppressLineNumbers w:val="0"/>
              <w:shd w:val="clear"/>
              <w:spacing w:beforeAutospacing="0" w:afterAutospacing="0"/>
              <w:ind w:leftChars="0" w:right="0"/>
              <w:rPr>
                <w:rFonts w:hint="default"/>
                <w:color w:val="000000" w:themeColor="text1"/>
                <w:highlight w:val="none"/>
                <w:lang w:val="en-US" w:eastAsia="zh-CN"/>
                <w14:textFill>
                  <w14:solidFill>
                    <w14:schemeClr w14:val="tx1"/>
                  </w14:solidFill>
                </w14:textFill>
              </w:rPr>
            </w:pPr>
          </w:p>
          <w:p>
            <w:pPr>
              <w:pStyle w:val="3"/>
              <w:keepLines w:val="0"/>
              <w:numPr>
                <w:ilvl w:val="0"/>
                <w:numId w:val="0"/>
              </w:numPr>
              <w:suppressLineNumbers w:val="0"/>
              <w:shd w:val="clear"/>
              <w:spacing w:beforeAutospacing="0" w:afterAutospacing="0"/>
              <w:ind w:leftChars="0" w:right="0"/>
              <w:rPr>
                <w:rFonts w:hint="default"/>
                <w:color w:val="000000" w:themeColor="text1"/>
                <w:highlight w:val="none"/>
                <w:lang w:val="en-US" w:eastAsia="zh-CN"/>
                <w14:textFill>
                  <w14:solidFill>
                    <w14:schemeClr w14:val="tx1"/>
                  </w14:solidFill>
                </w14:textFill>
              </w:rPr>
            </w:pPr>
          </w:p>
          <w:p>
            <w:pPr>
              <w:keepNext w:val="0"/>
              <w:keepLines w:val="0"/>
              <w:suppressLineNumbers w:val="0"/>
              <w:shd w:val="clear"/>
              <w:spacing w:before="0" w:beforeAutospacing="0" w:after="0" w:afterAutospacing="0" w:line="360" w:lineRule="auto"/>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2660650</wp:posOffset>
                  </wp:positionH>
                  <wp:positionV relativeFrom="paragraph">
                    <wp:posOffset>50800</wp:posOffset>
                  </wp:positionV>
                  <wp:extent cx="2346960" cy="1739900"/>
                  <wp:effectExtent l="0" t="0" r="15240" b="12700"/>
                  <wp:wrapNone/>
                  <wp:docPr id="4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2"/>
                          <pic:cNvPicPr>
                            <a:picLocks noChangeAspect="1"/>
                          </pic:cNvPicPr>
                        </pic:nvPicPr>
                        <pic:blipFill>
                          <a:blip r:embed="rId16"/>
                          <a:srcRect l="37079" t="43938"/>
                          <a:stretch>
                            <a:fillRect/>
                          </a:stretch>
                        </pic:blipFill>
                        <pic:spPr>
                          <a:xfrm>
                            <a:off x="0" y="0"/>
                            <a:ext cx="2346960" cy="1739900"/>
                          </a:xfrm>
                          <a:prstGeom prst="rect">
                            <a:avLst/>
                          </a:prstGeom>
                          <a:noFill/>
                          <a:ln>
                            <a:noFill/>
                          </a:ln>
                        </pic:spPr>
                      </pic:pic>
                    </a:graphicData>
                  </a:graphic>
                </wp:anchor>
              </w:drawing>
            </w:r>
            <w:r>
              <w:rPr>
                <w:rFonts w:hint="default"/>
                <w:color w:val="000000" w:themeColor="text1"/>
                <w:highlight w:val="none"/>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51435</wp:posOffset>
                  </wp:positionV>
                  <wp:extent cx="2326640" cy="1745615"/>
                  <wp:effectExtent l="0" t="0" r="16510" b="6985"/>
                  <wp:wrapNone/>
                  <wp:docPr id="39"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1"/>
                          <pic:cNvPicPr>
                            <a:picLocks noChangeAspect="1"/>
                          </pic:cNvPicPr>
                        </pic:nvPicPr>
                        <pic:blipFill>
                          <a:blip r:embed="rId17"/>
                          <a:stretch>
                            <a:fillRect/>
                          </a:stretch>
                        </pic:blipFill>
                        <pic:spPr>
                          <a:xfrm>
                            <a:off x="0" y="0"/>
                            <a:ext cx="2326640" cy="1745615"/>
                          </a:xfrm>
                          <a:prstGeom prst="rect">
                            <a:avLst/>
                          </a:prstGeom>
                          <a:noFill/>
                          <a:ln>
                            <a:noFill/>
                          </a:ln>
                        </pic:spPr>
                      </pic:pic>
                    </a:graphicData>
                  </a:graphic>
                </wp:anchor>
              </w:drawing>
            </w:r>
          </w:p>
          <w:p>
            <w:pPr>
              <w:keepNext/>
              <w:keepLines w:val="0"/>
              <w:widowControl w:val="0"/>
              <w:suppressLineNumbers w:val="0"/>
              <w:shd w:val="clear"/>
              <w:overflowPunct w:val="0"/>
              <w:snapToGrid w:val="0"/>
              <w:spacing w:before="0" w:beforeAutospacing="0" w:after="0" w:afterAutospacing="0" w:line="360" w:lineRule="auto"/>
              <w:ind w:left="0" w:right="0" w:firstLine="0"/>
              <w:jc w:val="both"/>
              <w:outlineLvl w:val="0"/>
              <w:rPr>
                <w:rFonts w:hint="default"/>
                <w:color w:val="000000" w:themeColor="text1"/>
                <w:highlight w:val="none"/>
                <w:lang w:val="en-US" w:eastAsia="zh-CN"/>
                <w14:textFill>
                  <w14:solidFill>
                    <w14:schemeClr w14:val="tx1"/>
                  </w14:solidFill>
                </w14:textFill>
              </w:rPr>
            </w:pPr>
          </w:p>
          <w:p>
            <w:pPr>
              <w:keepNext w:val="0"/>
              <w:keepLines w:val="0"/>
              <w:suppressLineNumbers w:val="0"/>
              <w:shd w:val="clear"/>
              <w:spacing w:before="0" w:beforeAutospacing="0" w:after="0" w:afterAutospacing="0" w:line="360" w:lineRule="auto"/>
              <w:ind w:left="0" w:right="0"/>
              <w:rPr>
                <w:rFonts w:hint="default"/>
                <w:color w:val="000000" w:themeColor="text1"/>
                <w:highlight w:val="none"/>
                <w:lang w:val="en-US" w:eastAsia="zh-CN"/>
                <w14:textFill>
                  <w14:solidFill>
                    <w14:schemeClr w14:val="tx1"/>
                  </w14:solidFill>
                </w14:textFill>
              </w:rPr>
            </w:pPr>
          </w:p>
          <w:p>
            <w:pPr>
              <w:keepNext/>
              <w:keepLines w:val="0"/>
              <w:widowControl w:val="0"/>
              <w:suppressLineNumbers w:val="0"/>
              <w:shd w:val="clear"/>
              <w:overflowPunct w:val="0"/>
              <w:snapToGrid w:val="0"/>
              <w:spacing w:before="0" w:beforeAutospacing="0" w:after="0" w:afterAutospacing="0" w:line="360" w:lineRule="auto"/>
              <w:ind w:left="0" w:right="0" w:firstLine="0"/>
              <w:jc w:val="both"/>
              <w:outlineLvl w:val="0"/>
              <w:rPr>
                <w:rFonts w:hint="default"/>
                <w:color w:val="000000" w:themeColor="text1"/>
                <w:highlight w:val="none"/>
                <w:lang w:val="en-US" w:eastAsia="zh-CN"/>
                <w14:textFill>
                  <w14:solidFill>
                    <w14:schemeClr w14:val="tx1"/>
                  </w14:solidFill>
                </w14:textFill>
              </w:rPr>
            </w:pPr>
          </w:p>
          <w:p>
            <w:pPr>
              <w:keepNext w:val="0"/>
              <w:keepLines w:val="0"/>
              <w:suppressLineNumbers w:val="0"/>
              <w:shd w:val="clear"/>
              <w:spacing w:before="0" w:beforeAutospacing="0" w:after="0" w:afterAutospacing="0" w:line="360" w:lineRule="auto"/>
              <w:ind w:left="0" w:right="0"/>
              <w:rPr>
                <w:rFonts w:hint="default"/>
                <w:color w:val="000000" w:themeColor="text1"/>
                <w:highlight w:val="none"/>
                <w:lang w:val="en-US" w:eastAsia="zh-CN"/>
                <w14:textFill>
                  <w14:solidFill>
                    <w14:schemeClr w14:val="tx1"/>
                  </w14:solidFill>
                </w14:textFill>
              </w:rPr>
            </w:pPr>
          </w:p>
          <w:p>
            <w:pPr>
              <w:keepNext/>
              <w:keepLines w:val="0"/>
              <w:widowControl w:val="0"/>
              <w:suppressLineNumbers w:val="0"/>
              <w:shd w:val="clear"/>
              <w:overflowPunct w:val="0"/>
              <w:snapToGrid w:val="0"/>
              <w:spacing w:before="0" w:beforeAutospacing="0" w:after="0" w:afterAutospacing="0" w:line="360" w:lineRule="auto"/>
              <w:ind w:left="0" w:right="0" w:firstLine="0"/>
              <w:jc w:val="both"/>
              <w:outlineLvl w:val="0"/>
              <w:rPr>
                <w:rFonts w:hint="default"/>
                <w:color w:val="000000" w:themeColor="text1"/>
                <w:highlight w:val="none"/>
                <w:lang w:val="en-US" w:eastAsia="zh-CN"/>
                <w14:textFill>
                  <w14:solidFill>
                    <w14:schemeClr w14:val="tx1"/>
                  </w14:solidFill>
                </w14:textFill>
              </w:rPr>
            </w:pPr>
          </w:p>
          <w:p>
            <w:pPr>
              <w:keepNext w:val="0"/>
              <w:keepLines w:val="0"/>
              <w:numPr>
                <w:ilvl w:val="0"/>
                <w:numId w:val="0"/>
              </w:numPr>
              <w:suppressLineNumbers w:val="0"/>
              <w:shd w:val="clear"/>
              <w:spacing w:before="0" w:beforeAutospacing="0" w:after="0" w:afterAutospacing="0" w:line="360" w:lineRule="auto"/>
              <w:ind w:left="0" w:right="0"/>
              <w:rPr>
                <w:rFonts w:hint="eastAsia"/>
                <w:color w:val="000000" w:themeColor="text1"/>
                <w:highlight w:val="none"/>
                <w:lang w:eastAsia="zh-CN"/>
                <w14:textFill>
                  <w14:solidFill>
                    <w14:schemeClr w14:val="tx1"/>
                  </w14:solidFill>
                </w14:textFill>
              </w:rPr>
            </w:pPr>
          </w:p>
          <w:p>
            <w:pPr>
              <w:keepNext w:val="0"/>
              <w:keepLines w:val="0"/>
              <w:numPr>
                <w:ilvl w:val="0"/>
                <w:numId w:val="0"/>
              </w:numPr>
              <w:suppressLineNumbers w:val="0"/>
              <w:shd w:val="clear"/>
              <w:spacing w:before="0" w:beforeAutospacing="0" w:after="0" w:afterAutospacing="0" w:line="360" w:lineRule="auto"/>
              <w:ind w:left="0" w:right="0"/>
              <w:rPr>
                <w:rFonts w:hint="eastAsia"/>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3641725</wp:posOffset>
                      </wp:positionH>
                      <wp:positionV relativeFrom="paragraph">
                        <wp:posOffset>213360</wp:posOffset>
                      </wp:positionV>
                      <wp:extent cx="1162050" cy="37147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162050" cy="371475"/>
                              </a:xfrm>
                              <a:prstGeom prst="rect">
                                <a:avLst/>
                              </a:prstGeom>
                              <a:noFill/>
                              <a:ln>
                                <a:noFill/>
                              </a:ln>
                            </wps:spPr>
                            <wps:txbx>
                              <w:txbxContent>
                                <w:p>
                                  <w:pPr>
                                    <w:spacing w:line="360" w:lineRule="auto"/>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芋头</w:t>
                                  </w:r>
                                </w:p>
                              </w:txbxContent>
                            </wps:txbx>
                            <wps:bodyPr upright="1"/>
                          </wps:wsp>
                        </a:graphicData>
                      </a:graphic>
                    </wp:anchor>
                  </w:drawing>
                </mc:Choice>
                <mc:Fallback>
                  <w:pict>
                    <v:shape id="_x0000_s1026" o:spid="_x0000_s1026" o:spt="202" type="#_x0000_t202" style="position:absolute;left:0pt;margin-left:286.75pt;margin-top:16.8pt;height:29.25pt;width:91.5pt;z-index:251664384;mso-width-relative:page;mso-height-relative:page;" filled="f" stroked="f" coordsize="21600,21600" o:gfxdata="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wbKXNcA&#10;AAAJAQAADwAAAAAAAAABACAAAAAiAAAAZHJzL2Rvd25yZXYueG1sUEsBAhQAFAAAAAgAh07iQNsn&#10;FCSuAQAAUAMAAA4AAAAAAAAAAQAgAAAAJgEAAGRycy9lMm9Eb2MueG1sUEsFBgAAAAAGAAYAWQEA&#10;AEYFAAAAAA==&#10;">
                      <v:fill on="f" focussize="0,0"/>
                      <v:stroke on="f"/>
                      <v:imagedata o:title=""/>
                      <o:lock v:ext="edit" aspectratio="f"/>
                      <v:textbox>
                        <w:txbxContent>
                          <w:p>
                            <w:pPr>
                              <w:spacing w:line="360" w:lineRule="auto"/>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芋头</w:t>
                            </w:r>
                          </w:p>
                        </w:txbxContent>
                      </v:textbox>
                    </v:shape>
                  </w:pict>
                </mc:Fallback>
              </mc:AlternateContent>
            </w: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1022350</wp:posOffset>
                      </wp:positionH>
                      <wp:positionV relativeFrom="paragraph">
                        <wp:posOffset>203835</wp:posOffset>
                      </wp:positionV>
                      <wp:extent cx="1038225" cy="304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038225" cy="304800"/>
                              </a:xfrm>
                              <a:prstGeom prst="rect">
                                <a:avLst/>
                              </a:prstGeom>
                              <a:noFill/>
                              <a:ln>
                                <a:noFill/>
                              </a:ln>
                            </wps:spPr>
                            <wps:txbx>
                              <w:txbxContent>
                                <w:p>
                                  <w:pPr>
                                    <w:spacing w:line="360" w:lineRule="auto"/>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水稻</w:t>
                                  </w:r>
                                </w:p>
                              </w:txbxContent>
                            </wps:txbx>
                            <wps:bodyPr upright="1"/>
                          </wps:wsp>
                        </a:graphicData>
                      </a:graphic>
                    </wp:anchor>
                  </w:drawing>
                </mc:Choice>
                <mc:Fallback>
                  <w:pict>
                    <v:shape id="_x0000_s1026" o:spid="_x0000_s1026" o:spt="202" type="#_x0000_t202" style="position:absolute;left:0pt;margin-left:80.5pt;margin-top:16.05pt;height:24pt;width:81.75pt;z-index:251663360;mso-width-relative:page;mso-height-relative:page;" filled="f" stroked="f" coordsize="21600,21600" o:gfxdata="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eZytYA&#10;AAAJAQAADwAAAAAAAAABACAAAAAiAAAAZHJzL2Rvd25yZXYueG1sUEsBAhQAFAAAAAgAh07iQCSX&#10;eAGvAQAAUAMAAA4AAAAAAAAAAQAgAAAAJQEAAGRycy9lMm9Eb2MueG1sUEsFBgAAAAAGAAYAWQEA&#10;AEYFAAAAAA==&#10;">
                      <v:fill on="f" focussize="0,0"/>
                      <v:stroke on="f"/>
                      <v:imagedata o:title=""/>
                      <o:lock v:ext="edit" aspectratio="f"/>
                      <v:textbox>
                        <w:txbxContent>
                          <w:p>
                            <w:pPr>
                              <w:spacing w:line="360" w:lineRule="auto"/>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水稻</w:t>
                            </w:r>
                          </w:p>
                        </w:txbxContent>
                      </v:textbox>
                    </v:shape>
                  </w:pict>
                </mc:Fallback>
              </mc:AlternateContent>
            </w:r>
          </w:p>
          <w:p>
            <w:pPr>
              <w:pStyle w:val="3"/>
              <w:keepLines w:val="0"/>
              <w:numPr>
                <w:ilvl w:val="0"/>
                <w:numId w:val="0"/>
              </w:numPr>
              <w:suppressLineNumbers w:val="0"/>
              <w:shd w:val="clear"/>
              <w:spacing w:beforeAutospacing="0" w:afterAutospacing="0"/>
              <w:ind w:leftChars="0" w:right="0"/>
              <w:rPr>
                <w:rFonts w:hint="eastAsia"/>
                <w:color w:val="000000" w:themeColor="text1"/>
                <w:highlight w:val="none"/>
                <w:lang w:eastAsia="zh-CN"/>
                <w14:textFill>
                  <w14:solidFill>
                    <w14:schemeClr w14:val="tx1"/>
                  </w14:solidFill>
                </w14:textFill>
              </w:rPr>
            </w:pP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林地生态系统</w:t>
            </w:r>
          </w:p>
          <w:p>
            <w:pPr>
              <w:keepNext w:val="0"/>
              <w:keepLines w:val="0"/>
              <w:suppressLineNumbers w:val="0"/>
              <w:shd w:val="clear"/>
              <w:bidi w:val="0"/>
              <w:spacing w:before="0" w:beforeAutospacing="0" w:after="0" w:afterAutospacing="0" w:line="360" w:lineRule="auto"/>
              <w:ind w:left="0" w:right="0" w:firstLine="480" w:firstLineChars="200"/>
              <w:rPr>
                <w:rFonts w:hint="default"/>
                <w:color w:val="000000" w:themeColor="text1"/>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林地</w:t>
            </w:r>
            <w:r>
              <w:rPr>
                <w:rFonts w:hint="default"/>
                <w:color w:val="000000" w:themeColor="text1"/>
                <w:sz w:val="24"/>
                <w:szCs w:val="24"/>
                <w:highlight w:val="none"/>
                <w14:textFill>
                  <w14:solidFill>
                    <w14:schemeClr w14:val="tx1"/>
                  </w14:solidFill>
                </w14:textFill>
              </w:rPr>
              <w:t>生态系统的主要是</w:t>
            </w:r>
            <w:r>
              <w:rPr>
                <w:rFonts w:hint="default"/>
                <w:color w:val="000000" w:themeColor="text1"/>
                <w:sz w:val="24"/>
                <w:szCs w:val="24"/>
                <w:highlight w:val="none"/>
                <w:lang w:val="en-US" w:eastAsia="zh-CN"/>
                <w14:textFill>
                  <w14:solidFill>
                    <w14:schemeClr w14:val="tx1"/>
                  </w14:solidFill>
                </w14:textFill>
              </w:rPr>
              <w:t>香樟</w:t>
            </w:r>
            <w:r>
              <w:rPr>
                <w:rFonts w:hint="default"/>
                <w:color w:val="000000" w:themeColor="text1"/>
                <w:sz w:val="24"/>
                <w:szCs w:val="24"/>
                <w:highlight w:val="none"/>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枫杨及枫香</w:t>
            </w:r>
            <w:r>
              <w:rPr>
                <w:rFonts w:hint="default"/>
                <w:color w:val="000000" w:themeColor="text1"/>
                <w:sz w:val="24"/>
                <w:szCs w:val="24"/>
                <w:highlight w:val="none"/>
                <w14:textFill>
                  <w14:solidFill>
                    <w14:schemeClr w14:val="tx1"/>
                  </w14:solidFill>
                </w14:textFill>
              </w:rPr>
              <w:t>等的纯林或混交林，由毛竹</w:t>
            </w: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绿竹</w:t>
            </w:r>
            <w:r>
              <w:rPr>
                <w:rFonts w:hint="default"/>
                <w:color w:val="000000" w:themeColor="text1"/>
                <w:sz w:val="24"/>
                <w:szCs w:val="24"/>
                <w:highlight w:val="none"/>
                <w14:textFill>
                  <w14:solidFill>
                    <w14:schemeClr w14:val="tx1"/>
                  </w14:solidFill>
                </w14:textFill>
              </w:rPr>
              <w:t>等构成的竹林</w:t>
            </w: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以及</w:t>
            </w:r>
            <w:r>
              <w:rPr>
                <w:rFonts w:hint="default"/>
                <w:color w:val="000000" w:themeColor="text1"/>
                <w:sz w:val="24"/>
                <w:szCs w:val="24"/>
                <w:highlight w:val="none"/>
                <w:lang w:val="en-US" w:eastAsia="zh-CN"/>
                <w14:textFill>
                  <w14:solidFill>
                    <w14:schemeClr w14:val="tx1"/>
                  </w14:solidFill>
                </w14:textFill>
              </w:rPr>
              <w:t>由油茶构成的油茶林</w:t>
            </w:r>
            <w:r>
              <w:rPr>
                <w:rFonts w:hint="default"/>
                <w:color w:val="000000" w:themeColor="text1"/>
                <w:sz w:val="24"/>
                <w:szCs w:val="24"/>
                <w:highlight w:val="none"/>
                <w14:textFill>
                  <w14:solidFill>
                    <w14:schemeClr w14:val="tx1"/>
                  </w14:solidFill>
                </w14:textFill>
              </w:rPr>
              <w:t>。这些</w:t>
            </w:r>
            <w:r>
              <w:rPr>
                <w:rFonts w:hint="default"/>
                <w:color w:val="000000" w:themeColor="text1"/>
                <w:sz w:val="24"/>
                <w:szCs w:val="24"/>
                <w:highlight w:val="none"/>
                <w:lang w:val="en-US" w:eastAsia="zh-CN"/>
                <w14:textFill>
                  <w14:solidFill>
                    <w14:schemeClr w14:val="tx1"/>
                  </w14:solidFill>
                </w14:textFill>
              </w:rPr>
              <w:t>林地</w:t>
            </w:r>
            <w:r>
              <w:rPr>
                <w:rFonts w:hint="default"/>
                <w:color w:val="000000" w:themeColor="text1"/>
                <w:sz w:val="24"/>
                <w:szCs w:val="24"/>
                <w:highlight w:val="none"/>
                <w14:textFill>
                  <w14:solidFill>
                    <w14:schemeClr w14:val="tx1"/>
                  </w14:solidFill>
                </w14:textFill>
              </w:rPr>
              <w:t>生态系统在维护区域生物多样性、构建区域景观格局、水土保持、涵养水资源、土壤环境保持等方面都有着较为重要的生态功能，同时系统还为鸟类、兽类、两栖爬行类动物提供了栖息场所，是评价区内生物多样性的基础。</w:t>
            </w:r>
            <w:r>
              <w:rPr>
                <w:rFonts w:hint="default"/>
                <w:color w:val="000000" w:themeColor="text1"/>
                <w:sz w:val="24"/>
                <w:szCs w:val="24"/>
                <w:highlight w:val="none"/>
                <w:lang w:val="en-US" w:eastAsia="zh-CN"/>
                <w14:textFill>
                  <w14:solidFill>
                    <w14:schemeClr w14:val="tx1"/>
                  </w14:solidFill>
                </w14:textFill>
              </w:rPr>
              <w:t>项目沿线有三棵名木古树，分别为两棵树龄为120年的枫香和一棵树龄为120年的樟树。</w:t>
            </w:r>
            <w:r>
              <w:rPr>
                <w:rFonts w:hint="default"/>
                <w:color w:val="000000" w:themeColor="text1"/>
                <w:sz w:val="24"/>
                <w:szCs w:val="24"/>
                <w:highlight w:val="none"/>
                <w14:textFill>
                  <w14:solidFill>
                    <w14:schemeClr w14:val="tx1"/>
                  </w14:solidFill>
                </w14:textFill>
              </w:rPr>
              <w:t>根据现场调查，</w:t>
            </w:r>
            <w:r>
              <w:rPr>
                <w:rFonts w:hint="default"/>
                <w:color w:val="000000" w:themeColor="text1"/>
                <w:sz w:val="24"/>
                <w:szCs w:val="24"/>
                <w:highlight w:val="none"/>
                <w:lang w:val="en-US" w:eastAsia="zh-CN"/>
                <w14:textFill>
                  <w14:solidFill>
                    <w14:schemeClr w14:val="tx1"/>
                  </w14:solidFill>
                </w14:textFill>
              </w:rPr>
              <w:t>透溪线两侧的林地</w:t>
            </w:r>
            <w:r>
              <w:rPr>
                <w:rFonts w:hint="default"/>
                <w:color w:val="000000" w:themeColor="text1"/>
                <w:sz w:val="24"/>
                <w:szCs w:val="24"/>
                <w:highlight w:val="none"/>
                <w14:textFill>
                  <w14:solidFill>
                    <w14:schemeClr w14:val="tx1"/>
                  </w14:solidFill>
                </w14:textFill>
              </w:rPr>
              <w:t>生态系统</w:t>
            </w:r>
            <w:r>
              <w:rPr>
                <w:rFonts w:hint="default"/>
                <w:color w:val="000000" w:themeColor="text1"/>
                <w:sz w:val="24"/>
                <w:szCs w:val="24"/>
                <w:highlight w:val="none"/>
                <w:lang w:val="en-US" w:eastAsia="zh-CN"/>
                <w14:textFill>
                  <w14:solidFill>
                    <w14:schemeClr w14:val="tx1"/>
                  </w14:solidFill>
                </w14:textFill>
              </w:rPr>
              <w:t>部分</w:t>
            </w:r>
            <w:r>
              <w:rPr>
                <w:rFonts w:hint="default"/>
                <w:color w:val="000000" w:themeColor="text1"/>
                <w:sz w:val="24"/>
                <w:szCs w:val="24"/>
                <w:highlight w:val="none"/>
                <w14:textFill>
                  <w14:solidFill>
                    <w14:schemeClr w14:val="tx1"/>
                  </w14:solidFill>
                </w14:textFill>
              </w:rPr>
              <w:t>受人类活动的影响较为明显，</w:t>
            </w:r>
            <w:r>
              <w:rPr>
                <w:rFonts w:hint="default"/>
                <w:color w:val="000000" w:themeColor="text1"/>
                <w:sz w:val="24"/>
                <w:szCs w:val="24"/>
                <w:highlight w:val="none"/>
                <w:lang w:val="en-US" w:eastAsia="zh-CN"/>
                <w14:textFill>
                  <w14:solidFill>
                    <w14:schemeClr w14:val="tx1"/>
                  </w14:solidFill>
                </w14:textFill>
              </w:rPr>
              <w:t>部分区域因本项目被砍伐，经过现场调查，此区域植物均为常见的树种和竹林，且本项目获批林业局下发的砍伐证(见附件5)。因此本项目会对林地生态系统产生一定影响，需严格按照道路建设红线尽量减小对林地生态系统的危害。</w:t>
            </w:r>
          </w:p>
          <w:p>
            <w:pPr>
              <w:keepNext/>
              <w:keepLines w:val="0"/>
              <w:widowControl w:val="0"/>
              <w:suppressLineNumbers w:val="0"/>
              <w:shd w:val="clear"/>
              <w:overflowPunct w:val="0"/>
              <w:snapToGrid w:val="0"/>
              <w:spacing w:before="0" w:beforeAutospacing="0" w:after="0" w:afterAutospacing="0" w:line="360" w:lineRule="auto"/>
              <w:ind w:left="0" w:right="0" w:firstLine="0"/>
              <w:jc w:val="both"/>
              <w:outlineLvl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1127125</wp:posOffset>
                      </wp:positionH>
                      <wp:positionV relativeFrom="paragraph">
                        <wp:posOffset>1746250</wp:posOffset>
                      </wp:positionV>
                      <wp:extent cx="1352550" cy="304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a:noFill/>
                              </a:ln>
                            </wps:spPr>
                            <wps:txbx>
                              <w:txbxContent>
                                <w:p>
                                  <w:pPr>
                                    <w:spacing w:line="360" w:lineRule="auto"/>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枫杨</w:t>
                                  </w:r>
                                </w:p>
                              </w:txbxContent>
                            </wps:txbx>
                            <wps:bodyPr upright="1"/>
                          </wps:wsp>
                        </a:graphicData>
                      </a:graphic>
                    </wp:anchor>
                  </w:drawing>
                </mc:Choice>
                <mc:Fallback>
                  <w:pict>
                    <v:shape id="_x0000_s1026" o:spid="_x0000_s1026" o:spt="202" type="#_x0000_t202" style="position:absolute;left:0pt;margin-left:88.75pt;margin-top:137.5pt;height:24pt;width:106.5pt;z-index:251665408;mso-width-relative:page;mso-height-relative:page;" filled="f" stroked="f" coordsize="21600,21600" o:gfxdata="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YotldcA&#10;AAALAQAADwAAAAAAAAABACAAAAAiAAAAZHJzL2Rvd25yZXYueG1sUEsBAhQAFAAAAAgAh07iQE2s&#10;s6quAQAAUAMAAA4AAAAAAAAAAQAgAAAAJgEAAGRycy9lMm9Eb2MueG1sUEsFBgAAAAAGAAYAWQEA&#10;AEYFAAAAAA==&#10;">
                      <v:fill on="f" focussize="0,0"/>
                      <v:stroke on="f"/>
                      <v:imagedata o:title=""/>
                      <o:lock v:ext="edit" aspectratio="f"/>
                      <v:textbox>
                        <w:txbxContent>
                          <w:p>
                            <w:pPr>
                              <w:spacing w:line="360" w:lineRule="auto"/>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枫杨</w:t>
                            </w:r>
                          </w:p>
                        </w:txbxContent>
                      </v:textbox>
                    </v:shape>
                  </w:pict>
                </mc:Fallback>
              </mc:AlternateContent>
            </w:r>
            <w:r>
              <w:rPr>
                <w:rFonts w:hint="default"/>
                <w:color w:val="000000" w:themeColor="text1"/>
                <w:highlight w:val="none"/>
                <w:lang w:val="en-US" w:eastAsia="zh-CN"/>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3556000</wp:posOffset>
                      </wp:positionH>
                      <wp:positionV relativeFrom="paragraph">
                        <wp:posOffset>1746250</wp:posOffset>
                      </wp:positionV>
                      <wp:extent cx="971550" cy="29527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a:noFill/>
                              </a:ln>
                            </wps:spPr>
                            <wps:txb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毛竹</w:t>
                                  </w:r>
                                </w:p>
                              </w:txbxContent>
                            </wps:txbx>
                            <wps:bodyPr upright="1"/>
                          </wps:wsp>
                        </a:graphicData>
                      </a:graphic>
                    </wp:anchor>
                  </w:drawing>
                </mc:Choice>
                <mc:Fallback>
                  <w:pict>
                    <v:shape id="_x0000_s1026" o:spid="_x0000_s1026" o:spt="202" type="#_x0000_t202" style="position:absolute;left:0pt;margin-left:280pt;margin-top:137.5pt;height:23.25pt;width:76.5pt;z-index:251666432;mso-width-relative:page;mso-height-relative:page;" filled="f" stroked="f" coordsize="21600,21600" o:gfxdata="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gxKDPY&#10;AAAACwEAAA8AAAAAAAAAAQAgAAAAIgAAAGRycy9kb3ducmV2LnhtbFBLAQIUABQAAAAIAIdO4kBK&#10;fNjHrgEAAE8DAAAOAAAAAAAAAAEAIAAAACcBAABkcnMvZTJvRG9jLnhtbFBLBQYAAAAABgAGAFkB&#10;AABHBQAAAAA=&#10;">
                      <v:fill on="f" focussize="0,0"/>
                      <v:stroke on="f"/>
                      <v:imagedata o:title=""/>
                      <o:lock v:ext="edit" aspectratio="f"/>
                      <v:textbo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毛竹</w:t>
                            </w:r>
                          </w:p>
                        </w:txbxContent>
                      </v:textbox>
                    </v:shape>
                  </w:pict>
                </mc:Fallback>
              </mc:AlternateConten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en-US" w:eastAsia="zh-CN"/>
                <w14:textFill>
                  <w14:solidFill>
                    <w14:schemeClr w14:val="tx1"/>
                  </w14:solidFill>
                </w14:textFill>
              </w:rPr>
              <w:drawing>
                <wp:inline distT="0" distB="0" distL="114300" distR="114300">
                  <wp:extent cx="2220595" cy="1685290"/>
                  <wp:effectExtent l="0" t="0" r="8255" b="10160"/>
                  <wp:docPr id="4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3"/>
                          <pic:cNvPicPr>
                            <a:picLocks noChangeAspect="1"/>
                          </pic:cNvPicPr>
                        </pic:nvPicPr>
                        <pic:blipFill>
                          <a:blip r:embed="rId18"/>
                          <a:srcRect l="13403" t="1385" r="16835" b="16867"/>
                          <a:stretch>
                            <a:fillRect/>
                          </a:stretch>
                        </pic:blipFill>
                        <pic:spPr>
                          <a:xfrm>
                            <a:off x="0" y="0"/>
                            <a:ext cx="2220595" cy="1685290"/>
                          </a:xfrm>
                          <a:prstGeom prst="rect">
                            <a:avLst/>
                          </a:prstGeom>
                          <a:noFill/>
                          <a:ln>
                            <a:noFill/>
                          </a:ln>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2348230" cy="1666875"/>
                  <wp:effectExtent l="0" t="0" r="13970" b="9525"/>
                  <wp:docPr id="49"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descr="4"/>
                          <pic:cNvPicPr>
                            <a:picLocks noChangeAspect="1"/>
                          </pic:cNvPicPr>
                        </pic:nvPicPr>
                        <pic:blipFill>
                          <a:blip r:embed="rId19"/>
                          <a:stretch>
                            <a:fillRect/>
                          </a:stretch>
                        </pic:blipFill>
                        <pic:spPr>
                          <a:xfrm>
                            <a:off x="0" y="0"/>
                            <a:ext cx="2348230" cy="1666875"/>
                          </a:xfrm>
                          <a:prstGeom prst="rect">
                            <a:avLst/>
                          </a:prstGeom>
                          <a:noFill/>
                          <a:ln>
                            <a:noFill/>
                          </a:ln>
                        </pic:spPr>
                      </pic:pic>
                    </a:graphicData>
                  </a:graphic>
                </wp:inline>
              </w:drawing>
            </w:r>
          </w:p>
          <w:p>
            <w:pPr>
              <w:keepNext w:val="0"/>
              <w:keepLines w:val="0"/>
              <w:pageBreakBefore w:val="0"/>
              <w:widowControl w:val="0"/>
              <w:numPr>
                <w:ilvl w:val="0"/>
                <w:numId w:val="0"/>
              </w:numPr>
              <w:suppressLineNumbers w:val="0"/>
              <w:shd w:val="clear"/>
              <w:kinsoku/>
              <w:wordWrap/>
              <w:topLinePunct w:val="0"/>
              <w:autoSpaceDE/>
              <w:autoSpaceDN/>
              <w:bidi w:val="0"/>
              <w:adjustRightInd/>
              <w:spacing w:before="0" w:beforeAutospacing="0" w:after="0" w:afterAutospacing="0" w:line="360" w:lineRule="auto"/>
              <w:ind w:left="420" w:leftChars="200" w:right="0"/>
              <w:textAlignment w:val="auto"/>
              <w:rPr>
                <w:rFonts w:hint="eastAsia"/>
                <w:color w:val="000000" w:themeColor="text1"/>
                <w:highlight w:val="none"/>
                <w:lang w:eastAsia="zh-CN"/>
                <w14:textFill>
                  <w14:solidFill>
                    <w14:schemeClr w14:val="tx1"/>
                  </w14:solidFill>
                </w14:textFill>
              </w:rPr>
            </w:pPr>
          </w:p>
          <w:p>
            <w:pPr>
              <w:keepNext w:val="0"/>
              <w:keepLines w:val="0"/>
              <w:pageBreakBefore w:val="0"/>
              <w:widowControl w:val="0"/>
              <w:numPr>
                <w:ilvl w:val="0"/>
                <w:numId w:val="0"/>
              </w:numPr>
              <w:suppressLineNumbers w:val="0"/>
              <w:shd w:val="clear"/>
              <w:kinsoku/>
              <w:wordWrap/>
              <w:topLinePunct w:val="0"/>
              <w:autoSpaceDE/>
              <w:autoSpaceDN/>
              <w:bidi w:val="0"/>
              <w:adjustRightInd/>
              <w:spacing w:before="0" w:beforeAutospacing="0" w:after="0" w:afterAutospacing="0" w:line="360" w:lineRule="auto"/>
              <w:ind w:left="420" w:leftChars="200" w:right="0"/>
              <w:textAlignment w:val="auto"/>
              <w:rPr>
                <w:rFonts w:hint="eastAsia"/>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3455670</wp:posOffset>
                      </wp:positionH>
                      <wp:positionV relativeFrom="paragraph">
                        <wp:posOffset>1795145</wp:posOffset>
                      </wp:positionV>
                      <wp:extent cx="1190625" cy="33337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190625" cy="333375"/>
                              </a:xfrm>
                              <a:prstGeom prst="rect">
                                <a:avLst/>
                              </a:prstGeom>
                              <a:noFill/>
                              <a:ln>
                                <a:noFill/>
                              </a:ln>
                            </wps:spPr>
                            <wps:txb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砍伐的香樟</w:t>
                                  </w:r>
                                </w:p>
                              </w:txbxContent>
                            </wps:txbx>
                            <wps:bodyPr upright="1"/>
                          </wps:wsp>
                        </a:graphicData>
                      </a:graphic>
                    </wp:anchor>
                  </w:drawing>
                </mc:Choice>
                <mc:Fallback>
                  <w:pict>
                    <v:shape id="_x0000_s1026" o:spid="_x0000_s1026" o:spt="202" type="#_x0000_t202" style="position:absolute;left:0pt;margin-left:272.1pt;margin-top:141.35pt;height:26.25pt;width:93.75pt;z-index:251668480;mso-width-relative:page;mso-height-relative:page;" filled="f" stroked="f" coordsize="21600,21600" o:gfxdata="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mf84dgA&#10;AAALAQAADwAAAAAAAAABACAAAAAiAAAAZHJzL2Rvd25yZXYueG1sUEsBAhQAFAAAAAgAh07iQLyr&#10;ucmtAQAAUAMAAA4AAAAAAAAAAQAgAAAAJwEAAGRycy9lMm9Eb2MueG1sUEsFBgAAAAAGAAYAWQEA&#10;AEYFAAAAAA==&#10;">
                      <v:fill on="f" focussize="0,0"/>
                      <v:stroke on="f"/>
                      <v:imagedata o:title=""/>
                      <o:lock v:ext="edit" aspectratio="f"/>
                      <v:textbo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砍伐的香樟</w:t>
                            </w:r>
                          </w:p>
                        </w:txbxContent>
                      </v:textbox>
                    </v:shape>
                  </w:pict>
                </mc:Fallback>
              </mc:AlternateContent>
            </w: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1045845</wp:posOffset>
                      </wp:positionH>
                      <wp:positionV relativeFrom="paragraph">
                        <wp:posOffset>1808480</wp:posOffset>
                      </wp:positionV>
                      <wp:extent cx="1381125" cy="32385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381125" cy="323850"/>
                              </a:xfrm>
                              <a:prstGeom prst="rect">
                                <a:avLst/>
                              </a:prstGeom>
                              <a:noFill/>
                              <a:ln>
                                <a:noFill/>
                              </a:ln>
                            </wps:spPr>
                            <wps:txb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砍伐的毛竹</w:t>
                                  </w:r>
                                </w:p>
                              </w:txbxContent>
                            </wps:txbx>
                            <wps:bodyPr upright="1"/>
                          </wps:wsp>
                        </a:graphicData>
                      </a:graphic>
                    </wp:anchor>
                  </w:drawing>
                </mc:Choice>
                <mc:Fallback>
                  <w:pict>
                    <v:shape id="_x0000_s1026" o:spid="_x0000_s1026" o:spt="202" type="#_x0000_t202" style="position:absolute;left:0pt;margin-left:82.35pt;margin-top:142.4pt;height:25.5pt;width:108.75pt;z-index:251667456;mso-width-relative:page;mso-height-relative:page;" filled="f" stroked="f" coordsize="21600,21600" o:gfxdata="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3oF6&#10;2AAAAAsBAAAPAAAAAAAAAAEAIAAAACIAAABkcnMvZG93bnJldi54bWxQSwECFAAUAAAACACHTuJA&#10;1YPtka8BAABQAwAADgAAAAAAAAABACAAAAAnAQAAZHJzL2Uyb0RvYy54bWxQSwUGAAAAAAYABgBZ&#10;AQAASAUAAAAA&#10;">
                      <v:fill on="f" focussize="0,0"/>
                      <v:stroke on="f"/>
                      <v:imagedata o:title=""/>
                      <o:lock v:ext="edit" aspectratio="f"/>
                      <v:textbo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砍伐的毛竹</w:t>
                            </w:r>
                          </w:p>
                        </w:txbxContent>
                      </v:textbox>
                    </v:shape>
                  </w:pict>
                </mc:Fallback>
              </mc:AlternateContent>
            </w:r>
            <w:r>
              <w:rPr>
                <w:rFonts w:hint="eastAsia"/>
                <w:color w:val="000000" w:themeColor="text1"/>
                <w:highlight w:val="none"/>
                <w:lang w:eastAsia="zh-CN"/>
                <w14:textFill>
                  <w14:solidFill>
                    <w14:schemeClr w14:val="tx1"/>
                  </w14:solidFill>
                </w14:textFill>
              </w:rPr>
              <w:drawing>
                <wp:inline distT="0" distB="0" distL="114300" distR="114300">
                  <wp:extent cx="2275205" cy="1707515"/>
                  <wp:effectExtent l="0" t="0" r="10795" b="6985"/>
                  <wp:docPr id="52"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descr="5"/>
                          <pic:cNvPicPr>
                            <a:picLocks noChangeAspect="1"/>
                          </pic:cNvPicPr>
                        </pic:nvPicPr>
                        <pic:blipFill>
                          <a:blip r:embed="rId20"/>
                          <a:stretch>
                            <a:fillRect/>
                          </a:stretch>
                        </pic:blipFill>
                        <pic:spPr>
                          <a:xfrm>
                            <a:off x="0" y="0"/>
                            <a:ext cx="2275205" cy="1707515"/>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drawing>
                <wp:inline distT="0" distB="0" distL="114300" distR="114300">
                  <wp:extent cx="2279015" cy="1708150"/>
                  <wp:effectExtent l="0" t="0" r="6985" b="6350"/>
                  <wp:docPr id="53"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6"/>
                          <pic:cNvPicPr>
                            <a:picLocks noChangeAspect="1"/>
                          </pic:cNvPicPr>
                        </pic:nvPicPr>
                        <pic:blipFill>
                          <a:blip r:embed="rId21"/>
                          <a:stretch>
                            <a:fillRect/>
                          </a:stretch>
                        </pic:blipFill>
                        <pic:spPr>
                          <a:xfrm>
                            <a:off x="0" y="0"/>
                            <a:ext cx="2279015" cy="1708150"/>
                          </a:xfrm>
                          <a:prstGeom prst="rect">
                            <a:avLst/>
                          </a:prstGeom>
                          <a:noFill/>
                          <a:ln>
                            <a:noFill/>
                          </a:ln>
                        </pic:spPr>
                      </pic:pic>
                    </a:graphicData>
                  </a:graphic>
                </wp:inline>
              </w:drawing>
            </w:r>
          </w:p>
          <w:p>
            <w:pPr>
              <w:keepNext/>
              <w:keepLines w:val="0"/>
              <w:widowControl w:val="0"/>
              <w:suppressLineNumbers w:val="0"/>
              <w:shd w:val="clear"/>
              <w:overflowPunct w:val="0"/>
              <w:snapToGrid w:val="0"/>
              <w:spacing w:before="0" w:beforeAutospacing="0" w:after="0" w:afterAutospacing="0" w:line="360" w:lineRule="auto"/>
              <w:ind w:left="0" w:right="0" w:firstLine="0"/>
              <w:jc w:val="both"/>
              <w:outlineLvl w:val="0"/>
              <w:rPr>
                <w:rFonts w:hint="eastAsia"/>
                <w:color w:val="000000" w:themeColor="text1"/>
                <w:highlight w:val="none"/>
                <w:lang w:val="en-US" w:eastAsia="zh-CN"/>
                <w14:textFill>
                  <w14:solidFill>
                    <w14:schemeClr w14:val="tx1"/>
                  </w14:solidFill>
                </w14:textFill>
              </w:rPr>
            </w:pPr>
          </w:p>
          <w:p>
            <w:pPr>
              <w:pStyle w:val="3"/>
              <w:keepLines w:val="0"/>
              <w:numPr>
                <w:ilvl w:val="0"/>
                <w:numId w:val="0"/>
              </w:numPr>
              <w:suppressLineNumbers w:val="0"/>
              <w:shd w:val="clear"/>
              <w:spacing w:beforeAutospacing="0" w:afterAutospacing="0"/>
              <w:ind w:leftChars="0" w:right="0"/>
              <w:jc w:val="center"/>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3642995</wp:posOffset>
                      </wp:positionH>
                      <wp:positionV relativeFrom="paragraph">
                        <wp:posOffset>1794510</wp:posOffset>
                      </wp:positionV>
                      <wp:extent cx="1095375" cy="409575"/>
                      <wp:effectExtent l="0" t="0" r="0" b="0"/>
                      <wp:wrapNone/>
                      <wp:docPr id="34" name="文本框 34"/>
                      <wp:cNvGraphicFramePr/>
                      <a:graphic xmlns:a="http://schemas.openxmlformats.org/drawingml/2006/main">
                        <a:graphicData uri="http://schemas.microsoft.com/office/word/2010/wordprocessingShape">
                          <wps:wsp>
                            <wps:cNvSpPr txBox="1"/>
                            <wps:spPr>
                              <a:xfrm>
                                <a:off x="4913630" y="2759710"/>
                                <a:ext cx="109537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val="en-US" w:eastAsia="zh-CN"/>
                                    </w:rPr>
                                  </w:pPr>
                                  <w:r>
                                    <w:rPr>
                                      <w:rFonts w:hint="eastAsia"/>
                                      <w:sz w:val="24"/>
                                      <w:szCs w:val="24"/>
                                      <w:lang w:val="en-US" w:eastAsia="zh-CN"/>
                                    </w:rPr>
                                    <w:t>枫香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85pt;margin-top:141.3pt;height:32.25pt;width:86.25pt;z-index:251671552;mso-width-relative:page;mso-height-relative:page;" filled="f" stroked="f" coordsize="21600,21600" o:gfxdata="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9+Zn3QAAAAsBAAAPAAAAAAAA&#10;AAEAIAAAACIAAABkcnMvZG93bnJldi54bWxQSwECFAAUAAAACACHTuJAkHs380YCAAB0BAAADgAA&#10;AAAAAAABACAAAAAsAQAAZHJzL2Uyb0RvYy54bWxQSwUGAAAAAAYABgBZAQAA5AUAAAAA&#10;">
                      <v:fill on="f"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枫香</w:t>
                            </w:r>
                          </w:p>
                        </w:txbxContent>
                      </v:textbox>
                    </v:shape>
                  </w:pict>
                </mc:Fallback>
              </mc:AlternateContent>
            </w: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1061720</wp:posOffset>
                      </wp:positionH>
                      <wp:positionV relativeFrom="paragraph">
                        <wp:posOffset>1794510</wp:posOffset>
                      </wp:positionV>
                      <wp:extent cx="1047750" cy="428625"/>
                      <wp:effectExtent l="0" t="0" r="0" b="0"/>
                      <wp:wrapNone/>
                      <wp:docPr id="33" name="文本框 33"/>
                      <wp:cNvGraphicFramePr/>
                      <a:graphic xmlns:a="http://schemas.openxmlformats.org/drawingml/2006/main">
                        <a:graphicData uri="http://schemas.microsoft.com/office/word/2010/wordprocessingShape">
                          <wps:wsp>
                            <wps:cNvSpPr txBox="1"/>
                            <wps:spPr>
                              <a:xfrm>
                                <a:off x="2341880" y="2769235"/>
                                <a:ext cx="1047750"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val="en-US" w:eastAsia="zh-CN"/>
                                    </w:rPr>
                                  </w:pPr>
                                  <w:r>
                                    <w:rPr>
                                      <w:rFonts w:hint="eastAsia"/>
                                      <w:sz w:val="24"/>
                                      <w:szCs w:val="24"/>
                                      <w:lang w:val="en-US" w:eastAsia="zh-CN"/>
                                    </w:rPr>
                                    <w:t>枫香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6pt;margin-top:141.3pt;height:33.75pt;width:82.5pt;z-index:251670528;mso-width-relative:page;mso-height-relative:page;" filled="f" stroked="f" coordsize="21600,21600" o:gfxdata="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Y44ojaAAAACwEAAA8AAAAAAAAA&#10;AQAgAAAAIgAAAGRycy9kb3ducmV2LnhtbFBLAQIUABQAAAAIAIdO4kBP4sgESAIAAHQEAAAOAAAA&#10;AAAAAAEAIAAAACkBAABkcnMvZTJvRG9jLnhtbFBLBQYAAAAABgAGAFkBAADjBQAAAAA=&#10;">
                      <v:fill on="f"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枫香</w:t>
                            </w:r>
                          </w:p>
                        </w:txbxContent>
                      </v:textbox>
                    </v:shape>
                  </w:pict>
                </mc:Fallback>
              </mc:AlternateContent>
            </w:r>
            <w:r>
              <w:rPr>
                <w:rFonts w:hint="eastAsia"/>
                <w:color w:val="000000" w:themeColor="text1"/>
                <w:highlight w:val="none"/>
                <w:lang w:val="en-US" w:eastAsia="zh-CN"/>
                <w14:textFill>
                  <w14:solidFill>
                    <w14:schemeClr w14:val="tx1"/>
                  </w14:solidFill>
                </w14:textFill>
              </w:rPr>
              <w:drawing>
                <wp:inline distT="0" distB="0" distL="114300" distR="114300">
                  <wp:extent cx="2588895" cy="1615440"/>
                  <wp:effectExtent l="0" t="0" r="1905" b="3810"/>
                  <wp:docPr id="15" name="图片 15" descr="057331260b68d488e1685d987595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57331260b68d488e1685d987595a4f"/>
                          <pic:cNvPicPr>
                            <a:picLocks noChangeAspect="1"/>
                          </pic:cNvPicPr>
                        </pic:nvPicPr>
                        <pic:blipFill>
                          <a:blip r:embed="rId22"/>
                          <a:srcRect l="9483" t="19389" r="26068" b="27004"/>
                          <a:stretch>
                            <a:fillRect/>
                          </a:stretch>
                        </pic:blipFill>
                        <pic:spPr>
                          <a:xfrm>
                            <a:off x="0" y="0"/>
                            <a:ext cx="2588895" cy="161544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2348230" cy="1607185"/>
                  <wp:effectExtent l="0" t="0" r="13970" b="12065"/>
                  <wp:docPr id="32" name="图片 32" descr="dce114f8a8c00beb4838769835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ce114f8a8c00beb483876983516097"/>
                          <pic:cNvPicPr>
                            <a:picLocks noChangeAspect="1"/>
                          </pic:cNvPicPr>
                        </pic:nvPicPr>
                        <pic:blipFill>
                          <a:blip r:embed="rId23"/>
                          <a:srcRect l="10234" t="16784" r="7090" b="7816"/>
                          <a:stretch>
                            <a:fillRect/>
                          </a:stretch>
                        </pic:blipFill>
                        <pic:spPr>
                          <a:xfrm>
                            <a:off x="0" y="0"/>
                            <a:ext cx="2348230" cy="1607185"/>
                          </a:xfrm>
                          <a:prstGeom prst="rect">
                            <a:avLst/>
                          </a:prstGeom>
                        </pic:spPr>
                      </pic:pic>
                    </a:graphicData>
                  </a:graphic>
                </wp:inline>
              </w:drawing>
            </w:r>
          </w:p>
          <w:p>
            <w:pPr>
              <w:pStyle w:val="3"/>
              <w:keepLines w:val="0"/>
              <w:numPr>
                <w:ilvl w:val="0"/>
                <w:numId w:val="0"/>
              </w:numPr>
              <w:suppressLineNumbers w:val="0"/>
              <w:shd w:val="clear"/>
              <w:spacing w:beforeAutospacing="0" w:afterAutospacing="0"/>
              <w:ind w:leftChars="0" w:right="0"/>
              <w:rPr>
                <w:rFonts w:hint="eastAsia"/>
                <w:color w:val="000000" w:themeColor="text1"/>
                <w:highlight w:val="none"/>
                <w:lang w:val="en-US" w:eastAsia="zh-CN"/>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3081655" cy="2416810"/>
                  <wp:effectExtent l="0" t="0" r="4445" b="2540"/>
                  <wp:docPr id="35" name="图片 35" descr="8eb191fb967cdbb63d17955fef2b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eb191fb967cdbb63d17955fef2b608"/>
                          <pic:cNvPicPr>
                            <a:picLocks noChangeAspect="1"/>
                          </pic:cNvPicPr>
                        </pic:nvPicPr>
                        <pic:blipFill>
                          <a:blip r:embed="rId24"/>
                          <a:srcRect l="5547" t="6685" r="5402" b="2457"/>
                          <a:stretch>
                            <a:fillRect/>
                          </a:stretch>
                        </pic:blipFill>
                        <pic:spPr>
                          <a:xfrm>
                            <a:off x="0" y="0"/>
                            <a:ext cx="3081655" cy="2416810"/>
                          </a:xfrm>
                          <a:prstGeom prst="rect">
                            <a:avLst/>
                          </a:prstGeom>
                        </pic:spPr>
                      </pic:pic>
                    </a:graphicData>
                  </a:graphic>
                </wp:inline>
              </w:drawing>
            </w:r>
          </w:p>
          <w:p>
            <w:pPr>
              <w:pStyle w:val="3"/>
              <w:keepLines w:val="0"/>
              <w:numPr>
                <w:ilvl w:val="0"/>
                <w:numId w:val="0"/>
              </w:numPr>
              <w:suppressLineNumbers w:val="0"/>
              <w:shd w:val="clear"/>
              <w:spacing w:beforeAutospacing="0" w:afterAutospacing="0"/>
              <w:ind w:leftChars="0" w:right="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2185670</wp:posOffset>
                      </wp:positionH>
                      <wp:positionV relativeFrom="paragraph">
                        <wp:posOffset>86360</wp:posOffset>
                      </wp:positionV>
                      <wp:extent cx="1647825" cy="466725"/>
                      <wp:effectExtent l="0" t="0" r="0" b="0"/>
                      <wp:wrapNone/>
                      <wp:docPr id="72" name="文本框 72"/>
                      <wp:cNvGraphicFramePr/>
                      <a:graphic xmlns:a="http://schemas.openxmlformats.org/drawingml/2006/main">
                        <a:graphicData uri="http://schemas.microsoft.com/office/word/2010/wordprocessingShape">
                          <wps:wsp>
                            <wps:cNvSpPr txBox="1"/>
                            <wps:spPr>
                              <a:xfrm>
                                <a:off x="3284855" y="5758180"/>
                                <a:ext cx="1647825"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val="en-US" w:eastAsia="zh-CN"/>
                                    </w:rPr>
                                  </w:pPr>
                                  <w:r>
                                    <w:rPr>
                                      <w:rFonts w:hint="eastAsia"/>
                                      <w:sz w:val="24"/>
                                      <w:szCs w:val="24"/>
                                      <w:lang w:val="en-US" w:eastAsia="zh-CN"/>
                                    </w:rPr>
                                    <w:t>樟树（香樟）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1pt;margin-top:6.8pt;height:36.75pt;width:129.75pt;z-index:251672576;mso-width-relative:page;mso-height-relative:page;" filled="f" stroked="f" coordsize="21600,21600" o:gfxdata="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39HYTaAAAACQEAAA8AAAAAAAAA&#10;AQAgAAAAIgAAAGRycy9kb3ducmV2LnhtbFBLAQIUABQAAAAIAIdO4kAgGHB0SAIAAHQEAAAOAAAA&#10;AAAAAAEAIAAAACkBAABkcnMvZTJvRG9jLnhtbFBLBQYAAAAABgAGAFkBAADjBQAAAAA=&#10;">
                      <v:fill on="f"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樟树（香樟）</w:t>
                            </w:r>
                          </w:p>
                        </w:txbxContent>
                      </v:textbox>
                    </v:shape>
                  </w:pict>
                </mc:Fallback>
              </mc:AlternateContent>
            </w:r>
          </w:p>
          <w:p>
            <w:pPr>
              <w:keepNext w:val="0"/>
              <w:keepLines w:val="0"/>
              <w:suppressLineNumbers w:val="0"/>
              <w:shd w:val="clear"/>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numPr>
                <w:ilvl w:val="0"/>
                <w:numId w:val="0"/>
              </w:numPr>
              <w:suppressLineNumbers w:val="0"/>
              <w:shd w:val="clear"/>
              <w:kinsoku/>
              <w:wordWrap/>
              <w:topLinePunct w:val="0"/>
              <w:autoSpaceDE/>
              <w:autoSpaceDN/>
              <w:bidi w:val="0"/>
              <w:adjustRightInd/>
              <w:spacing w:before="0" w:beforeAutospacing="0" w:after="0" w:afterAutospacing="0" w:line="360" w:lineRule="auto"/>
              <w:ind w:left="420" w:leftChars="0" w:right="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(3)野生动物生态系统</w:t>
            </w:r>
          </w:p>
          <w:p>
            <w:pPr>
              <w:pStyle w:val="21"/>
              <w:shd w:val="clear"/>
              <w:bidi w:val="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根据现场调查和查阅相关资料，项目区域未发现珍惜野生动物和需要特殊保护的野生动物，未发现重要的野生动物或鸟类的栖息地或繁殖地等敏感生境。</w:t>
            </w:r>
          </w:p>
          <w:p>
            <w:pPr>
              <w:pStyle w:val="21"/>
              <w:shd w:val="clear"/>
              <w:bidi w:val="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区域内现有动物主要为</w:t>
            </w:r>
            <w:r>
              <w:rPr>
                <w:rFonts w:hint="eastAsia"/>
                <w:color w:val="000000" w:themeColor="text1"/>
                <w:sz w:val="24"/>
                <w:szCs w:val="24"/>
                <w:highlight w:val="none"/>
                <w:lang w:val="en-US" w:eastAsia="zh-CN"/>
                <w14:textFill>
                  <w14:solidFill>
                    <w14:schemeClr w14:val="tx1"/>
                  </w14:solidFill>
                </w14:textFill>
              </w:rPr>
              <w:t>对</w:t>
            </w:r>
            <w:r>
              <w:rPr>
                <w:rFonts w:hint="default"/>
                <w:color w:val="000000" w:themeColor="text1"/>
                <w:sz w:val="24"/>
                <w:szCs w:val="24"/>
                <w:highlight w:val="none"/>
                <w14:textFill>
                  <w14:solidFill>
                    <w14:schemeClr w14:val="tx1"/>
                  </w14:solidFill>
                </w14:textFill>
              </w:rPr>
              <w:t>人类活动敏感性相对较低的鸟类</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如麻雀、家燕、</w:t>
            </w:r>
            <w:r>
              <w:rPr>
                <w:rFonts w:hint="eastAsia"/>
                <w:color w:val="000000" w:themeColor="text1"/>
                <w:sz w:val="24"/>
                <w:szCs w:val="24"/>
                <w:highlight w:val="none"/>
                <w:lang w:val="en-US" w:eastAsia="zh-CN"/>
                <w14:textFill>
                  <w14:solidFill>
                    <w14:schemeClr w14:val="tx1"/>
                  </w14:solidFill>
                </w14:textFill>
              </w:rPr>
              <w:t>红嘴蓝鹊</w:t>
            </w:r>
            <w:r>
              <w:rPr>
                <w:rFonts w:hint="default"/>
                <w:color w:val="000000" w:themeColor="text1"/>
                <w:sz w:val="24"/>
                <w:szCs w:val="24"/>
                <w:highlight w:val="none"/>
                <w14:textFill>
                  <w14:solidFill>
                    <w14:schemeClr w14:val="tx1"/>
                  </w14:solidFill>
                </w14:textFill>
              </w:rPr>
              <w:t>等</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兽类</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主要是啮齿目和食虫目的小型兽类，如东方田鼠、屋顶鼠、黑线姬鼠、小家鼠、社鼠、臭鼩等</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，对人类的敏感性较低，其中鼠类还多作为人类的伴生物种而出现；夜间在评价区范围内还可见到一些翼手目的物种。</w:t>
            </w:r>
          </w:p>
          <w:p>
            <w:pPr>
              <w:pStyle w:val="21"/>
              <w:shd w:val="clear"/>
              <w:bidi w:val="0"/>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评价区内</w:t>
            </w:r>
            <w:r>
              <w:rPr>
                <w:rFonts w:hint="default"/>
                <w:color w:val="000000" w:themeColor="text1"/>
                <w:sz w:val="24"/>
                <w:szCs w:val="24"/>
                <w:highlight w:val="none"/>
                <w14:textFill>
                  <w14:solidFill>
                    <w14:schemeClr w14:val="tx1"/>
                  </w14:solidFill>
                </w14:textFill>
              </w:rPr>
              <w:t>受到人类活动的影响</w:t>
            </w: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使得评价区整体环境相对干燥，适于两栖动物生存的生境面积较小，区内两栖动物的种群数量都很小，较多见的是对环境耐受能力较强的蟾蜍类，如黑眶蟾蜍</w:t>
            </w:r>
            <w:r>
              <w:rPr>
                <w:rFonts w:hint="default"/>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中国石龙子、兰尾石龙子等。</w:t>
            </w:r>
          </w:p>
          <w:p>
            <w:pPr>
              <w:pStyle w:val="21"/>
              <w:shd w:val="clear"/>
              <w:bidi w:val="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(4)水域生态系统</w:t>
            </w:r>
          </w:p>
          <w:p>
            <w:pPr>
              <w:pStyle w:val="21"/>
              <w:shd w:val="clear"/>
              <w:bidi w:val="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根据现场溪段调查以及走访村民，了解到溪底溪常见的鱼类以鲫鱼，光唇鱼(俗称溪石斑)为主，因溪底溪流量较小，所以鱼类较少，整个</w:t>
            </w:r>
            <w:r>
              <w:rPr>
                <w:rFonts w:hint="default"/>
                <w:color w:val="000000" w:themeColor="text1"/>
                <w:sz w:val="24"/>
                <w:szCs w:val="24"/>
                <w:highlight w:val="none"/>
                <w14:textFill>
                  <w14:solidFill>
                    <w14:schemeClr w14:val="tx1"/>
                  </w14:solidFill>
                </w14:textFill>
              </w:rPr>
              <w:t>评价区段无保护鱼类分布，无鱼类“三场”分布</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溪底溪存在的底栖生物主要为贝类和蟹类等，浮游生物以浮游植物为主。</w:t>
            </w:r>
          </w:p>
          <w:p>
            <w:pPr>
              <w:keepNext/>
              <w:keepLines w:val="0"/>
              <w:widowControl w:val="0"/>
              <w:suppressLineNumbers w:val="0"/>
              <w:shd w:val="clear"/>
              <w:overflowPunct w:val="0"/>
              <w:snapToGrid w:val="0"/>
              <w:spacing w:before="0" w:beforeAutospacing="0" w:after="0" w:afterAutospacing="0" w:line="360" w:lineRule="auto"/>
              <w:ind w:left="0" w:right="0" w:firstLine="0"/>
              <w:jc w:val="center"/>
              <w:outlineLvl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2197735</wp:posOffset>
                      </wp:positionH>
                      <wp:positionV relativeFrom="paragraph">
                        <wp:posOffset>1792605</wp:posOffset>
                      </wp:positionV>
                      <wp:extent cx="1628775" cy="33337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628775" cy="333375"/>
                              </a:xfrm>
                              <a:prstGeom prst="rect">
                                <a:avLst/>
                              </a:prstGeom>
                              <a:noFill/>
                              <a:ln>
                                <a:noFill/>
                              </a:ln>
                            </wps:spPr>
                            <wps:txb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光唇鱼</w:t>
                                  </w:r>
                                </w:p>
                              </w:txbxContent>
                            </wps:txbx>
                            <wps:bodyPr upright="1"/>
                          </wps:wsp>
                        </a:graphicData>
                      </a:graphic>
                    </wp:anchor>
                  </w:drawing>
                </mc:Choice>
                <mc:Fallback>
                  <w:pict>
                    <v:shape id="_x0000_s1026" o:spid="_x0000_s1026" o:spt="202" type="#_x0000_t202" style="position:absolute;left:0pt;margin-left:173.05pt;margin-top:141.15pt;height:26.25pt;width:128.25pt;z-index:251669504;mso-width-relative:page;mso-height-relative:page;" filled="f" stroked="f" coordsize="21600,21600" o:gfxdata="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AevL7XAAAA&#10;CwEAAA8AAAAAAAAAAQAgAAAAIgAAAGRycy9kb3ducmV2LnhtbFBLAQIUABQAAAAIAIdO4kCH1Z8r&#10;rAEAAFADAAAOAAAAAAAAAAEAIAAAACYBAABkcnMvZTJvRG9jLnhtbFBLBQYAAAAABgAGAFkBAABE&#10;BQAAAAA=&#10;">
                      <v:fill on="f" focussize="0,0"/>
                      <v:stroke on="f"/>
                      <v:imagedata o:title=""/>
                      <o:lock v:ext="edit" aspectratio="f"/>
                      <v:textbox>
                        <w:txbxContent>
                          <w:p>
                            <w:pPr>
                              <w:spacing w:line="360" w:lineRule="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光唇鱼</w:t>
                            </w:r>
                          </w:p>
                        </w:txbxContent>
                      </v:textbox>
                    </v:shape>
                  </w:pict>
                </mc:Fallback>
              </mc:AlternateContent>
            </w:r>
            <w:r>
              <w:rPr>
                <w:rFonts w:hint="default"/>
                <w:color w:val="000000" w:themeColor="text1"/>
                <w:highlight w:val="none"/>
                <w:lang w:val="en-US" w:eastAsia="zh-CN"/>
                <w14:textFill>
                  <w14:solidFill>
                    <w14:schemeClr w14:val="tx1"/>
                  </w14:solidFill>
                </w14:textFill>
              </w:rPr>
              <w:drawing>
                <wp:inline distT="0" distB="0" distL="114300" distR="114300">
                  <wp:extent cx="2409825" cy="1746250"/>
                  <wp:effectExtent l="0" t="0" r="9525" b="6350"/>
                  <wp:docPr id="54" name="图片 31" descr="C:\Users\Dell\Desktop\福鼎市贯岭镇Y869透溪\照片\新建文件夹 (2)\1a3a5bbbf4b48f8fd72c68cc5bb49e5.jpg1a3a5bbbf4b48f8fd72c68cc5bb4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descr="C:\Users\Dell\Desktop\福鼎市贯岭镇Y869透溪\照片\新建文件夹 (2)\1a3a5bbbf4b48f8fd72c68cc5bb49e5.jpg1a3a5bbbf4b48f8fd72c68cc5bb49e5"/>
                          <pic:cNvPicPr>
                            <a:picLocks noChangeAspect="1"/>
                          </pic:cNvPicPr>
                        </pic:nvPicPr>
                        <pic:blipFill>
                          <a:blip r:embed="rId25"/>
                          <a:srcRect r="13946" b="16843"/>
                          <a:stretch>
                            <a:fillRect/>
                          </a:stretch>
                        </pic:blipFill>
                        <pic:spPr>
                          <a:xfrm>
                            <a:off x="0" y="0"/>
                            <a:ext cx="2409825" cy="1746250"/>
                          </a:xfrm>
                          <a:prstGeom prst="rect">
                            <a:avLst/>
                          </a:prstGeom>
                          <a:noFill/>
                          <a:ln>
                            <a:noFill/>
                          </a:ln>
                        </pic:spPr>
                      </pic:pic>
                    </a:graphicData>
                  </a:graphic>
                </wp:inline>
              </w:drawing>
            </w:r>
          </w:p>
          <w:p>
            <w:pPr>
              <w:pStyle w:val="4"/>
              <w:widowControl/>
              <w:numPr>
                <w:ilvl w:val="0"/>
                <w:numId w:val="0"/>
              </w:numPr>
              <w:suppressLineNumbers w:val="0"/>
              <w:shd w:val="clear"/>
              <w:spacing w:before="0" w:beforeAutospacing="0" w:after="0" w:afterAutospacing="0"/>
              <w:ind w:left="0" w:leftChars="0" w:right="0" w:firstLine="562" w:firstLineChars="200"/>
              <w:jc w:val="both"/>
              <w:rPr>
                <w:rFonts w:hint="default"/>
                <w:color w:val="000000" w:themeColor="text1"/>
                <w:highlight w:val="none"/>
                <w:lang w:val="en-US" w:eastAsia="zh-CN"/>
                <w14:textFill>
                  <w14:solidFill>
                    <w14:schemeClr w14:val="tx1"/>
                  </w14:solidFill>
                </w14:textFill>
              </w:rPr>
            </w:pPr>
          </w:p>
          <w:p>
            <w:pPr>
              <w:pStyle w:val="4"/>
              <w:numPr>
                <w:ilvl w:val="0"/>
                <w:numId w:val="0"/>
              </w:numPr>
              <w:suppressLineNumbers w:val="0"/>
              <w:shd w:val="clear"/>
              <w:bidi w:val="0"/>
              <w:spacing w:before="0" w:beforeAutospacing="0" w:after="0" w:afterAutospacing="0"/>
              <w:ind w:left="0" w:leftChars="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5.地下水环境现状</w:t>
            </w:r>
          </w:p>
          <w:p>
            <w:pPr>
              <w:keepNext w:val="0"/>
              <w:keepLines w:val="0"/>
              <w:suppressLineNumbers w:val="0"/>
              <w:shd w:val="clear"/>
              <w:bidi w:val="0"/>
              <w:spacing w:before="0" w:beforeAutospacing="0" w:after="0" w:afterAutospacing="0" w:line="360" w:lineRule="auto"/>
              <w:ind w:left="0" w:right="0"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根据</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建设项目环境影响报告表编制技术指南（生态影响类）</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试行</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，参照《环境影响评价导则 地下水环境》（试行）（HJ610-2016），本次不开展地下水环境影响评价工作，不进行地下水环境现状调查。</w:t>
            </w:r>
          </w:p>
          <w:p>
            <w:pPr>
              <w:pStyle w:val="4"/>
              <w:numPr>
                <w:ilvl w:val="0"/>
                <w:numId w:val="0"/>
              </w:numPr>
              <w:suppressLineNumbers w:val="0"/>
              <w:shd w:val="clear"/>
              <w:bidi w:val="0"/>
              <w:spacing w:before="0" w:beforeAutospacing="0" w:after="0" w:afterAutospacing="0"/>
              <w:ind w:left="0" w:leftChars="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6.土壤环境现状</w:t>
            </w:r>
          </w:p>
          <w:p>
            <w:pPr>
              <w:keepNext w:val="0"/>
              <w:keepLines w:val="0"/>
              <w:numPr>
                <w:ilvl w:val="0"/>
                <w:numId w:val="0"/>
              </w:numPr>
              <w:suppressLineNumbers w:val="0"/>
              <w:shd w:val="clear"/>
              <w:spacing w:before="0" w:beforeAutospacing="0" w:after="0" w:afterAutospacing="0" w:line="360" w:lineRule="auto"/>
              <w:ind w:left="0" w:leftChars="0" w:right="0" w:firstLine="480" w:firstLineChars="200"/>
              <w:rPr>
                <w:rFonts w:hint="default"/>
                <w:color w:val="000000" w:themeColor="text1"/>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根据</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建设项目环境影响报告表编制技术指南（生态影响类）</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试行</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，参照《环境影响评价导则 土壤环境》（试行）（HJ964-2018），本次不开展土壤环境影响评价工作，不进行土壤环境现状调查。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3" w:hRule="atLeast"/>
          <w:jc w:val="center"/>
        </w:trPr>
        <w:tc>
          <w:tcPr>
            <w:tcW w:w="9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color w:val="000000" w:themeColor="text1"/>
                <w:kern w:val="0"/>
                <w:szCs w:val="21"/>
                <w:highlight w:val="none"/>
                <w14:textFill>
                  <w14:solidFill>
                    <w14:schemeClr w14:val="tx1"/>
                  </w14:solidFill>
                </w14:textFill>
              </w:rPr>
            </w:pPr>
            <w:r>
              <w:rPr>
                <w:rFonts w:hint="default"/>
                <w:bCs/>
                <w:color w:val="000000" w:themeColor="text1"/>
                <w:sz w:val="24"/>
                <w:szCs w:val="24"/>
                <w:highlight w:val="none"/>
                <w14:textFill>
                  <w14:solidFill>
                    <w14:schemeClr w14:val="tx1"/>
                  </w14:solidFill>
                </w14:textFill>
              </w:rPr>
              <w:t>与项目有关的原有环境污染和生态破坏问题</w:t>
            </w:r>
          </w:p>
        </w:tc>
        <w:tc>
          <w:tcPr>
            <w:tcW w:w="8253" w:type="dxa"/>
            <w:noWrap w:val="0"/>
            <w:vAlign w:val="center"/>
          </w:tcPr>
          <w:p>
            <w:pPr>
              <w:keepNext w:val="0"/>
              <w:keepLines w:val="0"/>
              <w:widowControl w:val="0"/>
              <w:suppressLineNumbers w:val="0"/>
              <w:shd w:val="clear"/>
              <w:spacing w:before="0" w:beforeAutospacing="0" w:after="0" w:afterAutospacing="0" w:line="360" w:lineRule="auto"/>
              <w:ind w:left="0" w:right="0" w:firstLine="480" w:firstLineChars="200"/>
              <w:jc w:val="lef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现有旧路是主要是水泥路面，部分路面出现龟裂、不规则横向裂缝等问题，已制约该公路功能的充分发挥,根据现场查勘，本项目存在的主要问题有：</w:t>
            </w:r>
          </w:p>
          <w:p>
            <w:pPr>
              <w:keepNext w:val="0"/>
              <w:keepLines w:val="0"/>
              <w:suppressLineNumbers w:val="0"/>
              <w:shd w:val="clear"/>
              <w:bidi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行车扬尘大：行车速度低、路面积尘多、行车扬尘显著；路况差车速慢、用路时间长，使扬尘产生时间和产生量也更高。</w:t>
            </w:r>
          </w:p>
          <w:p>
            <w:pPr>
              <w:keepNext w:val="0"/>
              <w:keepLines w:val="0"/>
              <w:suppressLineNumbers w:val="0"/>
              <w:shd w:val="clear"/>
              <w:bidi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公路未设置路面径流收集系统、封闭式防撞栏等环境风险防范措施，无可保障水源地水质的安全体系，道路路面径流、交通事故废液等可直接流入水源保护区，存在极大安全隐患。</w:t>
            </w:r>
          </w:p>
          <w:p>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3）交通噪声虽短暂但较高：由于路况较差，道路通行能力差，导致行车速度很慢，行车噪声较优质路面高、单台行车且对某一受声点的影响持续时间延长，全路段的上路车辆用路时间长也导致噪声影响持续时间较长，同时还使扬尘产生量较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1" w:hRule="atLeast"/>
          <w:jc w:val="center"/>
        </w:trPr>
        <w:tc>
          <w:tcPr>
            <w:tcW w:w="9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eastAsia="宋体"/>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生态环境保护目标</w:t>
            </w:r>
          </w:p>
        </w:tc>
        <w:tc>
          <w:tcPr>
            <w:tcW w:w="8253" w:type="dxa"/>
            <w:noWrap w:val="0"/>
            <w:vAlign w:val="center"/>
          </w:tcPr>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(1)施工期环境保护目标</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本项目施工期主要环境敏感目标以及名木古树见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_Ref818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表28</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_Ref848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表29</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pPr>
              <w:keepNext w:val="0"/>
              <w:keepLines w:val="0"/>
              <w:numPr>
                <w:ilvl w:val="0"/>
                <w:numId w:val="0"/>
              </w:numPr>
              <w:suppressLineNumbers w:val="0"/>
              <w:shd w:val="clear"/>
              <w:bidi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运营期环境保护目标</w:t>
            </w:r>
          </w:p>
          <w:p>
            <w:pPr>
              <w:keepNext w:val="0"/>
              <w:keepLines w:val="0"/>
              <w:suppressLineNumbers w:val="0"/>
              <w:shd w:val="clear"/>
              <w:bidi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项目运营过程对周边环境影响主要为道路交通产生噪声。主要环境敏感目标见表</w:t>
            </w:r>
            <w:r>
              <w:rPr>
                <w:rFonts w:hint="eastAsia" w:cs="Times New Roman"/>
                <w:color w:val="000000" w:themeColor="text1"/>
                <w:sz w:val="24"/>
                <w:highlight w:val="none"/>
                <w:lang w:val="en-US" w:eastAsia="zh-CN"/>
                <w14:textFill>
                  <w14:solidFill>
                    <w14:schemeClr w14:val="tx1"/>
                  </w14:solidFill>
                </w14:textFill>
              </w:rPr>
              <w:t>21</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运营期声、大气环境敏感目标情况表</w:t>
            </w:r>
          </w:p>
          <w:tbl>
            <w:tblPr>
              <w:tblStyle w:val="13"/>
              <w:tblW w:w="79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35"/>
              <w:gridCol w:w="1109"/>
              <w:gridCol w:w="738"/>
              <w:gridCol w:w="934"/>
              <w:gridCol w:w="779"/>
              <w:gridCol w:w="1103"/>
              <w:gridCol w:w="1012"/>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23" w:type="dxa"/>
                  <w:vMerge w:val="restart"/>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序号</w:t>
                  </w:r>
                </w:p>
              </w:tc>
              <w:tc>
                <w:tcPr>
                  <w:tcW w:w="935" w:type="dxa"/>
                  <w:vMerge w:val="restart"/>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敏感点名称</w:t>
                  </w:r>
                </w:p>
              </w:tc>
              <w:tc>
                <w:tcPr>
                  <w:tcW w:w="1109" w:type="dxa"/>
                  <w:vMerge w:val="restart"/>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参照桩号</w:t>
                  </w:r>
                </w:p>
              </w:tc>
              <w:tc>
                <w:tcPr>
                  <w:tcW w:w="738" w:type="dxa"/>
                  <w:vMerge w:val="restart"/>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方位</w:t>
                  </w:r>
                </w:p>
              </w:tc>
              <w:tc>
                <w:tcPr>
                  <w:tcW w:w="3828" w:type="dxa"/>
                  <w:gridSpan w:val="4"/>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所在位置</w:t>
                  </w:r>
                </w:p>
              </w:tc>
              <w:tc>
                <w:tcPr>
                  <w:tcW w:w="953" w:type="dxa"/>
                  <w:vMerge w:val="restart"/>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可能影响人数</w:t>
                  </w:r>
                  <w:r>
                    <w:rPr>
                      <w:rFonts w:hint="eastAsia" w:cs="Times New Roman"/>
                      <w:color w:val="000000" w:themeColor="text1"/>
                      <w:kern w:val="2"/>
                      <w:sz w:val="21"/>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人</w:t>
                  </w:r>
                  <w:r>
                    <w:rPr>
                      <w:rFonts w:hint="eastAsia" w:cs="Times New Roman"/>
                      <w:color w:val="000000" w:themeColor="text1"/>
                      <w:kern w:val="2"/>
                      <w:sz w:val="21"/>
                      <w:szCs w:val="24"/>
                      <w:highlight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423" w:type="dxa"/>
                  <w:vMerge w:val="continue"/>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935" w:type="dxa"/>
                  <w:vMerge w:val="continue"/>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1109" w:type="dxa"/>
                  <w:vMerge w:val="continue"/>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738" w:type="dxa"/>
                  <w:vMerge w:val="continue"/>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934"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大气环境功能区</w:t>
                  </w:r>
                </w:p>
              </w:tc>
              <w:tc>
                <w:tcPr>
                  <w:tcW w:w="77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声环境功能区</w:t>
                  </w:r>
                </w:p>
              </w:tc>
              <w:tc>
                <w:tcPr>
                  <w:tcW w:w="1103"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水环境功能区</w:t>
                  </w:r>
                </w:p>
              </w:tc>
              <w:tc>
                <w:tcPr>
                  <w:tcW w:w="1012"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与道路中心线距离</w:t>
                  </w:r>
                  <w:r>
                    <w:rPr>
                      <w:rFonts w:hint="eastAsia" w:cs="Times New Roman"/>
                      <w:color w:val="000000" w:themeColor="text1"/>
                      <w:kern w:val="2"/>
                      <w:sz w:val="21"/>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m</w:t>
                  </w:r>
                  <w:r>
                    <w:rPr>
                      <w:rFonts w:hint="eastAsia" w:cs="Times New Roman"/>
                      <w:color w:val="000000" w:themeColor="text1"/>
                      <w:kern w:val="2"/>
                      <w:sz w:val="21"/>
                      <w:szCs w:val="24"/>
                      <w:highlight w:val="none"/>
                      <w:lang w:val="en-US" w:eastAsia="zh-CN" w:bidi="ar-SA"/>
                      <w14:textFill>
                        <w14:solidFill>
                          <w14:schemeClr w14:val="tx1"/>
                        </w14:solidFill>
                      </w14:textFill>
                    </w:rPr>
                    <w:t>)</w:t>
                  </w:r>
                </w:p>
              </w:tc>
              <w:tc>
                <w:tcPr>
                  <w:tcW w:w="953" w:type="dxa"/>
                  <w:vMerge w:val="continue"/>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2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1</w:t>
                  </w:r>
                </w:p>
              </w:tc>
              <w:tc>
                <w:tcPr>
                  <w:tcW w:w="935"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岗头仔</w:t>
                  </w:r>
                </w:p>
              </w:tc>
              <w:tc>
                <w:tcPr>
                  <w:tcW w:w="110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K0+484~K0+682</w:t>
                  </w:r>
                </w:p>
              </w:tc>
              <w:tc>
                <w:tcPr>
                  <w:tcW w:w="738"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路右</w:t>
                  </w:r>
                </w:p>
              </w:tc>
              <w:tc>
                <w:tcPr>
                  <w:tcW w:w="934"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二类区</w:t>
                  </w:r>
                </w:p>
              </w:tc>
              <w:tc>
                <w:tcPr>
                  <w:tcW w:w="77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类</w:t>
                  </w:r>
                </w:p>
              </w:tc>
              <w:tc>
                <w:tcPr>
                  <w:tcW w:w="1103"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Ⅲ类水质标准</w:t>
                  </w:r>
                </w:p>
              </w:tc>
              <w:tc>
                <w:tcPr>
                  <w:tcW w:w="1012" w:type="dxa"/>
                  <w:noWrap w:val="0"/>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98.2</w:t>
                  </w:r>
                </w:p>
              </w:tc>
              <w:tc>
                <w:tcPr>
                  <w:tcW w:w="95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2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2</w:t>
                  </w:r>
                </w:p>
              </w:tc>
              <w:tc>
                <w:tcPr>
                  <w:tcW w:w="935"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鸭母碓</w:t>
                  </w:r>
                </w:p>
              </w:tc>
              <w:tc>
                <w:tcPr>
                  <w:tcW w:w="110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K1+161~K1+354</w:t>
                  </w:r>
                </w:p>
              </w:tc>
              <w:tc>
                <w:tcPr>
                  <w:tcW w:w="738"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路</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两侧</w:t>
                  </w:r>
                </w:p>
              </w:tc>
              <w:tc>
                <w:tcPr>
                  <w:tcW w:w="934"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二类区</w:t>
                  </w:r>
                </w:p>
              </w:tc>
              <w:tc>
                <w:tcPr>
                  <w:tcW w:w="77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类</w:t>
                  </w:r>
                </w:p>
              </w:tc>
              <w:tc>
                <w:tcPr>
                  <w:tcW w:w="1103"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Ⅲ类水质标准</w:t>
                  </w:r>
                </w:p>
              </w:tc>
              <w:tc>
                <w:tcPr>
                  <w:tcW w:w="1012" w:type="dxa"/>
                  <w:noWrap w:val="0"/>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路左1.0、路右20.5</w:t>
                  </w:r>
                </w:p>
              </w:tc>
              <w:tc>
                <w:tcPr>
                  <w:tcW w:w="95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2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3</w:t>
                  </w:r>
                </w:p>
              </w:tc>
              <w:tc>
                <w:tcPr>
                  <w:tcW w:w="935"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罗厝</w:t>
                  </w:r>
                </w:p>
              </w:tc>
              <w:tc>
                <w:tcPr>
                  <w:tcW w:w="110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K1+588~K1+734</w:t>
                  </w:r>
                </w:p>
              </w:tc>
              <w:tc>
                <w:tcPr>
                  <w:tcW w:w="738"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路左</w:t>
                  </w:r>
                </w:p>
              </w:tc>
              <w:tc>
                <w:tcPr>
                  <w:tcW w:w="934"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二类区</w:t>
                  </w:r>
                </w:p>
              </w:tc>
              <w:tc>
                <w:tcPr>
                  <w:tcW w:w="77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类</w:t>
                  </w:r>
                </w:p>
              </w:tc>
              <w:tc>
                <w:tcPr>
                  <w:tcW w:w="1103"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Ⅲ类水质标准</w:t>
                  </w:r>
                </w:p>
              </w:tc>
              <w:tc>
                <w:tcPr>
                  <w:tcW w:w="1012" w:type="dxa"/>
                  <w:noWrap w:val="0"/>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50.3</w:t>
                  </w:r>
                </w:p>
              </w:tc>
              <w:tc>
                <w:tcPr>
                  <w:tcW w:w="95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2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4</w:t>
                  </w:r>
                </w:p>
              </w:tc>
              <w:tc>
                <w:tcPr>
                  <w:tcW w:w="935"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溪底村</w:t>
                  </w:r>
                </w:p>
              </w:tc>
              <w:tc>
                <w:tcPr>
                  <w:tcW w:w="110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K2+101~K2+270</w:t>
                  </w:r>
                </w:p>
              </w:tc>
              <w:tc>
                <w:tcPr>
                  <w:tcW w:w="738"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路左</w:t>
                  </w:r>
                </w:p>
              </w:tc>
              <w:tc>
                <w:tcPr>
                  <w:tcW w:w="934"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二类区</w:t>
                  </w:r>
                </w:p>
              </w:tc>
              <w:tc>
                <w:tcPr>
                  <w:tcW w:w="77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类</w:t>
                  </w:r>
                </w:p>
              </w:tc>
              <w:tc>
                <w:tcPr>
                  <w:tcW w:w="1103"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Ⅲ类水质标准</w:t>
                  </w:r>
                </w:p>
              </w:tc>
              <w:tc>
                <w:tcPr>
                  <w:tcW w:w="1012" w:type="dxa"/>
                  <w:noWrap w:val="0"/>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23.8</w:t>
                  </w:r>
                </w:p>
              </w:tc>
              <w:tc>
                <w:tcPr>
                  <w:tcW w:w="95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5</w:t>
                  </w:r>
                </w:p>
              </w:tc>
              <w:tc>
                <w:tcPr>
                  <w:tcW w:w="935"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老包脚村</w:t>
                  </w:r>
                </w:p>
              </w:tc>
              <w:tc>
                <w:tcPr>
                  <w:tcW w:w="110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K2+629~K2+898</w:t>
                  </w:r>
                </w:p>
              </w:tc>
              <w:tc>
                <w:tcPr>
                  <w:tcW w:w="738"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路两侧</w:t>
                  </w:r>
                </w:p>
              </w:tc>
              <w:tc>
                <w:tcPr>
                  <w:tcW w:w="934"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二类区</w:t>
                  </w:r>
                </w:p>
              </w:tc>
              <w:tc>
                <w:tcPr>
                  <w:tcW w:w="779"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类</w:t>
                  </w:r>
                </w:p>
              </w:tc>
              <w:tc>
                <w:tcPr>
                  <w:tcW w:w="1103" w:type="dxa"/>
                  <w:noWrap w:val="0"/>
                  <w:vAlign w:val="center"/>
                </w:tcPr>
                <w:p>
                  <w:pPr>
                    <w:keepNext w:val="0"/>
                    <w:keepLines w:val="0"/>
                    <w:widowControl w:val="0"/>
                    <w:suppressLineNumbers w:val="0"/>
                    <w:shd w:val="clear"/>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Ⅲ类水质标准</w:t>
                  </w:r>
                </w:p>
              </w:tc>
              <w:tc>
                <w:tcPr>
                  <w:tcW w:w="1012" w:type="dxa"/>
                  <w:noWrap w:val="0"/>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路左侧10.3、路右侧34.1</w:t>
                  </w:r>
                </w:p>
              </w:tc>
              <w:tc>
                <w:tcPr>
                  <w:tcW w:w="953" w:type="dxa"/>
                  <w:noWrap w:val="0"/>
                  <w:vAlign w:val="center"/>
                </w:tcPr>
                <w:p>
                  <w:pPr>
                    <w:keepNext w:val="0"/>
                    <w:keepLines w:val="0"/>
                    <w:widowControl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42</w:t>
                  </w:r>
                </w:p>
              </w:tc>
            </w:tr>
          </w:tbl>
          <w:p>
            <w:pPr>
              <w:keepNext w:val="0"/>
              <w:keepLines w:val="0"/>
              <w:numPr>
                <w:ilvl w:val="0"/>
                <w:numId w:val="0"/>
              </w:numPr>
              <w:suppressLineNumbers w:val="0"/>
              <w:shd w:val="clear"/>
              <w:tabs>
                <w:tab w:val="left" w:pos="0"/>
              </w:tabs>
              <w:bidi w:val="0"/>
              <w:spacing w:before="0" w:beforeAutospacing="0" w:after="0" w:afterAutospacing="0" w:line="360" w:lineRule="auto"/>
              <w:ind w:left="0" w:right="0"/>
              <w:rPr>
                <w:rFonts w:hint="default"/>
                <w:color w:val="000000" w:themeColor="text1"/>
                <w:kern w:val="0"/>
                <w:sz w:val="2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1" w:hRule="atLeast"/>
          <w:jc w:val="center"/>
        </w:trPr>
        <w:tc>
          <w:tcPr>
            <w:tcW w:w="9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评价</w:t>
            </w:r>
          </w:p>
          <w:p>
            <w:pPr>
              <w:keepNext w:val="0"/>
              <w:keepLines w:val="0"/>
              <w:suppressLineNumbers w:val="0"/>
              <w:shd w:val="clear"/>
              <w:adjustRightInd w:val="0"/>
              <w:snapToGrid w:val="0"/>
              <w:spacing w:before="0" w:beforeAutospacing="0" w:after="0" w:afterAutospacing="0"/>
              <w:ind w:left="0" w:right="0"/>
              <w:jc w:val="center"/>
              <w:rPr>
                <w:rFonts w:hint="eastAsia"/>
                <w:bCs/>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标准</w:t>
            </w:r>
          </w:p>
        </w:tc>
        <w:tc>
          <w:tcPr>
            <w:tcW w:w="8253" w:type="dxa"/>
            <w:noWrap w:val="0"/>
            <w:vAlign w:val="center"/>
          </w:tcPr>
          <w:p>
            <w:pPr>
              <w:keepNext w:val="0"/>
              <w:keepLines w:val="0"/>
              <w:widowControl/>
              <w:numPr>
                <w:ilvl w:val="0"/>
                <w:numId w:val="0"/>
              </w:numPr>
              <w:suppressLineNumbers w:val="0"/>
              <w:shd w:val="clear"/>
              <w:bidi w:val="0"/>
              <w:spacing w:before="0" w:beforeAutospacing="0" w:after="0" w:afterAutospacing="0" w:line="360" w:lineRule="auto"/>
              <w:ind w:left="0" w:right="0"/>
              <w:jc w:val="left"/>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1.环境质量标准</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水环境</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依据《宁德市地表水环境功能类别区划方案》、《福建省人民政府关于宁德市地表水环境功能区划定方案的批复》</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闽政文</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2012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187号</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项目区</w:t>
            </w:r>
            <w:r>
              <w:rPr>
                <w:rFonts w:hint="eastAsia" w:ascii="Times New Roman" w:hAnsi="Times New Roman" w:cs="Times New Roman"/>
                <w:color w:val="000000" w:themeColor="text1"/>
                <w:sz w:val="24"/>
                <w:highlight w:val="none"/>
                <w:lang w:val="en-US" w:eastAsia="zh-CN"/>
                <w14:textFill>
                  <w14:solidFill>
                    <w14:schemeClr w14:val="tx1"/>
                  </w14:solidFill>
                </w14:textFill>
              </w:rPr>
              <w:t>溪底溪</w:t>
            </w:r>
            <w:r>
              <w:rPr>
                <w:rFonts w:hint="default" w:ascii="Times New Roman" w:hAnsi="Times New Roman" w:cs="Times New Roman"/>
                <w:color w:val="000000" w:themeColor="text1"/>
                <w:sz w:val="24"/>
                <w:highlight w:val="none"/>
                <w14:textFill>
                  <w14:solidFill>
                    <w14:schemeClr w14:val="tx1"/>
                  </w14:solidFill>
                </w14:textFill>
              </w:rPr>
              <w:t>执行《地表水环境质量标准》</w:t>
            </w: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default" w:ascii="Times New Roman" w:hAnsi="Times New Roman" w:cs="Times New Roman"/>
                <w:color w:val="000000" w:themeColor="text1"/>
                <w:sz w:val="24"/>
                <w:highlight w:val="none"/>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lang w:eastAsia="zh-CN"/>
                <w14:textFill>
                  <w14:solidFill>
                    <w14:schemeClr w14:val="tx1"/>
                  </w14:solidFill>
                </w14:textFill>
              </w:rPr>
              <w:t>III</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lang w:val="en-US" w:eastAsia="zh-CN"/>
                <w14:textFill>
                  <w14:solidFill>
                    <w14:schemeClr w14:val="tx1"/>
                  </w14:solidFill>
                </w14:textFill>
              </w:rPr>
              <w:t>类标准，</w:t>
            </w:r>
            <w:r>
              <w:rPr>
                <w:rFonts w:hint="default" w:ascii="Times New Roman" w:hAnsi="Times New Roman" w:cs="Times New Roman"/>
                <w:color w:val="000000" w:themeColor="text1"/>
                <w:sz w:val="24"/>
                <w:highlight w:val="none"/>
                <w14:textFill>
                  <w14:solidFill>
                    <w14:schemeClr w14:val="tx1"/>
                  </w14:solidFill>
                </w14:textFill>
              </w:rPr>
              <w:t>详见表</w:t>
            </w:r>
            <w:r>
              <w:rPr>
                <w:rFonts w:hint="eastAsia" w:cs="Times New Roman"/>
                <w:color w:val="000000" w:themeColor="text1"/>
                <w:sz w:val="24"/>
                <w:highlight w:val="none"/>
                <w:lang w:val="en-US" w:eastAsia="zh-CN"/>
                <w14:textFill>
                  <w14:solidFill>
                    <w14:schemeClr w14:val="tx1"/>
                  </w14:solidFill>
                </w14:textFill>
              </w:rPr>
              <w:t>22。</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地表水环境质量标准</w:t>
            </w:r>
          </w:p>
          <w:tbl>
            <w:tblPr>
              <w:tblStyle w:val="14"/>
              <w:tblW w:w="4998" w:type="pct"/>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2734"/>
              <w:gridCol w:w="2665"/>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12"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w:t>
                  </w:r>
                </w:p>
              </w:tc>
              <w:tc>
                <w:tcPr>
                  <w:tcW w:w="1702" w:type="pct"/>
                  <w:tcBorders>
                    <w:top w:val="single" w:color="auto" w:sz="12"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单位</w:t>
                  </w:r>
                </w:p>
              </w:tc>
              <w:tc>
                <w:tcPr>
                  <w:tcW w:w="1659" w:type="pct"/>
                  <w:tcBorders>
                    <w:top w:val="single" w:color="auto" w:sz="12"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第二类</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pH值</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无量纲</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6~9</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水温</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溶解氧</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高锰酸盐指数</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COD</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BOD</w:t>
                  </w:r>
                  <w:r>
                    <w:rPr>
                      <w:rFonts w:hint="default" w:cs="Times New Roman"/>
                      <w:color w:val="000000" w:themeColor="text1"/>
                      <w:szCs w:val="20"/>
                      <w:highlight w:val="none"/>
                      <w:vertAlign w:val="subscript"/>
                      <w:lang w:val="en-US" w:eastAsia="zh-CN" w:bidi="ar-SA"/>
                      <w14:textFill>
                        <w14:solidFill>
                          <w14:schemeClr w14:val="tx1"/>
                        </w14:solidFill>
                      </w14:textFill>
                    </w:rPr>
                    <w:t>5</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氨氮</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≤1.0</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总磷</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总氮</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≤1.0</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氟化物</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≤1.0</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氰化物</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挥发酚</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≤0.005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石油类</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≤0.05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阴离子表面活性剂</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硫化物</w:t>
                  </w:r>
                </w:p>
              </w:tc>
              <w:tc>
                <w:tcPr>
                  <w:tcW w:w="1702"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≤0.2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tcBorders>
                    <w:top w:val="single" w:color="auto" w:sz="6" w:space="0"/>
                    <w:bottom w:val="single" w:color="auto" w:sz="12"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粪大肠菌群</w:t>
                  </w:r>
                </w:p>
              </w:tc>
              <w:tc>
                <w:tcPr>
                  <w:tcW w:w="1702" w:type="pct"/>
                  <w:tcBorders>
                    <w:top w:val="single" w:color="auto" w:sz="6" w:space="0"/>
                    <w:left w:val="single" w:color="auto" w:sz="6" w:space="0"/>
                    <w:bottom w:val="single" w:color="auto" w:sz="12"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mg/L</w:t>
                  </w:r>
                </w:p>
              </w:tc>
              <w:tc>
                <w:tcPr>
                  <w:tcW w:w="1659" w:type="pct"/>
                  <w:tcBorders>
                    <w:top w:val="single" w:color="auto" w:sz="6" w:space="0"/>
                    <w:left w:val="single" w:color="auto" w:sz="6" w:space="0"/>
                    <w:bottom w:val="single" w:color="auto" w:sz="12"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≤10000</w:t>
                  </w:r>
                </w:p>
              </w:tc>
            </w:tr>
          </w:tbl>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大气环境</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主要涉及居住区和农村地区，无自然保护区、风景名胜区和其他需要特殊保护的地区，因此根据GB3095-2012《环境空气质量标准》环境空气功能区分类要求，项目沿线大气环境功能区划为二类区。环境空气质量执行《环境空气质量标准》(GB3095-2012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及其修改单</w:t>
            </w:r>
            <w:r>
              <w:rPr>
                <w:rFonts w:hint="eastAsia"/>
                <w:color w:val="000000" w:themeColor="text1"/>
                <w:highlight w:val="none"/>
                <w14:textFill>
                  <w14:solidFill>
                    <w14:schemeClr w14:val="tx1"/>
                  </w14:solidFill>
                </w14:textFill>
              </w:rPr>
              <w:t>中的二级标准</w:t>
            </w:r>
          </w:p>
          <w:p>
            <w:pPr>
              <w:pStyle w:val="21"/>
              <w:shd w:val="clear"/>
              <w:bidi w:val="0"/>
              <w:rPr>
                <w:rFonts w:hint="eastAsia"/>
                <w:color w:val="000000" w:themeColor="text1"/>
                <w:highlight w:val="none"/>
                <w14:textFill>
                  <w14:solidFill>
                    <w14:schemeClr w14:val="tx1"/>
                  </w14:solidFill>
                </w14:textFill>
              </w:rPr>
            </w:pPr>
          </w:p>
          <w:p>
            <w:pPr>
              <w:pStyle w:val="21"/>
              <w:shd w:val="clear"/>
              <w:bidi w:val="0"/>
              <w:rPr>
                <w:rFonts w:hint="eastAsia"/>
                <w:color w:val="000000" w:themeColor="text1"/>
                <w:highlight w:val="none"/>
                <w14:textFill>
                  <w14:solidFill>
                    <w14:schemeClr w14:val="tx1"/>
                  </w14:solidFill>
                </w14:textFill>
              </w:rPr>
            </w:pPr>
          </w:p>
          <w:p>
            <w:pPr>
              <w:pStyle w:val="21"/>
              <w:shd w:val="clear"/>
              <w:bidi w:val="0"/>
              <w:rPr>
                <w:rFonts w:hint="eastAsia"/>
                <w:color w:val="000000" w:themeColor="text1"/>
                <w:highlight w:val="none"/>
                <w14:textFill>
                  <w14:solidFill>
                    <w14:schemeClr w14:val="tx1"/>
                  </w14:solidFill>
                </w14:textFill>
              </w:rPr>
            </w:pPr>
          </w:p>
          <w:p>
            <w:pPr>
              <w:pStyle w:val="21"/>
              <w:shd w:val="clear"/>
              <w:bidi w:val="0"/>
              <w:rPr>
                <w:rFonts w:hint="eastAsia"/>
                <w:color w:val="000000" w:themeColor="text1"/>
                <w:highlight w:val="none"/>
                <w14:textFill>
                  <w14:solidFill>
                    <w14:schemeClr w14:val="tx1"/>
                  </w14:solidFill>
                </w14:textFill>
              </w:rPr>
            </w:pPr>
          </w:p>
          <w:p>
            <w:pPr>
              <w:pStyle w:val="21"/>
              <w:shd w:val="clear"/>
              <w:bidi w:val="0"/>
              <w:rPr>
                <w:rFonts w:hint="eastAsia"/>
                <w:color w:val="000000" w:themeColor="text1"/>
                <w:highlight w:val="none"/>
                <w14:textFill>
                  <w14:solidFill>
                    <w14:schemeClr w14:val="tx1"/>
                  </w14:solidFill>
                </w14:textFill>
              </w:rPr>
            </w:pPr>
          </w:p>
          <w:p>
            <w:pPr>
              <w:pStyle w:val="21"/>
              <w:shd w:val="clear"/>
              <w:bidi w:val="0"/>
              <w:ind w:left="0" w:leftChars="0" w:firstLine="0" w:firstLineChars="0"/>
              <w:rPr>
                <w:rFonts w:hint="eastAsia"/>
                <w:color w:val="000000" w:themeColor="text1"/>
                <w:highlight w:val="none"/>
                <w14:textFill>
                  <w14:solidFill>
                    <w14:schemeClr w14:val="tx1"/>
                  </w14:solidFill>
                </w14:textFill>
              </w:rPr>
            </w:pPr>
          </w:p>
          <w:p>
            <w:pPr>
              <w:pStyle w:val="18"/>
              <w:keepNext w:val="0"/>
              <w:keepLines w:val="0"/>
              <w:suppressLineNumbers w:val="0"/>
              <w:shd w:val="clear"/>
              <w:bidi w:val="0"/>
              <w:spacing w:before="0" w:beforeAutospacing="0" w:after="0" w:afterAutospacing="0"/>
              <w:ind w:right="0"/>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环境空气质量标准</w:t>
            </w:r>
          </w:p>
          <w:tbl>
            <w:tblPr>
              <w:tblStyle w:val="13"/>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485"/>
              <w:gridCol w:w="2442"/>
              <w:gridCol w:w="2246"/>
              <w:gridCol w:w="186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污染物</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取值时间</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浓度限值</w:t>
                  </w:r>
                </w:p>
              </w:tc>
              <w:tc>
                <w:tcPr>
                  <w:tcW w:w="1158"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SO</w:t>
                  </w:r>
                  <w:r>
                    <w:rPr>
                      <w:rFonts w:hint="default" w:cs="Times New Roman"/>
                      <w:color w:val="000000" w:themeColor="text1"/>
                      <w:szCs w:val="20"/>
                      <w:highlight w:val="none"/>
                      <w:vertAlign w:val="subscript"/>
                      <w14:textFill>
                        <w14:solidFill>
                          <w14:schemeClr w14:val="tx1"/>
                        </w14:solidFill>
                      </w14:textFill>
                    </w:rPr>
                    <w:t>2</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年平均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60μg/m³</w:t>
                  </w:r>
                </w:p>
              </w:tc>
              <w:tc>
                <w:tcPr>
                  <w:tcW w:w="1158"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w:t>
                  </w:r>
                  <w:bookmarkStart w:id="8" w:name="OLE_LINK9"/>
                  <w:r>
                    <w:rPr>
                      <w:rFonts w:hint="eastAsia" w:cs="Times New Roman"/>
                      <w:color w:val="000000" w:themeColor="text1"/>
                      <w:szCs w:val="20"/>
                      <w:highlight w:val="none"/>
                      <w14:textFill>
                        <w14:solidFill>
                          <w14:schemeClr w14:val="tx1"/>
                        </w14:solidFill>
                      </w14:textFill>
                    </w:rPr>
                    <w:t>环境空气质量标准</w:t>
                  </w:r>
                  <w:bookmarkEnd w:id="8"/>
                  <w:r>
                    <w:rPr>
                      <w:rFonts w:hint="eastAsia" w:cs="Times New Roman"/>
                      <w:color w:val="000000" w:themeColor="text1"/>
                      <w:szCs w:val="20"/>
                      <w:highlight w:val="none"/>
                      <w14:textFill>
                        <w14:solidFill>
                          <w14:schemeClr w14:val="tx1"/>
                        </w14:solidFill>
                      </w14:textFill>
                    </w:rPr>
                    <w:t>》</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GB3095-2012</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及修改单</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24小时平均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150μg/m³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500μg/m³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NO</w:t>
                  </w:r>
                  <w:r>
                    <w:rPr>
                      <w:rFonts w:hint="default" w:cs="Times New Roman"/>
                      <w:color w:val="000000" w:themeColor="text1"/>
                      <w:szCs w:val="20"/>
                      <w:highlight w:val="none"/>
                      <w:vertAlign w:val="subscript"/>
                      <w14:textFill>
                        <w14:solidFill>
                          <w14:schemeClr w14:val="tx1"/>
                        </w14:solidFill>
                      </w14:textFill>
                    </w:rPr>
                    <w:t>2</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年平均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40μg/m³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24小时平均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80μg/m³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200μg/m³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PM</w:t>
                  </w:r>
                  <w:r>
                    <w:rPr>
                      <w:rFonts w:hint="default" w:cs="Times New Roman"/>
                      <w:color w:val="000000" w:themeColor="text1"/>
                      <w:szCs w:val="20"/>
                      <w:highlight w:val="none"/>
                      <w:vertAlign w:val="subscript"/>
                      <w14:textFill>
                        <w14:solidFill>
                          <w14:schemeClr w14:val="tx1"/>
                        </w14:solidFill>
                      </w14:textFill>
                    </w:rPr>
                    <w:t>10</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年平均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70μg/m³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24小时平均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150μg/m³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PM</w:t>
                  </w:r>
                  <w:r>
                    <w:rPr>
                      <w:rFonts w:hint="eastAsia" w:cs="Times New Roman"/>
                      <w:color w:val="000000" w:themeColor="text1"/>
                      <w:szCs w:val="20"/>
                      <w:highlight w:val="none"/>
                      <w:vertAlign w:val="subscript"/>
                      <w14:textFill>
                        <w14:solidFill>
                          <w14:schemeClr w14:val="tx1"/>
                        </w14:solidFill>
                      </w14:textFill>
                    </w:rPr>
                    <w:t>2.5</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年平均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35</w:t>
                  </w:r>
                  <w:r>
                    <w:rPr>
                      <w:rFonts w:hint="default" w:cs="Times New Roman"/>
                      <w:color w:val="000000" w:themeColor="text1"/>
                      <w:szCs w:val="20"/>
                      <w:highlight w:val="none"/>
                      <w14:textFill>
                        <w14:solidFill>
                          <w14:schemeClr w14:val="tx1"/>
                        </w14:solidFill>
                      </w14:textFill>
                    </w:rPr>
                    <w:t>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24小时平均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75</w:t>
                  </w:r>
                  <w:r>
                    <w:rPr>
                      <w:rFonts w:hint="default" w:cs="Times New Roman"/>
                      <w:color w:val="000000" w:themeColor="text1"/>
                      <w:szCs w:val="20"/>
                      <w:highlight w:val="none"/>
                      <w14:textFill>
                        <w14:solidFill>
                          <w14:schemeClr w14:val="tx1"/>
                        </w14:solidFill>
                      </w14:textFill>
                    </w:rPr>
                    <w:t>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O</w:t>
                  </w:r>
                  <w:r>
                    <w:rPr>
                      <w:rFonts w:hint="default" w:cs="Times New Roman"/>
                      <w:color w:val="000000" w:themeColor="text1"/>
                      <w:szCs w:val="20"/>
                      <w:highlight w:val="none"/>
                      <w:vertAlign w:val="subscript"/>
                      <w14:textFill>
                        <w14:solidFill>
                          <w14:schemeClr w14:val="tx1"/>
                        </w14:solidFill>
                      </w14:textFill>
                    </w:rPr>
                    <w:t>3</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日最大8小时平均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160</w:t>
                  </w:r>
                  <w:r>
                    <w:rPr>
                      <w:rFonts w:hint="default" w:cs="Times New Roman"/>
                      <w:color w:val="000000" w:themeColor="text1"/>
                      <w:szCs w:val="20"/>
                      <w:highlight w:val="none"/>
                      <w14:textFill>
                        <w14:solidFill>
                          <w14:schemeClr w14:val="tx1"/>
                        </w14:solidFill>
                      </w14:textFill>
                    </w:rPr>
                    <w:t>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200</w:t>
                  </w:r>
                  <w:r>
                    <w:rPr>
                      <w:rFonts w:hint="default" w:cs="Times New Roman"/>
                      <w:color w:val="000000" w:themeColor="text1"/>
                      <w:szCs w:val="20"/>
                      <w:highlight w:val="none"/>
                      <w14:textFill>
                        <w14:solidFill>
                          <w14:schemeClr w14:val="tx1"/>
                        </w14:solidFill>
                      </w14:textFill>
                    </w:rPr>
                    <w:t>μg/m³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CO</w:t>
                  </w: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24小时平均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4m</w:t>
                  </w:r>
                  <w:r>
                    <w:rPr>
                      <w:rFonts w:hint="default" w:cs="Times New Roman"/>
                      <w:color w:val="000000" w:themeColor="text1"/>
                      <w:szCs w:val="20"/>
                      <w:highlight w:val="none"/>
                      <w14:textFill>
                        <w14:solidFill>
                          <w14:schemeClr w14:val="tx1"/>
                        </w14:solidFill>
                      </w14:textFill>
                    </w:rPr>
                    <w:t>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24"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1519"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1小时平均</w:t>
                  </w:r>
                </w:p>
              </w:tc>
              <w:tc>
                <w:tcPr>
                  <w:tcW w:w="139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10 m</w:t>
                  </w:r>
                  <w:r>
                    <w:rPr>
                      <w:rFonts w:hint="default" w:cs="Times New Roman"/>
                      <w:color w:val="000000" w:themeColor="text1"/>
                      <w:szCs w:val="20"/>
                      <w:highlight w:val="none"/>
                      <w14:textFill>
                        <w14:solidFill>
                          <w14:schemeClr w14:val="tx1"/>
                        </w14:solidFill>
                      </w14:textFill>
                    </w:rPr>
                    <w:t>g/m³</w:t>
                  </w:r>
                </w:p>
              </w:tc>
              <w:tc>
                <w:tcPr>
                  <w:tcW w:w="115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bl>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声环境</w:t>
            </w:r>
          </w:p>
          <w:p>
            <w:pPr>
              <w:pStyle w:val="21"/>
              <w:shd w:val="clea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对照《福鼎市“十</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五”环境保护规划》，未对本工程沿线评价范围的声环境进行详细的功能区划，本工程主要为</w:t>
            </w:r>
            <w:r>
              <w:rPr>
                <w:rFonts w:hint="eastAsia"/>
                <w:color w:val="000000" w:themeColor="text1"/>
                <w:highlight w:val="none"/>
                <w:lang w:val="en-US" w:eastAsia="zh-CN"/>
                <w14:textFill>
                  <w14:solidFill>
                    <w14:schemeClr w14:val="tx1"/>
                  </w14:solidFill>
                </w14:textFill>
              </w:rPr>
              <w:t>公路</w:t>
            </w:r>
            <w:r>
              <w:rPr>
                <w:rFonts w:hint="eastAsia"/>
                <w:color w:val="000000" w:themeColor="text1"/>
                <w:highlight w:val="none"/>
                <w14:textFill>
                  <w14:solidFill>
                    <w14:schemeClr w14:val="tx1"/>
                  </w14:solidFill>
                </w14:textFill>
              </w:rPr>
              <w:t>工程，涉及的区域分布在部分乡村的山区，且周边敏感点较少，根据《声环境质量标准》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GB3096-2008</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对乡村声环境功能的确定，本工程所在区域的声环境可按照</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类声环境功能区进行执行，区域环境噪声执行《声环境质量标准》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GB3096-2008</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类标准</w:t>
            </w:r>
            <w:r>
              <w:rPr>
                <w:rFonts w:hint="default"/>
                <w:color w:val="000000" w:themeColor="text1"/>
                <w:highlight w:val="none"/>
                <w14:textFill>
                  <w14:solidFill>
                    <w14:schemeClr w14:val="tx1"/>
                  </w14:solidFill>
                </w14:textFill>
              </w:rPr>
              <w:t>，具体见表</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lang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声环境质量标准</w:t>
            </w:r>
            <w:r>
              <w:rPr>
                <w:rFonts w:hint="default"/>
                <w:color w:val="000000" w:themeColor="text1"/>
                <w:highlight w:val="none"/>
                <w14:textFill>
                  <w14:solidFill>
                    <w14:schemeClr w14:val="tx1"/>
                  </w14:solidFill>
                </w14:textFill>
              </w:rPr>
              <w:t>LAeq：dB</w:t>
            </w:r>
            <w:r>
              <w:rPr>
                <w:rFonts w:hint="eastAsia"/>
                <w:color w:val="000000" w:themeColor="text1"/>
                <w:highlight w:val="none"/>
                <w14:textFill>
                  <w14:solidFill>
                    <w14:schemeClr w14:val="tx1"/>
                  </w14:solidFill>
                </w14:textFill>
              </w:rPr>
              <w:t>(A)</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11"/>
              <w:gridCol w:w="2965"/>
              <w:gridCol w:w="2235"/>
              <w:gridCol w:w="19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类别</w:t>
                  </w:r>
                </w:p>
              </w:tc>
              <w:tc>
                <w:tcPr>
                  <w:tcW w:w="1844"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适用区域</w:t>
                  </w:r>
                </w:p>
              </w:tc>
              <w:tc>
                <w:tcPr>
                  <w:tcW w:w="1390"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昼间</w:t>
                  </w:r>
                </w:p>
              </w:tc>
              <w:tc>
                <w:tcPr>
                  <w:tcW w:w="1196"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eastAsia="宋体" w:cs="Times New Roman"/>
                      <w:color w:val="000000" w:themeColor="text1"/>
                      <w:szCs w:val="20"/>
                      <w:highlight w:val="none"/>
                      <w:lang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w:t>
                  </w:r>
                </w:p>
              </w:tc>
              <w:tc>
                <w:tcPr>
                  <w:tcW w:w="1844"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乡村</w:t>
                  </w:r>
                </w:p>
              </w:tc>
              <w:tc>
                <w:tcPr>
                  <w:tcW w:w="1390"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w:t>
                  </w:r>
                </w:p>
              </w:tc>
              <w:tc>
                <w:tcPr>
                  <w:tcW w:w="1196"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50</w:t>
                  </w:r>
                </w:p>
              </w:tc>
            </w:tr>
          </w:tbl>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2.污染物排放标准</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2.1水污染物排放标准</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施工期生产废水经沉淀处理后综合利用不外排；施工人员租用周边村庄民房，产生的生活污水依托周边村庄现有污水处理设施进行处理。</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运营期废水除了路面径流外无其他的废水。</w:t>
            </w:r>
          </w:p>
          <w:p>
            <w:pPr>
              <w:keepNext w:val="0"/>
              <w:keepLines w:val="0"/>
              <w:widowControl/>
              <w:suppressLineNumbers w:val="0"/>
              <w:shd w:val="clear"/>
              <w:spacing w:before="0" w:beforeAutospacing="0" w:after="0" w:afterAutospacing="0" w:line="360" w:lineRule="auto"/>
              <w:ind w:left="0" w:right="0"/>
              <w:jc w:val="left"/>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2.2大气污染物排放标准</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建设项目施工期主要污染物为扬尘(颗粒物)，颗粒物执行《大气污染物综合排放标准》(GB16297-1996)中的相关标准无组织排放监控浓度限值，详见表25。</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《大气污染物综合排放标准》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GB16297-1996</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摘录</w:t>
            </w:r>
            <w:r>
              <w:rPr>
                <w:rFonts w:hint="eastAsia"/>
                <w:color w:val="000000" w:themeColor="text1"/>
                <w:highlight w:val="none"/>
                <w:lang w:val="en-US" w:eastAsia="zh-CN"/>
                <w14:textFill>
                  <w14:solidFill>
                    <w14:schemeClr w14:val="tx1"/>
                  </w14:solidFill>
                </w14:textFill>
              </w:rPr>
              <w:t>)</w:t>
            </w:r>
          </w:p>
          <w:tbl>
            <w:tblPr>
              <w:tblStyle w:val="14"/>
              <w:tblW w:w="4998" w:type="pct"/>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3100"/>
              <w:gridCol w:w="4030"/>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340" w:hRule="atLeast"/>
              </w:trPr>
              <w:tc>
                <w:tcPr>
                  <w:tcW w:w="559" w:type="pct"/>
                  <w:tcBorders>
                    <w:top w:val="single" w:color="auto" w:sz="12"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污染物</w:t>
                  </w:r>
                </w:p>
              </w:tc>
              <w:tc>
                <w:tcPr>
                  <w:tcW w:w="1930" w:type="pct"/>
                  <w:tcBorders>
                    <w:top w:val="single" w:color="auto" w:sz="12"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最高允许排放浓度(mg/m</w:t>
                  </w:r>
                  <w:r>
                    <w:rPr>
                      <w:rFonts w:hint="eastAsia" w:cs="Times New Roman"/>
                      <w:color w:val="000000" w:themeColor="text1"/>
                      <w:szCs w:val="20"/>
                      <w:highlight w:val="none"/>
                      <w:vertAlign w:val="superscript"/>
                      <w:lang w:val="en-US" w:eastAsia="zh-CN" w:bidi="ar-SA"/>
                      <w14:textFill>
                        <w14:solidFill>
                          <w14:schemeClr w14:val="tx1"/>
                        </w14:solidFill>
                      </w14:textFill>
                    </w:rPr>
                    <w:t>3</w:t>
                  </w:r>
                  <w:r>
                    <w:rPr>
                      <w:rFonts w:hint="eastAsia" w:cs="Times New Roman"/>
                      <w:color w:val="000000" w:themeColor="text1"/>
                      <w:szCs w:val="20"/>
                      <w:highlight w:val="none"/>
                      <w:lang w:val="en-US" w:eastAsia="zh-CN" w:bidi="ar-SA"/>
                      <w14:textFill>
                        <w14:solidFill>
                          <w14:schemeClr w14:val="tx1"/>
                        </w14:solidFill>
                      </w14:textFill>
                    </w:rPr>
                    <w:t>)</w:t>
                  </w:r>
                </w:p>
              </w:tc>
              <w:tc>
                <w:tcPr>
                  <w:tcW w:w="2509" w:type="pct"/>
                  <w:tcBorders>
                    <w:top w:val="single" w:color="auto" w:sz="12"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无组织排放监控浓度限值(mg/m</w:t>
                  </w:r>
                  <w:r>
                    <w:rPr>
                      <w:rFonts w:hint="eastAsia" w:cs="Times New Roman"/>
                      <w:color w:val="000000" w:themeColor="text1"/>
                      <w:szCs w:val="20"/>
                      <w:highlight w:val="none"/>
                      <w:vertAlign w:val="superscript"/>
                      <w:lang w:val="en-US" w:eastAsia="zh-CN" w:bidi="ar-SA"/>
                      <w14:textFill>
                        <w14:solidFill>
                          <w14:schemeClr w14:val="tx1"/>
                        </w14:solidFill>
                      </w14:textFill>
                    </w:rPr>
                    <w:t>3</w:t>
                  </w:r>
                  <w:r>
                    <w:rPr>
                      <w:rFonts w:hint="eastAsia" w:cs="Times New Roman"/>
                      <w:color w:val="000000" w:themeColor="text1"/>
                      <w:szCs w:val="20"/>
                      <w:highlight w:val="none"/>
                      <w:lang w:val="en-US" w:eastAsia="zh-CN" w:bidi="ar-SA"/>
                      <w14:textFill>
                        <w14:solidFill>
                          <w14:schemeClr w14:val="tx1"/>
                        </w14:solidFill>
                      </w14:textFill>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tcBorders>
                    <w:top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颗粒物</w:t>
                  </w:r>
                </w:p>
              </w:tc>
              <w:tc>
                <w:tcPr>
                  <w:tcW w:w="1930"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120</w:t>
                  </w:r>
                </w:p>
              </w:tc>
              <w:tc>
                <w:tcPr>
                  <w:tcW w:w="2509" w:type="pct"/>
                  <w:tcBorders>
                    <w:top w:val="single" w:color="auto" w:sz="6" w:space="0"/>
                    <w:left w:val="single" w:color="auto" w:sz="6" w:space="0"/>
                    <w:bottom w:val="single" w:color="auto" w:sz="6" w:space="0"/>
                    <w:right w:val="nil"/>
                  </w:tcBorders>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周界外浓度最高点1.0</w:t>
                  </w:r>
                </w:p>
              </w:tc>
            </w:tr>
          </w:tbl>
          <w:p>
            <w:pPr>
              <w:keepNext w:val="0"/>
              <w:keepLines w:val="0"/>
              <w:widowControl/>
              <w:suppressLineNumbers w:val="0"/>
              <w:shd w:val="clear"/>
              <w:spacing w:before="0" w:beforeAutospacing="0" w:after="0" w:afterAutospacing="0" w:line="360" w:lineRule="auto"/>
              <w:ind w:left="0" w:right="0"/>
              <w:jc w:val="left"/>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2.3噪声排放标准</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施工场界噪声执行《建筑施工场界环境噪声排放标准》(GB12523-2011)，昼间70dB(A)，夜间55dB(A)，夜间噪声最大声级超过限值的幅度不得高于15dB(A)。</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《建筑施工场界环境噪声排放标准》(GB12523-2011)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摘录</w:t>
            </w:r>
            <w:r>
              <w:rPr>
                <w:rFonts w:hint="eastAsia"/>
                <w:color w:val="000000" w:themeColor="text1"/>
                <w:highlight w:val="none"/>
                <w:lang w:val="en-US" w:eastAsia="zh-CN"/>
                <w14:textFill>
                  <w14:solidFill>
                    <w14:schemeClr w14:val="tx1"/>
                  </w14:solidFill>
                </w14:textFill>
              </w:rPr>
              <w:t>)</w:t>
            </w:r>
          </w:p>
          <w:tbl>
            <w:tblPr>
              <w:tblStyle w:val="14"/>
              <w:tblW w:w="0" w:type="auto"/>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6"/>
              <w:gridCol w:w="4016"/>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340" w:hRule="exact"/>
              </w:trPr>
              <w:tc>
                <w:tcPr>
                  <w:tcW w:w="4016" w:type="dxa"/>
                  <w:tcBorders>
                    <w:top w:val="single" w:color="auto" w:sz="12" w:space="0"/>
                    <w:bottom w:val="single" w:color="auto" w:sz="6" w:space="0"/>
                    <w:right w:val="single" w:color="auto" w:sz="6" w:space="0"/>
                  </w:tcBorders>
                  <w:noWrap w:val="0"/>
                  <w:vAlign w:val="center"/>
                </w:tcPr>
                <w:p>
                  <w:pPr>
                    <w:keepNext w:val="0"/>
                    <w:keepLines w:val="0"/>
                    <w:widowControl/>
                    <w:suppressLineNumbers w:val="0"/>
                    <w:shd w:val="clear"/>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昼间</w:t>
                  </w:r>
                </w:p>
              </w:tc>
              <w:tc>
                <w:tcPr>
                  <w:tcW w:w="4016" w:type="dxa"/>
                  <w:tcBorders>
                    <w:top w:val="single" w:color="auto" w:sz="12" w:space="0"/>
                    <w:left w:val="single" w:color="auto" w:sz="6" w:space="0"/>
                    <w:bottom w:val="single" w:color="auto" w:sz="6" w:space="0"/>
                    <w:right w:val="nil"/>
                  </w:tcBorders>
                  <w:noWrap w:val="0"/>
                  <w:vAlign w:val="center"/>
                </w:tcPr>
                <w:p>
                  <w:pPr>
                    <w:keepNext w:val="0"/>
                    <w:keepLines w:val="0"/>
                    <w:widowControl/>
                    <w:suppressLineNumbers w:val="0"/>
                    <w:shd w:val="clear"/>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夜间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016" w:type="dxa"/>
                  <w:tcBorders>
                    <w:top w:val="single" w:color="auto" w:sz="6" w:space="0"/>
                    <w:bottom w:val="single" w:color="auto" w:sz="12" w:space="0"/>
                    <w:right w:val="single" w:color="auto" w:sz="6" w:space="0"/>
                  </w:tcBorders>
                  <w:noWrap w:val="0"/>
                  <w:vAlign w:val="center"/>
                </w:tcPr>
                <w:p>
                  <w:pPr>
                    <w:keepNext w:val="0"/>
                    <w:keepLines w:val="0"/>
                    <w:widowControl/>
                    <w:suppressLineNumbers w:val="0"/>
                    <w:shd w:val="clear"/>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70dB</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A</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4016" w:type="dxa"/>
                  <w:tcBorders>
                    <w:top w:val="single" w:color="auto" w:sz="6" w:space="0"/>
                    <w:left w:val="single" w:color="auto" w:sz="6" w:space="0"/>
                    <w:bottom w:val="single" w:color="auto" w:sz="12" w:space="0"/>
                    <w:right w:val="nil"/>
                  </w:tcBorders>
                  <w:noWrap w:val="0"/>
                  <w:vAlign w:val="center"/>
                </w:tcPr>
                <w:p>
                  <w:pPr>
                    <w:keepNext w:val="0"/>
                    <w:keepLines w:val="0"/>
                    <w:widowControl/>
                    <w:suppressLineNumbers w:val="0"/>
                    <w:shd w:val="clear"/>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55dB</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A</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bl>
          <w:p>
            <w:pPr>
              <w:keepNext w:val="0"/>
              <w:keepLines w:val="0"/>
              <w:suppressLineNumbers w:val="0"/>
              <w:shd w:val="clear"/>
              <w:bidi w:val="0"/>
              <w:spacing w:before="0" w:beforeAutospacing="0" w:after="0" w:afterAutospacing="0"/>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运营期</w:t>
            </w:r>
            <w:r>
              <w:rPr>
                <w:rFonts w:hint="eastAsia"/>
                <w:color w:val="000000" w:themeColor="text1"/>
                <w:sz w:val="24"/>
                <w:szCs w:val="24"/>
                <w:highlight w:val="none"/>
                <w14:textFill>
                  <w14:solidFill>
                    <w14:schemeClr w14:val="tx1"/>
                  </w14:solidFill>
                </w14:textFill>
              </w:rPr>
              <w:t>环境噪声执行《声环境质量标准》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GB3096-2008</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中</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类标准</w:t>
            </w:r>
            <w:r>
              <w:rPr>
                <w:rFonts w:hint="eastAsia"/>
                <w:color w:val="000000" w:themeColor="text1"/>
                <w:sz w:val="24"/>
                <w:szCs w:val="24"/>
                <w:highlight w:val="none"/>
                <w:lang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声环境质量标准</w:t>
            </w:r>
            <w:r>
              <w:rPr>
                <w:rFonts w:hint="default"/>
                <w:color w:val="000000" w:themeColor="text1"/>
                <w:highlight w:val="none"/>
                <w14:textFill>
                  <w14:solidFill>
                    <w14:schemeClr w14:val="tx1"/>
                  </w14:solidFill>
                </w14:textFill>
              </w:rPr>
              <w:t>LAeq：dB</w:t>
            </w:r>
            <w:r>
              <w:rPr>
                <w:rFonts w:hint="eastAsia"/>
                <w:color w:val="000000" w:themeColor="text1"/>
                <w:highlight w:val="none"/>
                <w14:textFill>
                  <w14:solidFill>
                    <w14:schemeClr w14:val="tx1"/>
                  </w14:solidFill>
                </w14:textFill>
              </w:rPr>
              <w:t>(A)</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11"/>
              <w:gridCol w:w="2965"/>
              <w:gridCol w:w="2235"/>
              <w:gridCol w:w="19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7"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类别</w:t>
                  </w:r>
                </w:p>
              </w:tc>
              <w:tc>
                <w:tcPr>
                  <w:tcW w:w="1844"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适用区域</w:t>
                  </w:r>
                </w:p>
              </w:tc>
              <w:tc>
                <w:tcPr>
                  <w:tcW w:w="1390"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昼间</w:t>
                  </w:r>
                </w:p>
              </w:tc>
              <w:tc>
                <w:tcPr>
                  <w:tcW w:w="1196"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567" w:type="pct"/>
                  <w:noWrap w:val="0"/>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1</w:t>
                  </w:r>
                </w:p>
              </w:tc>
              <w:tc>
                <w:tcPr>
                  <w:tcW w:w="1844"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乡村</w:t>
                  </w:r>
                </w:p>
              </w:tc>
              <w:tc>
                <w:tcPr>
                  <w:tcW w:w="1390"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w:t>
                  </w:r>
                </w:p>
              </w:tc>
              <w:tc>
                <w:tcPr>
                  <w:tcW w:w="1196"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50</w:t>
                  </w:r>
                </w:p>
              </w:tc>
            </w:tr>
          </w:tbl>
          <w:p>
            <w:pPr>
              <w:keepNext w:val="0"/>
              <w:keepLines w:val="0"/>
              <w:widowControl/>
              <w:suppressLineNumbers w:val="0"/>
              <w:shd w:val="clear"/>
              <w:spacing w:before="0" w:beforeAutospacing="0" w:after="0" w:afterAutospacing="0" w:line="360" w:lineRule="auto"/>
              <w:ind w:left="0" w:right="0"/>
              <w:jc w:val="left"/>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2.4固体废物</w:t>
            </w:r>
          </w:p>
          <w:p>
            <w:pPr>
              <w:pStyle w:val="21"/>
              <w:shd w:val="clear"/>
              <w:bidi w:val="0"/>
              <w:rPr>
                <w:rFonts w:hint="default"/>
                <w:color w:val="000000" w:themeColor="text1"/>
                <w:kern w:val="0"/>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施工期产生的建筑垃圾的处置执行(建设部2005号第139号令)《城市建筑垃圾管理规定》；生活垃圾的贮存处理按照《城市环境卫生设施规划规范》(GB50337-2003)中的要求进行综合利用和处置。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9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bCs/>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其他</w:t>
            </w:r>
          </w:p>
        </w:tc>
        <w:tc>
          <w:tcPr>
            <w:tcW w:w="8253" w:type="dxa"/>
            <w:noWrap w:val="0"/>
            <w:vAlign w:val="center"/>
          </w:tcPr>
          <w:p>
            <w:pPr>
              <w:pStyle w:val="21"/>
              <w:shd w:val="clear"/>
              <w:bidi w:val="0"/>
              <w:rPr>
                <w:rFonts w:hint="eastAsia"/>
                <w:color w:val="000000" w:themeColor="text1"/>
                <w:kern w:val="0"/>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本项目为道路建设项目，建成后不产生废水，汽车尾气为无组织排放，不涉及总量控制指标要求。</w:t>
            </w:r>
          </w:p>
        </w:tc>
      </w:tr>
    </w:tbl>
    <w:p>
      <w:pPr>
        <w:shd w:val="clear"/>
        <w:rPr>
          <w:rFonts w:hint="default" w:eastAsia="宋体"/>
          <w:color w:val="000000" w:themeColor="text1"/>
          <w:highlight w:val="none"/>
          <w:lang w:val="en-US" w:eastAsia="zh-CN"/>
          <w14:textFill>
            <w14:solidFill>
              <w14:schemeClr w14:val="tx1"/>
            </w14:solidFill>
          </w14:textFill>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r>
        <w:rPr>
          <w:rFonts w:hint="default" w:eastAsia="宋体"/>
          <w:color w:val="000000" w:themeColor="text1"/>
          <w:highlight w:val="none"/>
          <w:lang w:val="en-US" w:eastAsia="zh-CN"/>
          <w14:textFill>
            <w14:solidFill>
              <w14:schemeClr w14:val="tx1"/>
            </w14:solidFill>
          </w14:textFill>
        </w:rPr>
        <w:br w:type="page"/>
      </w:r>
    </w:p>
    <w:p>
      <w:pPr>
        <w:pStyle w:val="18"/>
        <w:shd w:val="clear"/>
        <w:bidi w:val="0"/>
        <w:rPr>
          <w:rFonts w:hint="default"/>
          <w:color w:val="000000" w:themeColor="text1"/>
          <w:highlight w:val="none"/>
          <w:lang w:val="en-US" w:eastAsia="zh-CN"/>
          <w14:textFill>
            <w14:solidFill>
              <w14:schemeClr w14:val="tx1"/>
            </w14:solidFill>
          </w14:textFill>
        </w:rPr>
      </w:pPr>
      <w:bookmarkStart w:id="9" w:name="_Ref818"/>
      <w:r>
        <w:rPr>
          <w:rFonts w:hint="eastAsia"/>
          <w:color w:val="000000" w:themeColor="text1"/>
          <w:highlight w:val="none"/>
          <w:lang w:val="en-US" w:eastAsia="zh-CN"/>
          <w14:textFill>
            <w14:solidFill>
              <w14:schemeClr w14:val="tx1"/>
            </w14:solidFill>
          </w14:textFill>
        </w:rPr>
        <w:t>施工期</w:t>
      </w:r>
      <w:r>
        <w:rPr>
          <w:rFonts w:hint="default"/>
          <w:color w:val="000000" w:themeColor="text1"/>
          <w:highlight w:val="none"/>
          <w14:textFill>
            <w14:solidFill>
              <w14:schemeClr w14:val="tx1"/>
            </w14:solidFill>
          </w14:textFill>
        </w:rPr>
        <w:t>环境保护目标一览表</w:t>
      </w:r>
      <w:bookmarkEnd w:id="9"/>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829"/>
        <w:gridCol w:w="714"/>
        <w:gridCol w:w="2235"/>
        <w:gridCol w:w="1203"/>
        <w:gridCol w:w="1433"/>
        <w:gridCol w:w="1364"/>
        <w:gridCol w:w="3725"/>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0" w:type="auto"/>
            <w:tcBorders>
              <w:top w:val="single" w:color="000000" w:sz="12"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0" w:type="auto"/>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环境要素</w:t>
            </w:r>
          </w:p>
        </w:tc>
        <w:tc>
          <w:tcPr>
            <w:tcW w:w="0" w:type="auto"/>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保护对象</w:t>
            </w:r>
          </w:p>
        </w:tc>
        <w:tc>
          <w:tcPr>
            <w:tcW w:w="0" w:type="auto"/>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桩号</w:t>
            </w:r>
          </w:p>
        </w:tc>
        <w:tc>
          <w:tcPr>
            <w:tcW w:w="1203"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与道路红线距离（m）</w:t>
            </w:r>
          </w:p>
        </w:tc>
        <w:tc>
          <w:tcPr>
            <w:tcW w:w="1433"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敏感点地面与路面高度差（m）</w:t>
            </w:r>
          </w:p>
        </w:tc>
        <w:tc>
          <w:tcPr>
            <w:tcW w:w="0" w:type="auto"/>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评价范围受影响户数（户）</w:t>
            </w:r>
          </w:p>
        </w:tc>
        <w:tc>
          <w:tcPr>
            <w:tcW w:w="3725"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执行标准</w:t>
            </w:r>
          </w:p>
        </w:tc>
        <w:tc>
          <w:tcPr>
            <w:tcW w:w="2187" w:type="dxa"/>
            <w:tcBorders>
              <w:top w:val="single" w:color="000000" w:sz="12"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环境空气与声环境</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岗头仔</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K0+481.27~K0+702.38</w:t>
            </w: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路右98.2</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3725" w:type="dxa"/>
            <w:vMerge w:val="restart"/>
            <w:tcBorders>
              <w:top w:val="single" w:color="000000" w:sz="4" w:space="0"/>
              <w:left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《环境空气质量标准》(GB3095-2012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二级标准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《声环境质量标准》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GB3096-2008</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类标准</w:t>
            </w: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受影响人数约6人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鸭母碓</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K0+780.19~K1+380.59</w:t>
            </w: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路左1.0、路右20.5</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路左1、路右1.5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w:t>
            </w:r>
          </w:p>
        </w:tc>
        <w:tc>
          <w:tcPr>
            <w:tcW w:w="3725" w:type="dxa"/>
            <w:vMerge w:val="continue"/>
            <w:tcBorders>
              <w:left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零星分布于道路两侧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，受影响人数约36人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罗厝</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K1+460.66~K1+719.90</w:t>
            </w: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路左50.3</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3725" w:type="dxa"/>
            <w:vMerge w:val="continue"/>
            <w:tcBorders>
              <w:left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零星分布于道路左侧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，受影响人数约15人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溪底村</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K2+162.12~K2+242.96</w:t>
            </w: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路左23.8</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3725" w:type="dxa"/>
            <w:vMerge w:val="continue"/>
            <w:tcBorders>
              <w:left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零星分布于道路左侧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，受影响人数约18人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老包脚村</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K2+374.50~K2+943.77</w:t>
            </w: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路左侧10.3、路右侧34.1</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w:t>
            </w:r>
          </w:p>
        </w:tc>
        <w:tc>
          <w:tcPr>
            <w:tcW w:w="3725"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零星分布于道路两侧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，受影响人数约42人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溪底溪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2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3725" w:type="dxa"/>
            <w:vMerge w:val="restart"/>
            <w:tcBorders>
              <w:top w:val="single" w:color="000000" w:sz="4" w:space="0"/>
              <w:left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《地表水环境质量标准》</w:t>
            </w: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 w:val="21"/>
                <w:szCs w:val="21"/>
                <w:highlight w:val="none"/>
                <w:lang w:eastAsia="zh-CN"/>
                <w14:textFill>
                  <w14:solidFill>
                    <w14:schemeClr w14:val="tx1"/>
                  </w14:solidFill>
                </w14:textFill>
              </w:rPr>
              <w:t>III</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类标准</w:t>
            </w: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0" w:type="auto"/>
            <w:tcBorders>
              <w:top w:val="single" w:color="000000" w:sz="4" w:space="0"/>
              <w:left w:val="nil"/>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水生生态系统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2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4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3725"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187" w:type="dxa"/>
            <w:tcBorders>
              <w:top w:val="single" w:color="000000" w:sz="4" w:space="0"/>
              <w:left w:val="single" w:color="000000" w:sz="4" w:space="0"/>
              <w:bottom w:val="single" w:color="000000" w:sz="4"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溪底溪</w:t>
            </w:r>
            <w:r>
              <w:rPr>
                <w:rFonts w:hint="default"/>
                <w:color w:val="000000" w:themeColor="text1"/>
                <w:szCs w:val="20"/>
                <w:highlight w:val="none"/>
                <w:lang w:val="en-US" w:eastAsia="zh-CN"/>
                <w14:textFill>
                  <w14:solidFill>
                    <w14:schemeClr w14:val="tx1"/>
                  </w14:solidFill>
                </w14:textFill>
              </w:rPr>
              <w:t>内的</w:t>
            </w:r>
            <w:r>
              <w:rPr>
                <w:rFonts w:hint="eastAsia"/>
                <w:color w:val="000000" w:themeColor="text1"/>
                <w:szCs w:val="20"/>
                <w:highlight w:val="none"/>
                <w:lang w:val="en-US" w:eastAsia="zh-CN"/>
                <w14:textFill>
                  <w14:solidFill>
                    <w14:schemeClr w14:val="tx1"/>
                  </w14:solidFill>
                </w14:textFill>
              </w:rPr>
              <w:t>水生生物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0" w:type="auto"/>
            <w:tcBorders>
              <w:top w:val="single" w:color="000000" w:sz="4" w:space="0"/>
              <w:left w:val="nil"/>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0" w:type="auto"/>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0" w:type="auto"/>
            <w:tcBorders>
              <w:top w:val="single" w:color="000000" w:sz="4" w:space="0"/>
              <w:left w:val="single" w:color="000000" w:sz="4" w:space="0"/>
              <w:bottom w:val="single" w:color="000000" w:sz="12" w:space="0"/>
              <w:right w:val="single" w:color="000000" w:sz="4" w:space="0"/>
            </w:tcBorders>
            <w:vAlign w:val="center"/>
          </w:tcPr>
          <w:p>
            <w:pPr>
              <w:pStyle w:val="19"/>
              <w:keepNext w:val="0"/>
              <w:keepLines w:val="0"/>
              <w:widowControl/>
              <w:suppressLineNumbers w:val="0"/>
              <w:shd w:val="clear"/>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陆生动植物</w:t>
            </w:r>
          </w:p>
        </w:tc>
        <w:tc>
          <w:tcPr>
            <w:tcW w:w="0" w:type="auto"/>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203"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433"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0" w:type="auto"/>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3725"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2187" w:type="dxa"/>
            <w:tcBorders>
              <w:top w:val="single" w:color="000000" w:sz="4" w:space="0"/>
              <w:left w:val="single" w:color="000000" w:sz="4" w:space="0"/>
              <w:bottom w:val="single" w:color="000000" w:sz="12"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永久和临时占地范围内的陆生动植物</w:t>
            </w:r>
          </w:p>
        </w:tc>
      </w:tr>
    </w:tbl>
    <w:p>
      <w:pPr>
        <w:shd w:val="clear"/>
        <w:bidi w:val="0"/>
        <w:rPr>
          <w:rFonts w:hint="default"/>
          <w:color w:val="000000" w:themeColor="text1"/>
          <w:highlight w:val="none"/>
          <w:lang w:val="en-US" w:eastAsia="zh-CN"/>
          <w14:textFill>
            <w14:solidFill>
              <w14:schemeClr w14:val="tx1"/>
            </w14:solidFill>
          </w14:textFill>
        </w:rPr>
      </w:pPr>
    </w:p>
    <w:p>
      <w:pPr>
        <w:pStyle w:val="18"/>
        <w:shd w:val="clear"/>
        <w:bidi w:val="0"/>
        <w:rPr>
          <w:rFonts w:hint="default"/>
          <w:color w:val="000000" w:themeColor="text1"/>
          <w:highlight w:val="none"/>
          <w:lang w:val="en-US" w:eastAsia="zh-CN"/>
          <w14:textFill>
            <w14:solidFill>
              <w14:schemeClr w14:val="tx1"/>
            </w14:solidFill>
          </w14:textFill>
        </w:rPr>
      </w:pPr>
      <w:bookmarkStart w:id="10" w:name="_Ref848"/>
      <w:r>
        <w:rPr>
          <w:rFonts w:hint="eastAsia"/>
          <w:color w:val="000000" w:themeColor="text1"/>
          <w:highlight w:val="none"/>
          <w:lang w:val="en-US" w:eastAsia="zh-CN"/>
          <w14:textFill>
            <w14:solidFill>
              <w14:schemeClr w14:val="tx1"/>
            </w14:solidFill>
          </w14:textFill>
        </w:rPr>
        <w:t>评价区内的名木古树</w:t>
      </w:r>
      <w:bookmarkEnd w:id="10"/>
    </w:p>
    <w:tbl>
      <w:tblPr>
        <w:tblStyle w:val="14"/>
        <w:tblW w:w="14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889"/>
        <w:gridCol w:w="1084"/>
        <w:gridCol w:w="1070"/>
        <w:gridCol w:w="1117"/>
        <w:gridCol w:w="1024"/>
        <w:gridCol w:w="1248"/>
        <w:gridCol w:w="762"/>
        <w:gridCol w:w="1949"/>
        <w:gridCol w:w="1447"/>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0" w:type="auto"/>
            <w:tcBorders>
              <w:top w:val="single" w:color="auto" w:sz="12" w:space="0"/>
              <w:left w:val="nil"/>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地点</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编号</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植物名称</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树龄（年）</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胸径（cm）</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树高（m）</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平均冠幅（m）</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保护等级</w:t>
            </w:r>
          </w:p>
        </w:tc>
        <w:tc>
          <w:tcPr>
            <w:tcW w:w="0" w:type="auto"/>
            <w:tcBorders>
              <w:top w:val="single" w:color="auto" w:sz="12"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地理坐标</w:t>
            </w:r>
          </w:p>
        </w:tc>
        <w:tc>
          <w:tcPr>
            <w:tcW w:w="0" w:type="auto"/>
            <w:tcBorders>
              <w:top w:val="single" w:color="auto" w:sz="12" w:space="0"/>
              <w:left w:val="single" w:color="auto" w:sz="6" w:space="0"/>
              <w:bottom w:val="single" w:color="auto" w:sz="6" w:space="0"/>
              <w:right w:val="nil"/>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与项目位置关系</w:t>
            </w:r>
          </w:p>
        </w:tc>
        <w:tc>
          <w:tcPr>
            <w:tcW w:w="239" w:type="dxa"/>
            <w:tcBorders>
              <w:top w:val="single" w:color="auto" w:sz="12" w:space="0"/>
              <w:left w:val="single" w:color="auto" w:sz="6" w:space="0"/>
              <w:bottom w:val="single" w:color="auto" w:sz="6"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0" w:type="auto"/>
            <w:tcBorders>
              <w:top w:val="single" w:color="auto" w:sz="6" w:space="0"/>
              <w:left w:val="nil"/>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溪底村外溪马仙娘娘宫</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both"/>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3509821001153047</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枫香</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306</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18</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21</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三级</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120.20318,27.40230</w:t>
            </w:r>
          </w:p>
        </w:tc>
        <w:tc>
          <w:tcPr>
            <w:tcW w:w="0" w:type="auto"/>
            <w:tcBorders>
              <w:top w:val="single" w:color="auto" w:sz="6" w:space="0"/>
              <w:left w:val="single" w:color="auto" w:sz="6" w:space="0"/>
              <w:bottom w:val="single" w:color="auto" w:sz="6" w:space="0"/>
              <w:right w:val="nil"/>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道路沿线东侧68.7m</w:t>
            </w:r>
          </w:p>
        </w:tc>
        <w:tc>
          <w:tcPr>
            <w:tcW w:w="239" w:type="dxa"/>
            <w:tcBorders>
              <w:top w:val="single" w:color="auto" w:sz="6" w:space="0"/>
              <w:left w:val="single" w:color="auto" w:sz="6" w:space="0"/>
              <w:bottom w:val="single" w:color="auto" w:sz="6"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K0+</w:t>
            </w:r>
            <w:r>
              <w:rPr>
                <w:rFonts w:hint="eastAsia" w:cs="Times New Roman"/>
                <w:color w:val="000000" w:themeColor="text1"/>
                <w:sz w:val="21"/>
                <w:szCs w:val="21"/>
                <w:highlight w:val="none"/>
                <w:vertAlign w:val="baseline"/>
                <w:lang w:val="en-US" w:eastAsia="zh-CN"/>
                <w14:textFill>
                  <w14:solidFill>
                    <w14:schemeClr w14:val="tx1"/>
                  </w14:solidFill>
                </w14:textFill>
              </w:rPr>
              <w:t>824.48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0" w:type="auto"/>
            <w:tcBorders>
              <w:top w:val="single" w:color="auto" w:sz="6" w:space="0"/>
              <w:left w:val="nil"/>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溪底村外溪马仙娘娘宫</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both"/>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3509821001153048</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枫香</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293</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18</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三级</w:t>
            </w:r>
          </w:p>
        </w:tc>
        <w:tc>
          <w:tcPr>
            <w:tcW w:w="0" w:type="auto"/>
            <w:tcBorders>
              <w:top w:val="single" w:color="auto" w:sz="6" w:space="0"/>
              <w:left w:val="single" w:color="auto" w:sz="6" w:space="0"/>
              <w:bottom w:val="single" w:color="auto" w:sz="6"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120.20324,27.40241</w:t>
            </w:r>
          </w:p>
        </w:tc>
        <w:tc>
          <w:tcPr>
            <w:tcW w:w="0" w:type="auto"/>
            <w:tcBorders>
              <w:top w:val="single" w:color="auto" w:sz="6" w:space="0"/>
              <w:left w:val="single" w:color="auto" w:sz="6" w:space="0"/>
              <w:bottom w:val="single" w:color="auto" w:sz="6" w:space="0"/>
              <w:right w:val="nil"/>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道路沿线东侧80.3m</w:t>
            </w:r>
          </w:p>
        </w:tc>
        <w:tc>
          <w:tcPr>
            <w:tcW w:w="239" w:type="dxa"/>
            <w:tcBorders>
              <w:top w:val="single" w:color="auto" w:sz="6" w:space="0"/>
              <w:left w:val="single" w:color="auto" w:sz="6" w:space="0"/>
              <w:bottom w:val="single" w:color="auto" w:sz="6"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K0+</w:t>
            </w:r>
            <w:r>
              <w:rPr>
                <w:rFonts w:hint="eastAsia" w:cs="Times New Roman"/>
                <w:color w:val="000000" w:themeColor="text1"/>
                <w:sz w:val="21"/>
                <w:szCs w:val="21"/>
                <w:highlight w:val="none"/>
                <w:vertAlign w:val="baseline"/>
                <w:lang w:val="en-US" w:eastAsia="zh-CN"/>
                <w14:textFill>
                  <w14:solidFill>
                    <w14:schemeClr w14:val="tx1"/>
                  </w14:solidFill>
                </w14:textFill>
              </w:rPr>
              <w:t>804.09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0" w:type="auto"/>
            <w:tcBorders>
              <w:top w:val="single" w:color="auto" w:sz="6" w:space="0"/>
              <w:left w:val="nil"/>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溪底村内溪底桥头</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both"/>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3509821001153038</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樟树（香樟）</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265</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三级</w:t>
            </w:r>
          </w:p>
        </w:tc>
        <w:tc>
          <w:tcPr>
            <w:tcW w:w="0" w:type="auto"/>
            <w:tcBorders>
              <w:top w:val="single" w:color="auto" w:sz="6" w:space="0"/>
              <w:left w:val="single" w:color="auto" w:sz="6" w:space="0"/>
              <w:bottom w:val="single" w:color="auto" w:sz="12" w:space="0"/>
              <w:right w:val="single" w:color="auto" w:sz="6" w:space="0"/>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120.19937,27.41552</w:t>
            </w:r>
          </w:p>
        </w:tc>
        <w:tc>
          <w:tcPr>
            <w:tcW w:w="0" w:type="auto"/>
            <w:tcBorders>
              <w:top w:val="single" w:color="auto" w:sz="6" w:space="0"/>
              <w:left w:val="single" w:color="auto" w:sz="6" w:space="0"/>
              <w:bottom w:val="single" w:color="auto" w:sz="12" w:space="0"/>
              <w:right w:val="nil"/>
            </w:tcBorders>
            <w:vAlign w:val="center"/>
          </w:tcPr>
          <w:p>
            <w:pPr>
              <w:keepNext w:val="0"/>
              <w:keepLines w:val="0"/>
              <w:numPr>
                <w:ilvl w:val="0"/>
                <w:numId w:val="0"/>
              </w:numPr>
              <w:suppressLineNumbers w:val="0"/>
              <w:shd w:val="clear"/>
              <w:bidi w:val="0"/>
              <w:spacing w:before="0" w:beforeAutospacing="0" w:after="0" w:afterAutospacing="0" w:line="240" w:lineRule="auto"/>
              <w:ind w:left="0" w:right="0"/>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道路沿线西侧26.8m</w:t>
            </w:r>
          </w:p>
        </w:tc>
        <w:tc>
          <w:tcPr>
            <w:tcW w:w="239" w:type="dxa"/>
            <w:tcBorders>
              <w:top w:val="single" w:color="auto" w:sz="6" w:space="0"/>
              <w:left w:val="single" w:color="auto" w:sz="6" w:space="0"/>
              <w:bottom w:val="single" w:color="auto" w:sz="12" w:space="0"/>
              <w:right w:val="nil"/>
            </w:tcBorders>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w:t>
            </w:r>
            <w:r>
              <w:rPr>
                <w:rFonts w:hint="eastAsia" w:cs="Times New Roman"/>
                <w:color w:val="000000" w:themeColor="text1"/>
                <w:sz w:val="21"/>
                <w:szCs w:val="21"/>
                <w:highlight w:val="none"/>
                <w:vertAlign w:val="baseli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 w:val="21"/>
                <w:szCs w:val="21"/>
                <w:highlight w:val="none"/>
                <w:vertAlign w:val="baseline"/>
                <w:lang w:val="en-US" w:eastAsia="zh-CN"/>
                <w14:textFill>
                  <w14:solidFill>
                    <w14:schemeClr w14:val="tx1"/>
                  </w14:solidFill>
                </w14:textFill>
              </w:rPr>
              <w:t>943.77</w:t>
            </w:r>
          </w:p>
        </w:tc>
      </w:tr>
    </w:tbl>
    <w:p>
      <w:pPr>
        <w:shd w:val="clear"/>
        <w:bidi w:val="0"/>
        <w:rPr>
          <w:rFonts w:hint="default"/>
          <w:color w:val="000000" w:themeColor="text1"/>
          <w:highlight w:val="none"/>
          <w:lang w:val="en-US" w:eastAsia="zh-CN"/>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p>
      <w:pPr>
        <w:shd w:val="clear"/>
        <w:bidi w:val="0"/>
        <w:rPr>
          <w:rFonts w:hint="default"/>
          <w:color w:val="000000" w:themeColor="text1"/>
          <w:highlight w:val="none"/>
          <w:lang w:val="en-US" w:eastAsia="zh-CN"/>
          <w14:textFill>
            <w14:solidFill>
              <w14:schemeClr w14:val="tx1"/>
            </w14:solidFill>
          </w14:textFill>
        </w:rPr>
      </w:pPr>
    </w:p>
    <w:p>
      <w:pPr>
        <w:shd w:val="clear"/>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四、生态环境影响分析</w:t>
      </w:r>
    </w:p>
    <w:tbl>
      <w:tblPr>
        <w:tblStyle w:val="13"/>
        <w:tblW w:w="50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7"/>
        <w:gridCol w:w="79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6" w:hRule="atLeast"/>
          <w:jc w:val="center"/>
        </w:trPr>
        <w:tc>
          <w:tcPr>
            <w:tcW w:w="358" w:type="pct"/>
            <w:noWrap w:val="0"/>
            <w:tcMar>
              <w:left w:w="28" w:type="dxa"/>
              <w:right w:w="28" w:type="dxa"/>
            </w:tcMar>
            <w:vAlign w:val="center"/>
          </w:tcPr>
          <w:p>
            <w:pPr>
              <w:pStyle w:val="21"/>
              <w:shd w:val="clear"/>
              <w:bidi w:val="0"/>
              <w:ind w:left="0" w:leftChars="0" w:firstLine="0" w:firstLineChars="0"/>
              <w:rPr>
                <w:rFonts w:hint="default" w:cs="宋体"/>
                <w:bCs/>
                <w:color w:val="000000" w:themeColor="text1"/>
                <w:kern w:val="2"/>
                <w:szCs w:val="21"/>
                <w:highlight w:val="none"/>
                <w14:textFill>
                  <w14:solidFill>
                    <w14:schemeClr w14:val="tx1"/>
                  </w14:solidFill>
                </w14:textFill>
              </w:rPr>
            </w:pPr>
            <w:bookmarkStart w:id="11" w:name="_Hlk49796138"/>
            <w:r>
              <w:rPr>
                <w:rFonts w:hint="eastAsia"/>
                <w:color w:val="000000" w:themeColor="text1"/>
                <w:highlight w:val="none"/>
                <w14:textFill>
                  <w14:solidFill>
                    <w14:schemeClr w14:val="tx1"/>
                  </w14:solidFill>
                </w14:textFill>
              </w:rPr>
              <w:t>施工期生态环境影响分析</w:t>
            </w:r>
            <w:bookmarkEnd w:id="11"/>
          </w:p>
        </w:tc>
        <w:tc>
          <w:tcPr>
            <w:tcW w:w="4641" w:type="pct"/>
            <w:noWrap w:val="0"/>
            <w:vAlign w:val="top"/>
          </w:tcPr>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施工期环境影响主要体现在水环境、环境空气、声环境、固体废物以及水土流失等生态方面。</w:t>
            </w:r>
          </w:p>
          <w:p>
            <w:pPr>
              <w:pStyle w:val="4"/>
              <w:widowControl/>
              <w:numPr>
                <w:ilvl w:val="0"/>
                <w:numId w:val="9"/>
              </w:numPr>
              <w:suppressLineNumbers w:val="0"/>
              <w:shd w:val="clear"/>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施工期废水影响分析</w:t>
            </w:r>
          </w:p>
          <w:p>
            <w:pPr>
              <w:pStyle w:val="5"/>
              <w:suppressLineNumbers w:val="0"/>
              <w:shd w:val="clear"/>
              <w:bidi w:val="0"/>
              <w:spacing w:before="0" w:beforeAutospacing="0" w:after="0" w:afterAutospacing="0"/>
              <w:ind w:right="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1.1施工人员生活污水影响分析</w:t>
            </w:r>
          </w:p>
          <w:p>
            <w:pPr>
              <w:pStyle w:val="21"/>
              <w:shd w:val="clear"/>
              <w:bidi w:val="0"/>
              <w:rPr>
                <w:rFonts w:hint="default"/>
                <w:bCs/>
                <w:color w:val="000000" w:themeColor="text1"/>
                <w:sz w:val="24"/>
                <w:szCs w:val="24"/>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施工期生活污水主要来源于各施工人员驻地，工程施工生活污水包括施工人员粪便污水、淋浴污水、洗涤污水等，主要含有</w:t>
            </w:r>
            <w:r>
              <w:rPr>
                <w:rFonts w:hint="default"/>
                <w:color w:val="000000" w:themeColor="text1"/>
                <w:highlight w:val="none"/>
                <w:lang w:val="en-US" w:eastAsia="zh-CN"/>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BOD</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SS</w:t>
            </w:r>
            <w:r>
              <w:rPr>
                <w:rFonts w:hint="eastAsia"/>
                <w:color w:val="000000" w:themeColor="text1"/>
                <w:highlight w:val="none"/>
                <w:lang w:val="en-US" w:eastAsia="zh-CN"/>
                <w14:textFill>
                  <w14:solidFill>
                    <w14:schemeClr w14:val="tx1"/>
                  </w14:solidFill>
                </w14:textFill>
              </w:rPr>
              <w:t>、氨氮(</w:t>
            </w:r>
            <w:r>
              <w:rPr>
                <w:rFonts w:hint="default"/>
                <w:color w:val="000000" w:themeColor="text1"/>
                <w:highlight w:val="none"/>
                <w:lang w:val="en-US" w:eastAsia="zh-CN"/>
                <w14:textFill>
                  <w14:solidFill>
                    <w14:schemeClr w14:val="tx1"/>
                  </w14:solidFill>
                </w14:textFill>
              </w:rPr>
              <w:t>NH</w:t>
            </w:r>
            <w:r>
              <w:rPr>
                <w:rFonts w:hint="default"/>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w:t>
            </w:r>
            <w:r>
              <w:rPr>
                <w:rFonts w:hint="eastAsia"/>
                <w:color w:val="000000" w:themeColor="text1"/>
                <w:highlight w:val="none"/>
                <w:lang w:val="en-US" w:eastAsia="zh-CN"/>
                <w14:textFill>
                  <w14:solidFill>
                    <w14:schemeClr w14:val="tx1"/>
                  </w14:solidFill>
                </w14:textFill>
              </w:rPr>
              <w:t>)和动植物油以及粪大肠菌群等污染物。本工程</w:t>
            </w:r>
            <w:r>
              <w:rPr>
                <w:rFonts w:hint="default"/>
                <w:color w:val="000000" w:themeColor="text1"/>
                <w:highlight w:val="none"/>
                <w14:textFill>
                  <w14:solidFill>
                    <w14:schemeClr w14:val="tx1"/>
                  </w14:solidFill>
                </w14:textFill>
              </w:rPr>
              <w:t>不设住宿营地，施工人员租住在附近村庄。施工过程中施工人员用水通过</w:t>
            </w:r>
            <w:r>
              <w:rPr>
                <w:rFonts w:hint="eastAsia"/>
                <w:color w:val="000000" w:themeColor="text1"/>
                <w:highlight w:val="none"/>
                <w:lang w:val="en-US" w:eastAsia="zh-CN"/>
                <w14:textFill>
                  <w14:solidFill>
                    <w14:schemeClr w14:val="tx1"/>
                  </w14:solidFill>
                </w14:textFill>
              </w:rPr>
              <w:t>溪底村村</w:t>
            </w:r>
            <w:r>
              <w:rPr>
                <w:rFonts w:hint="default"/>
                <w:color w:val="000000" w:themeColor="text1"/>
                <w:highlight w:val="none"/>
                <w14:textFill>
                  <w14:solidFill>
                    <w14:schemeClr w14:val="tx1"/>
                  </w14:solidFill>
                </w14:textFill>
              </w:rPr>
              <w:t>庄解决，因此生活污水进入</w:t>
            </w:r>
            <w:r>
              <w:rPr>
                <w:rFonts w:hint="eastAsia"/>
                <w:color w:val="000000" w:themeColor="text1"/>
                <w:highlight w:val="none"/>
                <w:lang w:val="en-US" w:eastAsia="zh-CN"/>
                <w14:textFill>
                  <w14:solidFill>
                    <w14:schemeClr w14:val="tx1"/>
                  </w14:solidFill>
                </w14:textFill>
              </w:rPr>
              <w:t>溪底村</w:t>
            </w:r>
            <w:r>
              <w:rPr>
                <w:rFonts w:hint="default"/>
                <w:color w:val="000000" w:themeColor="text1"/>
                <w:highlight w:val="none"/>
                <w14:textFill>
                  <w14:solidFill>
                    <w14:schemeClr w14:val="tx1"/>
                  </w14:solidFill>
                </w14:textFill>
              </w:rPr>
              <w:t>生活设施污水排放系统，纳入当地排污系统集中处置，并且员工多数聘用当地居民，因此对周边水环境产生影响较小。</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1.2施工废水影响分析</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施工期生产废水包括土石方填筑和混凝土养护废水、施工产生泥浆水等，主要含SS等。</w:t>
            </w:r>
          </w:p>
          <w:p>
            <w:pPr>
              <w:pStyle w:val="21"/>
              <w:shd w:val="clear"/>
              <w:bidi w:val="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混凝土浇筑养护用水大多被吸收或蒸发，故其废水排放污染可忽略不计；泥浆水主要污染物是含有高浓度的泥沙，施工期间产生的废水经临时排水渠引流至施工场地设置的沉淀池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沉淀池位于施工场东南角，场地下游</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，经沉淀后循环回用或作为场地抑尘洒水用水，不外排，</w:t>
            </w:r>
            <w:r>
              <w:rPr>
                <w:rFonts w:hint="eastAsia"/>
                <w:color w:val="000000" w:themeColor="text1"/>
                <w:highlight w:val="none"/>
                <w:lang w:val="en-US" w:eastAsia="zh-CN"/>
                <w14:textFill>
                  <w14:solidFill>
                    <w14:schemeClr w14:val="tx1"/>
                  </w14:solidFill>
                </w14:textFill>
              </w:rPr>
              <w:t>在加强施工管理的情况下，项目施工废水不会对水北溪支流(溪底溪)的水质产生明显影响。</w:t>
            </w:r>
          </w:p>
          <w:p>
            <w:pPr>
              <w:pStyle w:val="5"/>
              <w:suppressLineNumbers w:val="0"/>
              <w:shd w:val="clear"/>
              <w:bidi w:val="0"/>
              <w:spacing w:before="0" w:beforeAutospacing="0" w:after="0" w:afterAutospacing="0"/>
              <w:ind w:right="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栈桥</w:t>
            </w:r>
            <w:r>
              <w:rPr>
                <w:rFonts w:hint="eastAsia"/>
                <w:color w:val="000000" w:themeColor="text1"/>
                <w:highlight w:val="none"/>
                <w:lang w:val="en-US" w:eastAsia="zh-CN"/>
                <w14:textFill>
                  <w14:solidFill>
                    <w14:schemeClr w14:val="tx1"/>
                  </w14:solidFill>
                </w14:textFill>
              </w:rPr>
              <w:t>施工作业对水体的影响分析</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本项目Y869透溪线右侧沿着河流展线，遇到左侧民房地段需向右河流侧拓宽，为不侵占河道采用栈桥架空处理，共设2处共计90米</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分别位于K1+327.2~K1+357.2及K1+361.7~K1+421.1两处</w:t>
            </w:r>
            <w:r>
              <w:rPr>
                <w:rFonts w:hint="eastAsia"/>
                <w:color w:val="000000" w:themeColor="text1"/>
                <w:highlight w:val="none"/>
                <w14:textFill>
                  <w14:solidFill>
                    <w14:schemeClr w14:val="tx1"/>
                  </w14:solidFill>
                </w14:textFill>
              </w:rPr>
              <w:t>。栈桥采用简支板结构，一侧搭在原河岸挡墙上，另一侧设立柱支撑，立柱上设盖梁，立柱间距一般为5m。</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栈桥跨度不大，工程量较小，仅对作业点位表面产生少量淤泥扰动，且此类作业时间很短，底泥浮起有限，水体中悬浮泥沙影响范围和程度一般不大。项目在钻孔灌注桩基础施工时需在桩位四周挖设排水沟，并在</w:t>
            </w:r>
            <w:r>
              <w:rPr>
                <w:rFonts w:hint="eastAsia"/>
                <w:color w:val="000000" w:themeColor="text1"/>
                <w:highlight w:val="none"/>
                <w:lang w:val="en-US" w:eastAsia="zh-CN"/>
                <w14:textFill>
                  <w14:solidFill>
                    <w14:schemeClr w14:val="tx1"/>
                  </w14:solidFill>
                </w14:textFill>
              </w:rPr>
              <w:t>立柱</w:t>
            </w:r>
            <w:r>
              <w:rPr>
                <w:rFonts w:hint="eastAsia"/>
                <w:color w:val="000000" w:themeColor="text1"/>
                <w:highlight w:val="none"/>
                <w14:textFill>
                  <w14:solidFill>
                    <w14:schemeClr w14:val="tx1"/>
                  </w14:solidFill>
                </w14:textFill>
              </w:rPr>
              <w:t>附近挖设泥浆池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沉淀池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，泥浆池尺寸为3×3m，深2m，用循环槽与孔位连接，采用旱地泥浆循环、净化方法。本项目栈桥</w:t>
            </w:r>
            <w:r>
              <w:rPr>
                <w:rFonts w:hint="eastAsia"/>
                <w:color w:val="000000" w:themeColor="text1"/>
                <w:highlight w:val="none"/>
                <w:lang w:val="en-US" w:eastAsia="zh-CN"/>
                <w14:textFill>
                  <w14:solidFill>
                    <w14:schemeClr w14:val="tx1"/>
                  </w14:solidFill>
                </w14:textFill>
              </w:rPr>
              <w:t>立柱</w:t>
            </w:r>
            <w:r>
              <w:rPr>
                <w:rFonts w:hint="eastAsia"/>
                <w:color w:val="000000" w:themeColor="text1"/>
                <w:highlight w:val="none"/>
                <w14:textFill>
                  <w14:solidFill>
                    <w14:schemeClr w14:val="tx1"/>
                  </w14:solidFill>
                </w14:textFill>
              </w:rPr>
              <w:t>设置对附近水体的影响可以接受。</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r>
              <w:rPr>
                <w:rFonts w:hint="default"/>
                <w:color w:val="000000" w:themeColor="text1"/>
                <w:highlight w:val="none"/>
                <w:lang w:val="en-US" w:eastAsia="zh-CN"/>
                <w14:textFill>
                  <w14:solidFill>
                    <w14:schemeClr w14:val="tx1"/>
                  </w14:solidFill>
                </w14:textFill>
              </w:rPr>
              <w:t>路基工程施工对水环境的影响</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公路施工期主要影响为路基开挖造成地表松动，易造成水土流失。石质路堑开挖过程中有会大量的土方和石方，处理不当也会带来水土流失问题，将对</w:t>
            </w:r>
            <w:r>
              <w:rPr>
                <w:rFonts w:hint="eastAsia"/>
                <w:color w:val="000000" w:themeColor="text1"/>
                <w:highlight w:val="none"/>
                <w:lang w:val="en-US" w:eastAsia="zh-CN"/>
                <w14:textFill>
                  <w14:solidFill>
                    <w14:schemeClr w14:val="tx1"/>
                  </w14:solidFill>
                </w14:textFill>
              </w:rPr>
              <w:t>水北溪支流溪底溪</w:t>
            </w:r>
            <w:r>
              <w:rPr>
                <w:rFonts w:hint="default"/>
                <w:color w:val="000000" w:themeColor="text1"/>
                <w:highlight w:val="none"/>
                <w:lang w:val="en-US" w:eastAsia="zh-CN"/>
                <w14:textFill>
                  <w14:solidFill>
                    <w14:schemeClr w14:val="tx1"/>
                  </w14:solidFill>
                </w14:textFill>
              </w:rPr>
              <w:t>水质造成污染。</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本项目线路较长，路基工程涉及土石方填挖量较大，项目不专门设置临时堆土场，工程的土方、石方除了本工程利用外，多余的土方、石方运往</w:t>
            </w:r>
            <w:r>
              <w:rPr>
                <w:rFonts w:hint="eastAsia"/>
                <w:color w:val="000000" w:themeColor="text1"/>
                <w:highlight w:val="none"/>
                <w:lang w:val="en-US" w:eastAsia="zh-CN"/>
                <w14:textFill>
                  <w14:solidFill>
                    <w14:schemeClr w14:val="tx1"/>
                  </w14:solidFill>
                </w14:textFill>
              </w:rPr>
              <w:t>福鼎市鼎固建材有限公司处理</w:t>
            </w:r>
            <w:r>
              <w:rPr>
                <w:rFonts w:hint="default"/>
                <w:color w:val="000000" w:themeColor="text1"/>
                <w:highlight w:val="none"/>
                <w:lang w:val="en-US" w:eastAsia="zh-CN"/>
                <w14:textFill>
                  <w14:solidFill>
                    <w14:schemeClr w14:val="tx1"/>
                  </w14:solidFill>
                </w14:textFill>
              </w:rPr>
              <w:t>。在雨季施工时，如不采取必要的防护措施，施工开挖的土石方可能随雨水进入</w:t>
            </w:r>
            <w:r>
              <w:rPr>
                <w:rFonts w:hint="eastAsia"/>
                <w:color w:val="000000" w:themeColor="text1"/>
                <w:highlight w:val="none"/>
                <w:lang w:val="en-US" w:eastAsia="zh-CN"/>
                <w14:textFill>
                  <w14:solidFill>
                    <w14:schemeClr w14:val="tx1"/>
                  </w14:solidFill>
                </w14:textFill>
              </w:rPr>
              <w:t>溪底溪</w:t>
            </w:r>
            <w:r>
              <w:rPr>
                <w:rFonts w:hint="default"/>
                <w:color w:val="000000" w:themeColor="text1"/>
                <w:highlight w:val="none"/>
                <w:lang w:val="en-US" w:eastAsia="zh-CN"/>
                <w14:textFill>
                  <w14:solidFill>
                    <w14:schemeClr w14:val="tx1"/>
                  </w14:solidFill>
                </w14:textFill>
              </w:rPr>
              <w:t>，严重时可造成河道或沟渠的淤积甚至堵塞。为避免道路施工对沿线水环境的影响，应严格施工管理，特别在临水地带路基施工过程中，开挖的土石方严禁倒入水体或沟渠，路基填土应控制好土的最佳汇水量，以保证路基的压实度。应采用先筑路基边坡后填土的施工顺序，并及时做好路基边坡的防护。只要做好道路施工的水土保持措施，其对水体的影响就会得以有效控制。</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1.5项目施工对山前水厂水源保护区影响分析</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路线经过水北溪支流(溪底溪)，全程位于山前水厂水源保护区二级保护区陆域范围内。本项目属于旧路改造，在施工过程中，如不采取必要的防护措施，施工开挖的土石方会进入溪底溪，造成水体悬浮物含量增加。尤其在雨季，土石方在雨水的冲刷下会大量流失到水体中。废渣、淤泥等排入水体，使水体总悬浮物固体(SS)、总溶解性固体(DS)大量增加，水体的浊度大大增加。施工机械作业过程中的跑、滴、漏产生石油类物质一旦进入水体，将对水体造成污染，进而影响溪底溪水质。</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公路靠近溪底溪一侧施工范围外1m 处修筑挡水坝、浆砌石截水沟(排水沟)，并在截水沟末端设置沉淀池，每个沉淀池独立收集截水沟来水，经沉淀后将清水用于道路养护或抑尘洒水，施工期废水不在水源保护区内排放，确保不会对水源地饮用水水质造成污染。另外</w:t>
            </w:r>
            <w:r>
              <w:rPr>
                <w:rFonts w:hint="eastAsia"/>
                <w:color w:val="000000" w:themeColor="text1"/>
                <w:highlight w:val="none"/>
                <w14:textFill>
                  <w14:solidFill>
                    <w14:schemeClr w14:val="tx1"/>
                  </w14:solidFill>
                </w14:textFill>
              </w:rPr>
              <w:t>栈桥</w:t>
            </w:r>
            <w:r>
              <w:rPr>
                <w:rFonts w:hint="eastAsia"/>
                <w:color w:val="000000" w:themeColor="text1"/>
                <w:highlight w:val="none"/>
                <w:lang w:val="en-US" w:eastAsia="zh-CN"/>
                <w14:textFill>
                  <w14:solidFill>
                    <w14:schemeClr w14:val="tx1"/>
                  </w14:solidFill>
                </w14:textFill>
              </w:rPr>
              <w:t>基础施工采用钢围堰和钻孔灌注桩，并搭设钢便桥，将施工过程中产生的悬浮物影响控制在局部范围内。</w:t>
            </w:r>
          </w:p>
          <w:p>
            <w:pPr>
              <w:pStyle w:val="4"/>
              <w:widowControl/>
              <w:suppressLineNumbers w:val="0"/>
              <w:shd w:val="clear"/>
              <w:bidi w:val="0"/>
              <w:spacing w:before="0" w:beforeAutospacing="0" w:after="0" w:afterAutospacing="0"/>
              <w:ind w:left="0" w:right="0"/>
              <w:rPr>
                <w:rFonts w:hint="default" w:cs="Times New Roman"/>
                <w:color w:val="000000" w:themeColor="text1"/>
                <w:sz w:val="28"/>
                <w:szCs w:val="28"/>
                <w:highlight w:val="none"/>
                <w:lang w:val="en-US" w:eastAsia="zh-CN"/>
                <w14:textFill>
                  <w14:solidFill>
                    <w14:schemeClr w14:val="tx1"/>
                  </w14:solidFill>
                </w14:textFill>
              </w:rPr>
            </w:pPr>
            <w:r>
              <w:rPr>
                <w:rFonts w:hint="eastAsia" w:cs="Times New Roman"/>
                <w:color w:val="000000" w:themeColor="text1"/>
                <w:sz w:val="28"/>
                <w:szCs w:val="28"/>
                <w:highlight w:val="none"/>
                <w:lang w:val="en-US" w:eastAsia="zh-CN"/>
                <w14:textFill>
                  <w14:solidFill>
                    <w14:schemeClr w14:val="tx1"/>
                  </w14:solidFill>
                </w14:textFill>
              </w:rPr>
              <w:t>2.</w:t>
            </w:r>
            <w:r>
              <w:rPr>
                <w:rFonts w:hint="eastAsia"/>
                <w:color w:val="000000" w:themeColor="text1"/>
                <w:sz w:val="28"/>
                <w:szCs w:val="28"/>
                <w:highlight w:val="none"/>
                <w:lang w:val="en-US" w:eastAsia="zh-CN"/>
                <w14:textFill>
                  <w14:solidFill>
                    <w14:schemeClr w14:val="tx1"/>
                  </w14:solidFill>
                </w14:textFill>
              </w:rPr>
              <w:t>施工期</w:t>
            </w:r>
            <w:r>
              <w:rPr>
                <w:rFonts w:hint="default" w:cs="Times New Roman"/>
                <w:color w:val="000000" w:themeColor="text1"/>
                <w:sz w:val="28"/>
                <w:szCs w:val="28"/>
                <w:highlight w:val="none"/>
                <w:lang w:val="en-US" w:eastAsia="zh-CN"/>
                <w14:textFill>
                  <w14:solidFill>
                    <w14:schemeClr w14:val="tx1"/>
                  </w14:solidFill>
                </w14:textFill>
              </w:rPr>
              <w:t>大气环境影响分析</w:t>
            </w:r>
          </w:p>
          <w:p>
            <w:pPr>
              <w:pStyle w:val="21"/>
              <w:shd w:val="clear"/>
              <w:bidi w:val="0"/>
              <w:jc w:val="both"/>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全线采用水泥混凝土路面，施工期大气污染源主要为扬尘与施工机械设备运转及车辆行驶过程中排放的废气，其中扬尘包括施工产生的扬尘、散体材料储料扬尘与运输道路扬尘等。车辆尾气及机械运转的废气主要的污染物为：NOx、CO、THC、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等。</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施工粉尘影响</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工程施工产生的空气污染物主要为粉尘，主要污染环节为材料的运输和堆放、土石方的开挖和回填等作业过程，上述各环节在受风力的作用下将会对施工现场及周围环境产生粉尘污染。另外，运输车辆行驶将产生道路的二次扬尘污染。</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在施工期，施工车辆行驶和运载物料的装卸将给沿线带来粉尘污染，尤其在未铺设的道路上行驶和一般的情况下产生污染影响及范围较大。</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根据类似道路施工期间对运输车辆来往引起的扬尘的监测，灰土运输车辆来往引起的扬尘是最严重的扬尘污染，在距路边下风向50m处TSP浓度＞10mg/m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；距路边150m处TSP浓度＞4mg/m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施工过程可通过定时对路面洒水，能有效地抑制粉尘的泛起，特别是离路边越近，洒水降尘效果越明显，距离路边越远的地方由于粉尘浓度本身不高，所以效果不如路边明显，详见</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_Ref18905 \n \h </w:instrText>
            </w:r>
            <w:r>
              <w:rPr>
                <w:rFonts w:hint="default"/>
                <w:color w:val="000000" w:themeColor="text1"/>
                <w:highlight w:val="none"/>
                <w:lang w:val="en-US"/>
                <w14:textFill>
                  <w14:solidFill>
                    <w14:schemeClr w14:val="tx1"/>
                  </w14:solidFill>
                </w14:textFill>
              </w:rPr>
              <w:fldChar w:fldCharType="separate"/>
            </w:r>
            <w:r>
              <w:rPr>
                <w:rFonts w:hint="default"/>
                <w:color w:val="000000" w:themeColor="text1"/>
                <w:highlight w:val="none"/>
                <w:lang w:val="en-US"/>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14:textFill>
                  <w14:solidFill>
                    <w14:schemeClr w14:val="tx1"/>
                  </w14:solidFill>
                </w14:textFill>
              </w:rPr>
              <w:t>。</w:t>
            </w: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bookmarkStart w:id="12" w:name="_Ref18905"/>
            <w:r>
              <w:rPr>
                <w:rFonts w:hint="default"/>
                <w:color w:val="000000" w:themeColor="text1"/>
                <w:highlight w:val="none"/>
                <w14:textFill>
                  <w14:solidFill>
                    <w14:schemeClr w14:val="tx1"/>
                  </w14:solidFill>
                </w14:textFill>
              </w:rPr>
              <w:t>施工路段洒水降尘试验结果(mg/m3)</w:t>
            </w:r>
            <w:bookmarkEnd w:id="12"/>
          </w:p>
          <w:tbl>
            <w:tblPr>
              <w:tblStyle w:val="1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05"/>
              <w:gridCol w:w="1131"/>
              <w:gridCol w:w="979"/>
              <w:gridCol w:w="979"/>
              <w:gridCol w:w="1155"/>
              <w:gridCol w:w="1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3" w:type="pct"/>
                  <w:gridSpan w:val="2"/>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与路边距离</w:t>
                  </w:r>
                </w:p>
              </w:tc>
              <w:tc>
                <w:tcPr>
                  <w:tcW w:w="728"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0m</w:t>
                  </w:r>
                </w:p>
              </w:tc>
              <w:tc>
                <w:tcPr>
                  <w:tcW w:w="630"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20m</w:t>
                  </w:r>
                </w:p>
              </w:tc>
              <w:tc>
                <w:tcPr>
                  <w:tcW w:w="630"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50m</w:t>
                  </w:r>
                </w:p>
              </w:tc>
              <w:tc>
                <w:tcPr>
                  <w:tcW w:w="743"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100m</w:t>
                  </w:r>
                </w:p>
              </w:tc>
              <w:tc>
                <w:tcPr>
                  <w:tcW w:w="743"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8" w:type="pct"/>
                  <w:vMerge w:val="restar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TSP</w:t>
                  </w:r>
                </w:p>
              </w:tc>
              <w:tc>
                <w:tcPr>
                  <w:tcW w:w="905"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不洒水</w:t>
                  </w:r>
                </w:p>
              </w:tc>
              <w:tc>
                <w:tcPr>
                  <w:tcW w:w="728"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11.03</w:t>
                  </w:r>
                </w:p>
              </w:tc>
              <w:tc>
                <w:tcPr>
                  <w:tcW w:w="630"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2.89</w:t>
                  </w:r>
                </w:p>
              </w:tc>
              <w:tc>
                <w:tcPr>
                  <w:tcW w:w="630"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1.15</w:t>
                  </w:r>
                </w:p>
              </w:tc>
              <w:tc>
                <w:tcPr>
                  <w:tcW w:w="743"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0.86</w:t>
                  </w:r>
                </w:p>
              </w:tc>
              <w:tc>
                <w:tcPr>
                  <w:tcW w:w="743"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continue"/>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905"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洒水</w:t>
                  </w:r>
                </w:p>
              </w:tc>
              <w:tc>
                <w:tcPr>
                  <w:tcW w:w="728"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2.11</w:t>
                  </w:r>
                </w:p>
              </w:tc>
              <w:tc>
                <w:tcPr>
                  <w:tcW w:w="630"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1.40</w:t>
                  </w:r>
                </w:p>
              </w:tc>
              <w:tc>
                <w:tcPr>
                  <w:tcW w:w="630"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0.68</w:t>
                  </w:r>
                </w:p>
              </w:tc>
              <w:tc>
                <w:tcPr>
                  <w:tcW w:w="743"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0.60</w:t>
                  </w:r>
                </w:p>
              </w:tc>
              <w:tc>
                <w:tcPr>
                  <w:tcW w:w="743" w:type="pct"/>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0.29</w:t>
                  </w:r>
                </w:p>
              </w:tc>
            </w:tr>
          </w:tbl>
          <w:p>
            <w:pPr>
              <w:pStyle w:val="21"/>
              <w:shd w:val="clear"/>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周边敏感目标为溪底村居民房，部分敏感目标均距离项目红线较近，施工期间将不同程度的受到一定的运输扬尘影响。建议施工单位采取经常洒水、运输粉状材料加盖篷布等适当的防护措施，以缓解工程施工对沿线环境空气质量的影响。</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燃油废气</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在工程施工期间，使用液体燃料的施工机械及运输车辆的发动机排放的尾气中含有SO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、NOx、CO、HC等污染物，一般情况下，这些污染物的排放量不大，经大气扩散稀释后对周围环境及沿线居民的影响很小。在常规气象条件下废气污染影响范围最大不超过排气孔下风向轴线几十米远的距离。</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本项目施工期时间相对较短，其产生的影响是临时性的，但是如不加强管理也会造成污染事故。因此应切实实施防止措施，强调文明施工，加强环保管理要求，制定工作责任制，并服从环保部门的监督管理。</w:t>
            </w: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sz w:val="28"/>
                <w:szCs w:val="28"/>
                <w:highlight w:val="none"/>
                <w:lang w:val="en-US" w:eastAsia="zh-CN"/>
                <w14:textFill>
                  <w14:solidFill>
                    <w14:schemeClr w14:val="tx1"/>
                  </w14:solidFill>
                </w14:textFill>
              </w:rPr>
              <w:t>施工期</w:t>
            </w:r>
            <w:r>
              <w:rPr>
                <w:rFonts w:hint="eastAsia"/>
                <w:color w:val="000000" w:themeColor="text1"/>
                <w:highlight w:val="none"/>
                <w:lang w:val="en-US" w:eastAsia="zh-CN"/>
                <w14:textFill>
                  <w14:solidFill>
                    <w14:schemeClr w14:val="tx1"/>
                  </w14:solidFill>
                </w14:textFill>
              </w:rPr>
              <w:t>声环境影响分析</w:t>
            </w:r>
          </w:p>
          <w:p>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000000" w:themeColor="text1"/>
                <w:kern w:val="0"/>
                <w:sz w:val="24"/>
                <w:szCs w:val="24"/>
                <w:highlight w:val="none"/>
                <w:lang w:val="en-US"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施工阶段的噪声影响主要在基础施工阶段和路面施工阶段，主要噪声源来自于施工机械的施工噪声和运输车辆的辐射噪声，这部分噪声具有阶段性、临时性和无规律的特点，它对外环境的影响是暂时的，随施工结束而消失。但由于在施工过程中采用的机械设备噪声值很高，如不加以控制，往往会对道路沿线的环境敏感点产生较大的噪声污染。</w:t>
            </w:r>
          </w:p>
          <w:p>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000000" w:themeColor="text1"/>
                <w:kern w:val="0"/>
                <w:sz w:val="24"/>
                <w:szCs w:val="24"/>
                <w:highlight w:val="none"/>
                <w:lang w:val="en-US"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据调查，目前国内道路施工采用的机械设备主要推土机、挖掘机、平地机、压路机和铺路机等，其噪声源大部分在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80</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95dB</w:t>
            </w:r>
            <w:r>
              <w:rPr>
                <w:rFonts w:hint="eastAsia" w:cs="宋体"/>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A</w:t>
            </w:r>
            <w:r>
              <w:rPr>
                <w:rFonts w:hint="eastAsia" w:cs="宋体"/>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之间，对施工场地周围</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50m</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范围内的环境影响较大，特别在夜间施工时这种影响更为严重。</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 </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施工设备噪声源均按点声源计，根据点声源噪声衰减模式，估算出离声源不同距离处的噪声值，其噪声预测模式为：</w:t>
            </w:r>
          </w:p>
          <w:p>
            <w:pPr>
              <w:pStyle w:val="21"/>
              <w:shd w:val="clear"/>
              <w:bidi w:val="0"/>
              <w:jc w:val="center"/>
              <w:rPr>
                <w:rFonts w:hint="default"/>
                <w:color w:val="000000" w:themeColor="text1"/>
                <w:highlight w:val="none"/>
                <w14:textFill>
                  <w14:solidFill>
                    <w14:schemeClr w14:val="tx1"/>
                  </w14:solidFill>
                </w14:textFill>
              </w:rPr>
            </w:pPr>
            <w:r>
              <w:rPr>
                <w:rFonts w:hint="default" w:cs="Times New Roman"/>
                <w:color w:val="000000" w:themeColor="text1"/>
                <w:position w:val="-14"/>
                <w:highlight w:val="none"/>
                <w14:textFill>
                  <w14:solidFill>
                    <w14:schemeClr w14:val="tx1"/>
                  </w14:solidFill>
                </w14:textFill>
              </w:rPr>
              <w:object>
                <v:shape id="_x0000_i1027" o:spt="75" type="#_x0000_t75" style="height:19pt;width:152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式中：L</w:t>
            </w:r>
            <w:r>
              <w:rPr>
                <w:rFonts w:hint="default"/>
                <w:color w:val="000000" w:themeColor="text1"/>
                <w:highlight w:val="none"/>
                <w:vertAlign w:val="subscript"/>
                <w14:textFill>
                  <w14:solidFill>
                    <w14:schemeClr w14:val="tx1"/>
                  </w14:solidFill>
                </w14:textFill>
              </w:rPr>
              <w:t>p</w:t>
            </w:r>
            <w:r>
              <w:rPr>
                <w:rFonts w:hint="default"/>
                <w:color w:val="000000" w:themeColor="text1"/>
                <w:highlight w:val="none"/>
                <w14:textFill>
                  <w14:solidFill>
                    <w14:schemeClr w14:val="tx1"/>
                  </w14:solidFill>
                </w14:textFill>
              </w:rPr>
              <w:t>——距声源r米处的施工噪声预测值，dB(A)；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L</w:t>
            </w:r>
            <w:r>
              <w:rPr>
                <w:rFonts w:hint="default"/>
                <w:color w:val="000000" w:themeColor="text1"/>
                <w:highlight w:val="none"/>
                <w:vertAlign w:val="subscript"/>
                <w14:textFill>
                  <w14:solidFill>
                    <w14:schemeClr w14:val="tx1"/>
                  </w14:solidFill>
                </w14:textFill>
              </w:rPr>
              <w:t>p0</w:t>
            </w:r>
            <w:r>
              <w:rPr>
                <w:rFonts w:hint="default"/>
                <w:color w:val="000000" w:themeColor="text1"/>
                <w:highlight w:val="none"/>
                <w14:textFill>
                  <w14:solidFill>
                    <w14:schemeClr w14:val="tx1"/>
                  </w14:solidFill>
                </w14:textFill>
              </w:rPr>
              <w:t>——距声源r0米处的参考声级，dB(A)；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r0——Lp0噪声的测点距离(5m或1m)，m；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△L——采取各种措施后的噪声衰减量，dB(A)。</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施工期主要噪声源有施工机械如挖掘机、运输车辆、搅拌机等，以及基础开挖等施工行为。</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对于多台施工机械对某个预测点的影响，进行声级叠加：</w:t>
            </w:r>
          </w:p>
          <w:p>
            <w:pPr>
              <w:pStyle w:val="21"/>
              <w:shd w:val="clear"/>
              <w:bidi w:val="0"/>
              <w:jc w:val="center"/>
              <w:rPr>
                <w:rFonts w:hint="default" w:cs="Times New Roman"/>
                <w:color w:val="000000" w:themeColor="text1"/>
                <w:position w:val="-14"/>
                <w:highlight w:val="none"/>
                <w14:textFill>
                  <w14:solidFill>
                    <w14:schemeClr w14:val="tx1"/>
                  </w14:solidFill>
                </w14:textFill>
              </w:rPr>
            </w:pPr>
            <w:r>
              <w:rPr>
                <w:rFonts w:hint="default" w:cs="Times New Roman"/>
                <w:color w:val="000000" w:themeColor="text1"/>
                <w:position w:val="-14"/>
                <w:highlight w:val="none"/>
                <w14:textFill>
                  <w14:solidFill>
                    <w14:schemeClr w14:val="tx1"/>
                  </w14:solidFill>
                </w14:textFill>
              </w:rPr>
              <w:object>
                <v:shape id="_x0000_i1028" o:spt="75" type="#_x0000_t75" style="height:23pt;width:102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p>
          <w:p>
            <w:pPr>
              <w:pStyle w:val="21"/>
              <w:shd w:val="clear"/>
              <w:bidi w:val="0"/>
              <w:rPr>
                <w:rFonts w:hint="eastAsia" w:cs="Times New Roman"/>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运用上式对施工中施工机械噪声的影响进行预测计算，其结果如</w:t>
            </w:r>
            <w:r>
              <w:rPr>
                <w:rFonts w:hint="eastAsia"/>
                <w:color w:val="000000" w:themeColor="text1"/>
                <w:highlight w:val="none"/>
                <w:lang w:val="en-US" w:eastAsia="zh-CN"/>
                <w14:textFill>
                  <w14:solidFill>
                    <w14:schemeClr w14:val="tx1"/>
                  </w14:solidFill>
                </w14:textFill>
              </w:rPr>
              <w:t>下</w:t>
            </w:r>
            <w:r>
              <w:rPr>
                <w:rFonts w:hint="default"/>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所示。</w:t>
            </w:r>
          </w:p>
          <w:p>
            <w:pPr>
              <w:pStyle w:val="21"/>
              <w:shd w:val="clear"/>
              <w:bidi w:val="0"/>
              <w:jc w:val="left"/>
              <w:rPr>
                <w:rFonts w:hint="eastAsia" w:cs="Times New Roman"/>
                <w:color w:val="000000" w:themeColor="text1"/>
                <w:highlight w:val="none"/>
                <w:lang w:val="en-US" w:eastAsia="zh-CN"/>
                <w14:textFill>
                  <w14:solidFill>
                    <w14:schemeClr w14:val="tx1"/>
                  </w14:solidFill>
                </w14:textFill>
              </w:rPr>
            </w:pP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lang w:val="en-US"/>
                <w14:textFill>
                  <w14:solidFill>
                    <w14:schemeClr w14:val="tx1"/>
                  </w14:solidFill>
                </w14:textFill>
              </w:rPr>
            </w:pPr>
            <w:bookmarkStart w:id="13" w:name="_Ref6832"/>
            <w:r>
              <w:rPr>
                <w:rFonts w:hint="eastAsia"/>
                <w:color w:val="000000" w:themeColor="text1"/>
                <w:highlight w:val="none"/>
                <w:lang w:val="en-US" w:eastAsia="zh-CN"/>
                <w14:textFill>
                  <w14:solidFill>
                    <w14:schemeClr w14:val="tx1"/>
                  </w14:solidFill>
                </w14:textFill>
              </w:rPr>
              <w:t>主要施工机械不同距离处的噪声影响</w:t>
            </w:r>
            <w:bookmarkEnd w:id="13"/>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1417"/>
              <w:gridCol w:w="570"/>
              <w:gridCol w:w="576"/>
              <w:gridCol w:w="576"/>
              <w:gridCol w:w="576"/>
              <w:gridCol w:w="576"/>
              <w:gridCol w:w="576"/>
              <w:gridCol w:w="576"/>
              <w:gridCol w:w="576"/>
              <w:gridCol w:w="576"/>
              <w:gridCol w:w="577"/>
              <w:gridCol w:w="5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jc w:val="center"/>
              </w:trPr>
              <w:tc>
                <w:tcPr>
                  <w:tcW w:w="912" w:type="pct"/>
                  <w:vMerge w:val="restart"/>
                  <w:tcBorders>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机械名称</w:t>
                  </w:r>
                </w:p>
              </w:tc>
              <w:tc>
                <w:tcPr>
                  <w:tcW w:w="4087" w:type="pct"/>
                  <w:gridSpan w:val="11"/>
                  <w:tcBorders>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施工机械不同距离(</w:t>
                  </w:r>
                  <w:r>
                    <w:rPr>
                      <w:rFonts w:hint="default" w:cs="Times New Roman"/>
                      <w:color w:val="000000" w:themeColor="text1"/>
                      <w:szCs w:val="20"/>
                      <w:highlight w:val="none"/>
                      <w:lang w:val="en-US" w:eastAsia="zh-CN"/>
                      <w14:textFill>
                        <w14:solidFill>
                          <w14:schemeClr w14:val="tx1"/>
                        </w14:solidFill>
                      </w14:textFill>
                    </w:rPr>
                    <w:t>m</w:t>
                  </w: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jc w:val="center"/>
              </w:trPr>
              <w:tc>
                <w:tcPr>
                  <w:tcW w:w="912" w:type="pct"/>
                  <w:vMerge w:val="continue"/>
                  <w:tcBorders>
                    <w:top w:val="single" w:color="auto" w:sz="12"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160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200</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jc w:val="center"/>
              </w:trPr>
              <w:tc>
                <w:tcPr>
                  <w:tcW w:w="912" w:type="pc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装载机</w:t>
                  </w: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78</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74.5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72</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68.5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66</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59.9 </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58</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jc w:val="center"/>
              </w:trPr>
              <w:tc>
                <w:tcPr>
                  <w:tcW w:w="912" w:type="pc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振动式</w:t>
                  </w:r>
                  <w:r>
                    <w:rPr>
                      <w:rFonts w:hint="default" w:cs="Times New Roman"/>
                      <w:color w:val="000000" w:themeColor="text1"/>
                      <w:szCs w:val="20"/>
                      <w:highlight w:val="none"/>
                      <w:lang w:val="en-US"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压路机</w:t>
                  </w: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86</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70.5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68</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64.5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62</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55.9 </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54</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jc w:val="center"/>
              </w:trPr>
              <w:tc>
                <w:tcPr>
                  <w:tcW w:w="912" w:type="pc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推土机</w:t>
                  </w: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86</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70.5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68</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64.5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62</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55.9 </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54</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340" w:hRule="atLeast"/>
                <w:jc w:val="center"/>
              </w:trPr>
              <w:tc>
                <w:tcPr>
                  <w:tcW w:w="912" w:type="pc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平地机</w:t>
                  </w: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78</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74.5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72</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68.5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66</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59.9 </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58</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12" w:type="pc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挖掘机</w:t>
                  </w: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84</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78</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72</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68.5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66</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62.5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60</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58</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53.9 </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52</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12" w:type="pct"/>
                  <w:tcBorders>
                    <w:top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摊铺机</w:t>
                  </w:r>
                </w:p>
              </w:tc>
              <w:tc>
                <w:tcPr>
                  <w:tcW w:w="3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87</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81</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71.5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69</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65.5</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63</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61</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56.9 </w:t>
                  </w:r>
                </w:p>
              </w:tc>
              <w:tc>
                <w:tcPr>
                  <w:tcW w:w="371"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55</w:t>
                  </w:r>
                </w:p>
              </w:tc>
              <w:tc>
                <w:tcPr>
                  <w:tcW w:w="373" w:type="pct"/>
                  <w:tcBorders>
                    <w:top w:val="single" w:color="auto" w:sz="6" w:space="0"/>
                    <w:left w:val="single" w:color="auto" w:sz="6" w:space="0"/>
                    <w:bottom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12" w:type="pct"/>
                  <w:tcBorders>
                    <w:top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发电机</w:t>
                  </w:r>
                </w:p>
              </w:tc>
              <w:tc>
                <w:tcPr>
                  <w:tcW w:w="367"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87</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81</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75</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71.5</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69</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65.5</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63</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61</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56.9 </w:t>
                  </w:r>
                </w:p>
              </w:tc>
              <w:tc>
                <w:tcPr>
                  <w:tcW w:w="371" w:type="pct"/>
                  <w:tcBorders>
                    <w:top w:val="single" w:color="auto" w:sz="6" w:space="0"/>
                    <w:left w:val="single" w:color="auto" w:sz="6" w:space="0"/>
                    <w:righ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55</w:t>
                  </w:r>
                </w:p>
              </w:tc>
              <w:tc>
                <w:tcPr>
                  <w:tcW w:w="373" w:type="pct"/>
                  <w:tcBorders>
                    <w:top w:val="single" w:color="auto" w:sz="6" w:space="0"/>
                    <w:left w:val="single" w:color="auto" w:sz="6"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47 </w:t>
                  </w:r>
                </w:p>
              </w:tc>
            </w:tr>
          </w:tbl>
          <w:p>
            <w:pPr>
              <w:keepNext w:val="0"/>
              <w:keepLines w:val="0"/>
              <w:widowControl/>
              <w:suppressLineNumbers w:val="0"/>
              <w:shd w:val="clear"/>
              <w:spacing w:before="0" w:beforeLines="30" w:beforeAutospacing="0" w:after="0" w:afterAutospacing="0"/>
              <w:ind w:left="0" w:right="0"/>
              <w:rPr>
                <w:rFonts w:hint="default"/>
                <w:color w:val="000000" w:themeColor="text1"/>
                <w:sz w:val="21"/>
                <w:szCs w:val="22"/>
                <w:highlight w:val="none"/>
                <w:lang w:val="en-US"/>
                <w14:textFill>
                  <w14:solidFill>
                    <w14:schemeClr w14:val="tx1"/>
                  </w14:solidFill>
                </w14:textFill>
              </w:rPr>
            </w:pPr>
            <w:r>
              <w:rPr>
                <w:rFonts w:hint="eastAsia" w:ascii="Times New Roman" w:hAnsi="Times New Roman" w:eastAsia="宋体" w:cs="宋体"/>
                <w:color w:val="000000" w:themeColor="text1"/>
                <w:sz w:val="21"/>
                <w:szCs w:val="22"/>
                <w:highlight w:val="none"/>
                <w:lang w:eastAsia="zh-CN"/>
                <w14:textFill>
                  <w14:solidFill>
                    <w14:schemeClr w14:val="tx1"/>
                  </w14:solidFill>
                </w14:textFill>
              </w:rPr>
              <w:t>注：</w:t>
            </w:r>
            <w:r>
              <w:rPr>
                <w:rFonts w:hint="default"/>
                <w:color w:val="000000" w:themeColor="text1"/>
                <w:sz w:val="21"/>
                <w:szCs w:val="22"/>
                <w:highlight w:val="none"/>
                <w:lang w:val="en-US"/>
                <w14:textFill>
                  <w14:solidFill>
                    <w14:schemeClr w14:val="tx1"/>
                  </w14:solidFill>
                </w14:textFill>
              </w:rPr>
              <w:t>5m</w:t>
            </w:r>
            <w:r>
              <w:rPr>
                <w:rFonts w:hint="eastAsia" w:ascii="Times New Roman" w:hAnsi="Times New Roman" w:eastAsia="宋体" w:cs="宋体"/>
                <w:color w:val="000000" w:themeColor="text1"/>
                <w:sz w:val="21"/>
                <w:szCs w:val="22"/>
                <w:highlight w:val="none"/>
                <w:lang w:eastAsia="zh-CN"/>
                <w14:textFill>
                  <w14:solidFill>
                    <w14:schemeClr w14:val="tx1"/>
                  </w14:solidFill>
                </w14:textFill>
              </w:rPr>
              <w:t>处的噪声级为施工机械实测噪声源强。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b w:val="0"/>
                <w:bCs w:val="0"/>
                <w:color w:val="000000" w:themeColor="text1"/>
                <w:sz w:val="24"/>
                <w:szCs w:val="24"/>
                <w:highlight w:val="none"/>
                <w:lang w:val="en-US" w:eastAsia="zh-CN"/>
                <w14:textFill>
                  <w14:solidFill>
                    <w14:schemeClr w14:val="tx1"/>
                  </w14:solidFill>
                </w14:textFill>
              </w:rPr>
            </w:pPr>
            <w:r>
              <w:rPr>
                <w:rFonts w:hint="default" w:eastAsia="宋体"/>
                <w:b w:val="0"/>
                <w:bCs w:val="0"/>
                <w:color w:val="000000" w:themeColor="text1"/>
                <w:sz w:val="24"/>
                <w:szCs w:val="24"/>
                <w:highlight w:val="none"/>
                <w:lang w:val="en-US" w:eastAsia="zh-CN"/>
                <w14:textFill>
                  <w14:solidFill>
                    <w14:schemeClr w14:val="tx1"/>
                  </w14:solidFill>
                </w14:textFill>
              </w:rPr>
              <w:t>由于本项目为</w:t>
            </w:r>
            <w:r>
              <w:rPr>
                <w:rFonts w:hint="eastAsia"/>
                <w:b w:val="0"/>
                <w:bCs w:val="0"/>
                <w:color w:val="000000" w:themeColor="text1"/>
                <w:sz w:val="24"/>
                <w:szCs w:val="24"/>
                <w:highlight w:val="none"/>
                <w:lang w:val="en-US" w:eastAsia="zh-CN"/>
                <w14:textFill>
                  <w14:solidFill>
                    <w14:schemeClr w14:val="tx1"/>
                  </w14:solidFill>
                </w14:textFill>
              </w:rPr>
              <w:t>公路</w:t>
            </w:r>
            <w:r>
              <w:rPr>
                <w:rFonts w:hint="default" w:eastAsia="宋体"/>
                <w:b w:val="0"/>
                <w:bCs w:val="0"/>
                <w:color w:val="000000" w:themeColor="text1"/>
                <w:sz w:val="24"/>
                <w:szCs w:val="24"/>
                <w:highlight w:val="none"/>
                <w:lang w:val="en-US" w:eastAsia="zh-CN"/>
                <w14:textFill>
                  <w14:solidFill>
                    <w14:schemeClr w14:val="tx1"/>
                  </w14:solidFill>
                </w14:textFill>
              </w:rPr>
              <w:t>建设项目，路基宽度为</w:t>
            </w:r>
            <w:r>
              <w:rPr>
                <w:rFonts w:hint="eastAsia"/>
                <w:b w:val="0"/>
                <w:bCs w:val="0"/>
                <w:color w:val="000000" w:themeColor="text1"/>
                <w:sz w:val="24"/>
                <w:szCs w:val="24"/>
                <w:highlight w:val="none"/>
                <w:lang w:val="en-US" w:eastAsia="zh-CN"/>
                <w14:textFill>
                  <w14:solidFill>
                    <w14:schemeClr w14:val="tx1"/>
                  </w14:solidFill>
                </w14:textFill>
              </w:rPr>
              <w:t>6.5</w:t>
            </w:r>
            <w:r>
              <w:rPr>
                <w:rFonts w:hint="default" w:eastAsia="宋体"/>
                <w:b w:val="0"/>
                <w:bCs w:val="0"/>
                <w:color w:val="000000" w:themeColor="text1"/>
                <w:sz w:val="24"/>
                <w:szCs w:val="24"/>
                <w:highlight w:val="none"/>
                <w:lang w:val="en-US" w:eastAsia="zh-CN"/>
                <w14:textFill>
                  <w14:solidFill>
                    <w14:schemeClr w14:val="tx1"/>
                  </w14:solidFill>
                </w14:textFill>
              </w:rPr>
              <w:t>m，根据《建筑施工场界环境噪声排放标准》</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GB12523-2011</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的要求，各施工机械在施工过程中噪声影响结果由</w:t>
            </w:r>
            <w:r>
              <w:rPr>
                <w:rFonts w:hint="eastAsia"/>
                <w:b w:val="0"/>
                <w:bCs w:val="0"/>
                <w:color w:val="000000" w:themeColor="text1"/>
                <w:sz w:val="24"/>
                <w:szCs w:val="24"/>
                <w:highlight w:val="none"/>
                <w:lang w:val="en-US" w:eastAsia="zh-CN"/>
                <w14:textFill>
                  <w14:solidFill>
                    <w14:schemeClr w14:val="tx1"/>
                  </w14:solidFill>
                </w14:textFill>
              </w:rPr>
              <w:t>表31</w:t>
            </w:r>
            <w:r>
              <w:rPr>
                <w:rFonts w:hint="default" w:eastAsia="宋体"/>
                <w:b w:val="0"/>
                <w:bCs w:val="0"/>
                <w:color w:val="000000" w:themeColor="text1"/>
                <w:sz w:val="24"/>
                <w:szCs w:val="24"/>
                <w:highlight w:val="none"/>
                <w:lang w:val="en-US" w:eastAsia="zh-CN"/>
                <w14:textFill>
                  <w14:solidFill>
                    <w14:schemeClr w14:val="tx1"/>
                  </w14:solidFill>
                </w14:textFill>
              </w:rPr>
              <w:t>可知，作为项目最大施工边界，距道路中心线</w:t>
            </w:r>
            <w:r>
              <w:rPr>
                <w:rFonts w:hint="eastAsia"/>
                <w:b w:val="0"/>
                <w:bCs w:val="0"/>
                <w:color w:val="000000" w:themeColor="text1"/>
                <w:sz w:val="24"/>
                <w:szCs w:val="24"/>
                <w:highlight w:val="none"/>
                <w:lang w:val="en-US" w:eastAsia="zh-CN"/>
                <w14:textFill>
                  <w14:solidFill>
                    <w14:schemeClr w14:val="tx1"/>
                  </w14:solidFill>
                </w14:textFill>
              </w:rPr>
              <w:t>3.25</w:t>
            </w:r>
            <w:r>
              <w:rPr>
                <w:rFonts w:hint="default" w:eastAsia="宋体"/>
                <w:b w:val="0"/>
                <w:bCs w:val="0"/>
                <w:color w:val="000000" w:themeColor="text1"/>
                <w:sz w:val="24"/>
                <w:szCs w:val="24"/>
                <w:highlight w:val="none"/>
                <w:lang w:val="en-US" w:eastAsia="zh-CN"/>
                <w14:textFill>
                  <w14:solidFill>
                    <w14:schemeClr w14:val="tx1"/>
                  </w14:solidFill>
                </w14:textFill>
              </w:rPr>
              <w:t>m</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红线</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处，各种机械的施工噪声均超过《建筑施工场界环境噪声放标准》</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GB12523-2011</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中规定的昼间LAeq值≤70dB，夜间值≤55dB的要求。本项目近距离敏感目标主要为</w:t>
            </w:r>
            <w:r>
              <w:rPr>
                <w:rFonts w:hint="eastAsia"/>
                <w:b w:val="0"/>
                <w:bCs w:val="0"/>
                <w:color w:val="000000" w:themeColor="text1"/>
                <w:sz w:val="24"/>
                <w:szCs w:val="24"/>
                <w:highlight w:val="none"/>
                <w:lang w:val="en-US" w:eastAsia="zh-CN"/>
                <w14:textFill>
                  <w14:solidFill>
                    <w14:schemeClr w14:val="tx1"/>
                  </w14:solidFill>
                </w14:textFill>
              </w:rPr>
              <w:t>溪底村</w:t>
            </w:r>
            <w:r>
              <w:rPr>
                <w:rFonts w:hint="default" w:eastAsia="宋体"/>
                <w:b w:val="0"/>
                <w:bCs w:val="0"/>
                <w:color w:val="000000" w:themeColor="text1"/>
                <w:sz w:val="24"/>
                <w:szCs w:val="24"/>
                <w:highlight w:val="none"/>
                <w:lang w:val="en-US" w:eastAsia="zh-CN"/>
                <w14:textFill>
                  <w14:solidFill>
                    <w14:schemeClr w14:val="tx1"/>
                  </w14:solidFill>
                </w14:textFill>
              </w:rPr>
              <w:t>居民区</w:t>
            </w:r>
            <w:r>
              <w:rPr>
                <w:rFonts w:hint="eastAsia"/>
                <w:b w:val="0"/>
                <w:bCs w:val="0"/>
                <w:color w:val="000000" w:themeColor="text1"/>
                <w:sz w:val="24"/>
                <w:szCs w:val="24"/>
                <w:highlight w:val="none"/>
                <w:lang w:val="en-US" w:eastAsia="zh-CN"/>
                <w14:textFill>
                  <w14:solidFill>
                    <w14:schemeClr w14:val="tx1"/>
                  </w14:solidFill>
                </w14:textFill>
              </w:rPr>
              <w:t>（离施工处最近距离为1m）</w:t>
            </w:r>
            <w:r>
              <w:rPr>
                <w:rFonts w:hint="default" w:eastAsia="宋体"/>
                <w:b w:val="0"/>
                <w:bCs w:val="0"/>
                <w:color w:val="000000" w:themeColor="text1"/>
                <w:sz w:val="24"/>
                <w:szCs w:val="24"/>
                <w:highlight w:val="none"/>
                <w:lang w:val="en-US" w:eastAsia="zh-CN"/>
                <w14:textFill>
                  <w14:solidFill>
                    <w14:schemeClr w14:val="tx1"/>
                  </w14:solidFill>
                </w14:textFill>
              </w:rPr>
              <w:t>，施工噪声将对距离道路红线较近的居民房产生一定影响。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b w:val="0"/>
                <w:bCs w:val="0"/>
                <w:color w:val="000000" w:themeColor="text1"/>
                <w:sz w:val="24"/>
                <w:szCs w:val="24"/>
                <w:highlight w:val="none"/>
                <w:lang w:val="en-US" w:eastAsia="zh-CN"/>
                <w14:textFill>
                  <w14:solidFill>
                    <w14:schemeClr w14:val="tx1"/>
                  </w14:solidFill>
                </w14:textFill>
              </w:rPr>
            </w:pPr>
            <w:r>
              <w:rPr>
                <w:rFonts w:hint="default" w:eastAsia="宋体"/>
                <w:b w:val="0"/>
                <w:bCs w:val="0"/>
                <w:color w:val="000000" w:themeColor="text1"/>
                <w:sz w:val="24"/>
                <w:szCs w:val="24"/>
                <w:highlight w:val="none"/>
                <w:lang w:val="en-US" w:eastAsia="zh-CN"/>
                <w14:textFill>
                  <w14:solidFill>
                    <w14:schemeClr w14:val="tx1"/>
                  </w14:solidFill>
                </w14:textFill>
              </w:rPr>
              <w:t>本项目道路修建时间较短，对某一特定路段而言其施工时间更短，且高噪声主要出现在路基施工阶段，因此整个道路施工过程其实际施工噪声的影响程度从时间上衡量要比推算值低一些，这一点一般的居民均能理解。但是作为建设施工单位为维护沿线居民的正常生活和休息，应合理地安排施工进度和时间，实行文明施工、环保施工，并根据各施工阶段的特点采取必要的噪声控制措施</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如设置移动式声屏障等</w:t>
            </w:r>
            <w:r>
              <w:rPr>
                <w:rFonts w:hint="eastAsia"/>
                <w:b w:val="0"/>
                <w:bCs w:val="0"/>
                <w:color w:val="000000" w:themeColor="text1"/>
                <w:sz w:val="24"/>
                <w:szCs w:val="24"/>
                <w:highlight w:val="none"/>
                <w:lang w:val="en-US" w:eastAsia="zh-CN"/>
                <w14:textFill>
                  <w14:solidFill>
                    <w14:schemeClr w14:val="tx1"/>
                  </w14:solidFill>
                </w14:textFill>
              </w:rPr>
              <w:t>)</w:t>
            </w:r>
            <w:r>
              <w:rPr>
                <w:rFonts w:hint="default" w:eastAsia="宋体"/>
                <w:b w:val="0"/>
                <w:bCs w:val="0"/>
                <w:color w:val="000000" w:themeColor="text1"/>
                <w:sz w:val="24"/>
                <w:szCs w:val="24"/>
                <w:highlight w:val="none"/>
                <w:lang w:val="en-US" w:eastAsia="zh-CN"/>
                <w14:textFill>
                  <w14:solidFill>
                    <w14:schemeClr w14:val="tx1"/>
                  </w14:solidFill>
                </w14:textFill>
              </w:rPr>
              <w:t>，以降低施工噪声噪声对环境的影响。在认真落实环保措施、加强施工管理后，本项目施工期噪声对周边敏感目标的影响较小。</w:t>
            </w:r>
          </w:p>
          <w:p>
            <w:pPr>
              <w:pStyle w:val="4"/>
              <w:widowControl/>
              <w:suppressLineNumbers w:val="0"/>
              <w:shd w:val="clear"/>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sz w:val="28"/>
                <w:szCs w:val="28"/>
                <w:highlight w:val="none"/>
                <w:lang w:val="en-US" w:eastAsia="zh-CN"/>
                <w14:textFill>
                  <w14:solidFill>
                    <w14:schemeClr w14:val="tx1"/>
                  </w14:solidFill>
                </w14:textFill>
              </w:rPr>
              <w:t>施工期</w:t>
            </w:r>
            <w:r>
              <w:rPr>
                <w:rFonts w:hint="eastAsia"/>
                <w:color w:val="000000" w:themeColor="text1"/>
                <w:sz w:val="28"/>
                <w:szCs w:val="28"/>
                <w:highlight w:val="none"/>
                <w:lang w:eastAsia="zh-CN"/>
                <w14:textFill>
                  <w14:solidFill>
                    <w14:schemeClr w14:val="tx1"/>
                  </w14:solidFill>
                </w14:textFill>
              </w:rPr>
              <w:t>固</w:t>
            </w:r>
            <w:r>
              <w:rPr>
                <w:rFonts w:hint="eastAsia"/>
                <w:color w:val="000000" w:themeColor="text1"/>
                <w:highlight w:val="none"/>
                <w:lang w:eastAsia="zh-CN"/>
                <w14:textFill>
                  <w14:solidFill>
                    <w14:schemeClr w14:val="tx1"/>
                  </w14:solidFill>
                </w14:textFill>
              </w:rPr>
              <w:t>体废物影响分析</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1</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生活垃圾</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项目施工过程施工人员产生的生活垃圾经垃圾桶收集后委托当地环卫部门清理，外运处理。</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2</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建筑垃圾</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施工建筑垃圾若随意堆放，不仅影响视觉，还孳生蚊蝇。雨水经建筑垃圾后流入附近水体或渗入地下水，会给水体造成污染。施工中应严格建筑垃圾的管理，设置专人负责收集垃圾并分类处理。尽量对建筑垃圾进行综合利用：散落的砂浆、混凝土，可采用冲洗法或化学法回收；凝固的砂浆、混凝土还可以作为再生骨料回收利用；废混凝土块经破碎后也可作为碎石直接用于道路垫层。其它废弃钢筋、水泥包装纸等，可收集集中后出售给废品收购商。</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3</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土石方</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根据项目工程设计的土石方平衡分析，</w:t>
            </w:r>
            <w:r>
              <w:rPr>
                <w:rFonts w:hint="eastAsia"/>
                <w:color w:val="000000" w:themeColor="text1"/>
                <w:sz w:val="24"/>
                <w:szCs w:val="24"/>
                <w:highlight w:val="none"/>
                <w:lang w:val="en-US" w:eastAsia="zh-CN"/>
                <w14:textFill>
                  <w14:solidFill>
                    <w14:schemeClr w14:val="tx1"/>
                  </w14:solidFill>
                </w14:textFill>
              </w:rPr>
              <w:t>挖土方16343m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，挖石方16087m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，利用土方3133.7m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，利用石方1888m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，余土石方13209.3m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，余石方14199m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本项目</w:t>
            </w:r>
            <w:r>
              <w:rPr>
                <w:rFonts w:hint="eastAsia" w:cs="宋体"/>
                <w:color w:val="000000" w:themeColor="text1"/>
                <w:kern w:val="2"/>
                <w:sz w:val="24"/>
                <w:szCs w:val="24"/>
                <w:highlight w:val="none"/>
                <w:lang w:val="en-US" w:eastAsia="zh-CN" w:bidi="ar"/>
                <w14:textFill>
                  <w14:solidFill>
                    <w14:schemeClr w14:val="tx1"/>
                  </w14:solidFill>
                </w14:textFill>
              </w:rPr>
              <w:t>不设置堆土场，产生的弃方及时</w:t>
            </w:r>
            <w:r>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t>运至</w:t>
            </w:r>
            <w:r>
              <w:rPr>
                <w:rFonts w:hint="eastAsia"/>
                <w:color w:val="000000" w:themeColor="text1"/>
                <w:sz w:val="24"/>
                <w:szCs w:val="24"/>
                <w:highlight w:val="none"/>
                <w:lang w:val="en-US" w:eastAsia="zh-CN"/>
                <w14:textFill>
                  <w14:solidFill>
                    <w14:schemeClr w14:val="tx1"/>
                  </w14:solidFill>
                </w14:textFill>
              </w:rPr>
              <w:t>福鼎市鼎固建材有限公司处理</w:t>
            </w:r>
            <w:r>
              <w:rPr>
                <w:rFonts w:hint="default"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综上所述，遵循对固废的“减量化、资源化、无害化”的原则，本项目所产生的废物经有效处理、回收综合利用后，基本上可实现固体废物的零排放，不会对周围的环境产生大的影响。</w:t>
            </w:r>
          </w:p>
          <w:p>
            <w:pPr>
              <w:pStyle w:val="4"/>
              <w:widowControl/>
              <w:suppressLineNumbers w:val="0"/>
              <w:shd w:val="clear"/>
              <w:bidi w:val="0"/>
              <w:spacing w:before="0" w:beforeAutospacing="0" w:after="0" w:afterAutospacing="0"/>
              <w:ind w:left="0" w:right="0"/>
              <w:rPr>
                <w:rFonts w:hint="default"/>
                <w:color w:val="000000" w:themeColor="text1"/>
                <w:sz w:val="28"/>
                <w:szCs w:val="28"/>
                <w:highlight w:val="none"/>
                <w:lang w:val="en-US"/>
                <w14:textFill>
                  <w14:solidFill>
                    <w14:schemeClr w14:val="tx1"/>
                  </w14:solidFill>
                </w14:textFill>
              </w:rPr>
            </w:pPr>
            <w:r>
              <w:rPr>
                <w:rFonts w:hint="default"/>
                <w:color w:val="000000" w:themeColor="text1"/>
                <w:sz w:val="28"/>
                <w:szCs w:val="28"/>
                <w:highlight w:val="none"/>
                <w:lang w:val="en-US"/>
                <w14:textFill>
                  <w14:solidFill>
                    <w14:schemeClr w14:val="tx1"/>
                  </w14:solidFill>
                </w14:textFill>
              </w:rPr>
              <w:t>5</w:t>
            </w:r>
            <w:r>
              <w:rPr>
                <w:rFonts w:hint="eastAsia"/>
                <w:color w:val="000000" w:themeColor="text1"/>
                <w:sz w:val="28"/>
                <w:szCs w:val="28"/>
                <w:highlight w:val="none"/>
                <w:lang w:val="en-US" w:eastAsia="zh-CN"/>
                <w14:textFill>
                  <w14:solidFill>
                    <w14:schemeClr w14:val="tx1"/>
                  </w14:solidFill>
                </w14:textFill>
              </w:rPr>
              <w:t>.施工期</w:t>
            </w:r>
            <w:r>
              <w:rPr>
                <w:rFonts w:hint="eastAsia" w:ascii="Times New Roman" w:hAnsi="Times New Roman" w:eastAsia="宋体" w:cs="宋体"/>
                <w:color w:val="000000" w:themeColor="text1"/>
                <w:sz w:val="28"/>
                <w:szCs w:val="28"/>
                <w:highlight w:val="none"/>
                <w:lang w:eastAsia="zh-CN"/>
                <w14:textFill>
                  <w14:solidFill>
                    <w14:schemeClr w14:val="tx1"/>
                  </w14:solidFill>
                </w14:textFill>
              </w:rPr>
              <w:t>生态环境影响分析</w:t>
            </w:r>
          </w:p>
          <w:p>
            <w:pPr>
              <w:keepNext w:val="0"/>
              <w:keepLines w:val="0"/>
              <w:widowControl/>
              <w:suppressLineNumbers w:val="0"/>
              <w:shd w:val="clear"/>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公路工程对生态环境的影响主要发生在施工期，主要表现在主体工程对土地的占用改变了土地的利用性质，使评价范围内植被覆盖率下降；临时占地对地表植被的破坏；项目建设将在一定时间内造成一定区域内水土流失加剧；此外，项目施工期人类活动还会对沿线动物栖息、分布等产生一定影响。</w:t>
            </w:r>
          </w:p>
          <w:p>
            <w:pPr>
              <w:keepNext/>
              <w:keepLines/>
              <w:widowControl w:val="0"/>
              <w:suppressLineNumbers w:val="0"/>
              <w:shd w:val="clear"/>
              <w:spacing w:before="0" w:beforeAutospacing="0" w:after="0" w:afterAutospacing="0" w:line="360" w:lineRule="auto"/>
              <w:ind w:left="0" w:right="0"/>
              <w:jc w:val="both"/>
              <w:outlineLvl w:val="1"/>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5.1对沿线</w:t>
            </w:r>
            <w:r>
              <w:rPr>
                <w:rFonts w:hint="eastAsia" w:cs="Times New Roman"/>
                <w:b/>
                <w:bCs/>
                <w:color w:val="000000" w:themeColor="text1"/>
                <w:kern w:val="2"/>
                <w:sz w:val="24"/>
                <w:szCs w:val="24"/>
                <w:highlight w:val="none"/>
                <w:lang w:val="en-US" w:eastAsia="zh-CN" w:bidi="ar-SA"/>
                <w14:textFill>
                  <w14:solidFill>
                    <w14:schemeClr w14:val="tx1"/>
                  </w14:solidFill>
                </w14:textFill>
              </w:rPr>
              <w:t>占用林地及</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植被影响分析</w:t>
            </w:r>
          </w:p>
          <w:p>
            <w:pPr>
              <w:keepNext w:val="0"/>
              <w:keepLines w:val="0"/>
              <w:suppressLineNumbers w:val="0"/>
              <w:shd w:val="clear"/>
              <w:spacing w:before="0" w:beforeAutospacing="0" w:after="0" w:afterAutospacing="0" w:line="360" w:lineRule="auto"/>
              <w:ind w:left="0" w:right="0"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项目占</w:t>
            </w:r>
            <w:r>
              <w:rPr>
                <w:rFonts w:hint="eastAsia" w:cs="Times New Roman"/>
                <w:color w:val="000000" w:themeColor="text1"/>
                <w:sz w:val="24"/>
                <w:highlight w:val="none"/>
                <w:lang w:val="en-US" w:eastAsia="zh-CN"/>
                <w14:textFill>
                  <w14:solidFill>
                    <w14:schemeClr w14:val="tx1"/>
                  </w14:solidFill>
                </w14:textFill>
              </w:rPr>
              <w:t>用林地</w:t>
            </w:r>
            <w:r>
              <w:rPr>
                <w:rFonts w:hint="eastAsia" w:ascii="Times New Roman" w:hAnsi="Times New Roman" w:cs="Times New Roman"/>
                <w:color w:val="000000" w:themeColor="text1"/>
                <w:sz w:val="24"/>
                <w:highlight w:val="none"/>
                <w:lang w:val="en-US" w:eastAsia="zh-CN"/>
                <w14:textFill>
                  <w14:solidFill>
                    <w14:schemeClr w14:val="tx1"/>
                  </w14:solidFill>
                </w14:textFill>
              </w:rPr>
              <w:t>范围内植被与评价区周边植被类型相似，所破坏的地表植被均是当地普通的植被类型；项目建设造成的这部分植被的破坏不会造成物种灭绝的问题，对大区域范围内的植被自身群落影响不明显。因此公路建设不会造成公路沿线植被类型分布状况和森林植物群落结构的改变。沿线的植被由于施工后期的人工恢复，生态将得到逐步改善。运营后，项目评价区的植被和生态将会朝着良性循环方向发展。两侧种植植被时，尽量选择原有的植物种。</w:t>
            </w:r>
          </w:p>
          <w:p>
            <w:pPr>
              <w:keepNext/>
              <w:keepLines/>
              <w:widowControl w:val="0"/>
              <w:suppressLineNumbers w:val="0"/>
              <w:shd w:val="clear"/>
              <w:spacing w:before="0" w:beforeAutospacing="0" w:after="0" w:afterAutospacing="0" w:line="360" w:lineRule="auto"/>
              <w:ind w:left="0" w:right="0"/>
              <w:jc w:val="both"/>
              <w:outlineLvl w:val="1"/>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5.2对动物影响分析</w:t>
            </w:r>
          </w:p>
          <w:p>
            <w:pPr>
              <w:keepNext w:val="0"/>
              <w:keepLines w:val="0"/>
              <w:suppressLineNumbers w:val="0"/>
              <w:shd w:val="clear"/>
              <w:spacing w:before="0" w:beforeAutospacing="0" w:after="0" w:afterAutospacing="0" w:line="360" w:lineRule="auto"/>
              <w:ind w:left="0" w:right="0"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实地调查，评价范围内未发现有重要野生动物或鸟类的栖息或繁殖地，亦未发现有珍稀濒危野生动物或鸟类分布。工程施工期，由于对沿线生境的破坏，以及施工设备及施工人员产生的噪声、施工扬尘和施工人群活动的增加干扰等，对沿线及两侧周边区域生态环境的影响，破坏鸟类及其它野生动物的栖息觅食生境，干扰鸟类等野生动物的正常生活，引起鸟类等野生动物惊吓而逃避迁移或迁飞等。其中，一些两栖或爬行动物个体由于迁移能力相对较弱，可能因为来不及逃避而被施工机械直接碾压致死。这随着施工期的结束，部分影响将得到减缓。</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5.3对土地利用变更影响分析</w:t>
            </w:r>
          </w:p>
          <w:p>
            <w:pPr>
              <w:keepNext w:val="0"/>
              <w:keepLines w:val="0"/>
              <w:suppressLineNumbers w:val="0"/>
              <w:shd w:val="clear"/>
              <w:spacing w:before="0" w:beforeAutospacing="0" w:after="0" w:afterAutospacing="0" w:line="360" w:lineRule="auto"/>
              <w:ind w:left="0" w:right="0"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工程永久占用的各类土地面积占贯岭镇相应地类总量的比例相当小。因此本工程的建设不会导致直接影响土地利用结构发生重大改变。永久占地改变了原有土地的利用功能，变为建设用地，对土地利用方式产生长期的不可逆影响，原有植被将受到破坏，但这种影响仅限于公路占地范围，对周围系统的生产力不会产生明显的影响。</w:t>
            </w:r>
          </w:p>
          <w:p>
            <w:pPr>
              <w:keepNext w:val="0"/>
              <w:keepLines w:val="0"/>
              <w:suppressLineNumbers w:val="0"/>
              <w:shd w:val="clear"/>
              <w:spacing w:before="0" w:beforeAutospacing="0" w:after="0" w:afterAutospacing="0" w:line="360" w:lineRule="auto"/>
              <w:ind w:left="0" w:right="0"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公路建设的占地不会降低群落单位面积的生产力，但由于减少了林地用地，这在一定程度上减少了群落的生产面积、群落的生物量，生物量损失主要表现在果实或林木产量的减少。项目建成后通过植树植草，可在一定程度上弥补公路永久占地损失的生物量。</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5.4水土流失预测影响分析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从区域上分析，项目区水土流失量主要集中在公路工程，应作为重点防治和监测区段，从时段上分析，项目区水土流失量主要集中在施工期，因此施工期应作为项目区水土流失防治和水土保持监测的重点时段，应采取完善的工程措施及植物措施加以防护。</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水土流失危害往往具有潜在性，若形成水土流失危害后才实施治理，不但造成了土地资源破坏和土地生产力下降、淤积河流等问题，而且治理难度大，费用高，因此必须根据有关经验教训，综合分析水土流失预测结果，对项目可能造成的水土流失危害进行预测，根据预测结果采取相应的防治措施。</w:t>
            </w:r>
          </w:p>
          <w:p>
            <w:pPr>
              <w:pStyle w:val="4"/>
              <w:widowControl/>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施工期社会环境影响分析</w:t>
            </w:r>
          </w:p>
          <w:p>
            <w:pPr>
              <w:pStyle w:val="21"/>
              <w:shd w:val="clear"/>
              <w:bidi w:val="0"/>
              <w:rPr>
                <w:rFonts w:hint="default" w:eastAsia="宋体"/>
                <w:b w:val="0"/>
                <w:bCs w:val="0"/>
                <w:color w:val="000000" w:themeColor="text1"/>
                <w:sz w:val="24"/>
                <w:szCs w:val="24"/>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道路终点处分布有一定的居民点，施工期施工车辆的进出及对现有道路的占用将不可避免的造成交通阻隔，给沿线居民点出行带来一定的不利影响。因此，施工单位应当加强施工管理，优化施工期间交通组织方案。施工期间预留交通便道供居民通行，将对沿线居民出行影响降低到最小，同时施工行为是暂时的，当施工结束后，这种不利影响将不再存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358" w:type="pct"/>
            <w:noWrap w:val="0"/>
            <w:tcMar>
              <w:left w:w="28" w:type="dxa"/>
              <w:right w:w="28"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default" w:cs="宋体"/>
                <w:bCs/>
                <w:color w:val="000000" w:themeColor="text1"/>
                <w:kern w:val="2"/>
                <w:sz w:val="21"/>
                <w:szCs w:val="21"/>
                <w:highlight w:val="none"/>
                <w14:textFill>
                  <w14:solidFill>
                    <w14:schemeClr w14:val="tx1"/>
                  </w14:solidFill>
                </w14:textFill>
              </w:rPr>
            </w:pPr>
            <w:r>
              <w:rPr>
                <w:rFonts w:hint="eastAsia" w:cs="宋体"/>
                <w:bCs/>
                <w:color w:val="000000" w:themeColor="text1"/>
                <w:spacing w:val="10"/>
                <w:kern w:val="2"/>
                <w:sz w:val="24"/>
                <w:szCs w:val="24"/>
                <w:highlight w:val="none"/>
                <w14:textFill>
                  <w14:solidFill>
                    <w14:schemeClr w14:val="tx1"/>
                  </w14:solidFill>
                </w14:textFill>
              </w:rPr>
              <w:t>运营期生态环境影响分析</w:t>
            </w:r>
          </w:p>
        </w:tc>
        <w:tc>
          <w:tcPr>
            <w:tcW w:w="4641" w:type="pct"/>
            <w:noWrap w:val="0"/>
            <w:vAlign w:val="top"/>
          </w:tcPr>
          <w:p>
            <w:pPr>
              <w:pStyle w:val="4"/>
              <w:widowControl/>
              <w:suppressLineNumbers w:val="0"/>
              <w:shd w:val="clear"/>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运营期水环境影响分析</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路面径流水环境影响分析</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由于公路项目营运期本身并不产污水，水环境影响因素主要是公路表面径流。影响公路表面径流水量和水质的因素较多，包括降雨量、车流量、两场降雨间隔时间等，其水量和水质的变化较大，污染成分比较复杂。根据目前国内对公路路面径流浓度的测试结果，降雨初期到形成路面径流的30min内，水中悬浮物和石油类浓度较高，半个小时后，其浓度随着降雨历时延长而较快下降，降雨历时40-60min后，路面基本被冲刷干净，路面径流污染物浓度基本稳定在较低水平。根据公路路面径流类比调查资料，公路路面径流1小时后仅有悬浮物浓度超过《污水综合排放标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GB8978-1998</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表4 一级标准，其余均能达标。由于本项目公路路面与其穿越地面相比，仅占很小部分，且随着降雨历时增加，公路表面径流污染物浓度迅速下降，加之公路表面径流是短期和暂时的，因而对周边水环境影响不大。路面径流通过边沟、桥涵等排水构造物将水排入天然河沟。采取车辆运输散落控制、路面清扫等非工程措施和绿化植被过滤带、植草渠道、干式滞留池等工程措施，可对本项目公路表面径流污染物进行有效控制。</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w:t>
            </w:r>
            <w:r>
              <w:rPr>
                <w:rFonts w:hint="default"/>
                <w:color w:val="000000" w:themeColor="text1"/>
                <w:highlight w:val="none"/>
                <w:lang w:val="en-US" w:eastAsia="zh-CN"/>
                <w14:textFill>
                  <w14:solidFill>
                    <w14:schemeClr w14:val="tx1"/>
                  </w14:solidFill>
                </w14:textFill>
              </w:rPr>
              <w:t>项目对</w:t>
            </w:r>
            <w:r>
              <w:rPr>
                <w:rFonts w:hint="eastAsia"/>
                <w:color w:val="000000" w:themeColor="text1"/>
                <w:highlight w:val="none"/>
                <w:lang w:val="en-US" w:eastAsia="zh-CN"/>
                <w14:textFill>
                  <w14:solidFill>
                    <w14:schemeClr w14:val="tx1"/>
                  </w14:solidFill>
                </w14:textFill>
              </w:rPr>
              <w:t>山前</w:t>
            </w:r>
            <w:r>
              <w:rPr>
                <w:rFonts w:hint="default"/>
                <w:color w:val="000000" w:themeColor="text1"/>
                <w:highlight w:val="none"/>
                <w:lang w:val="en-US" w:eastAsia="zh-CN"/>
                <w14:textFill>
                  <w14:solidFill>
                    <w14:schemeClr w14:val="tx1"/>
                  </w14:solidFill>
                </w14:textFill>
              </w:rPr>
              <w:t>水厂水源保护区的影响分析</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本项目竣工后，对原有旧路进行提标改造，增加行车安全性及舒适性，提高风险防控能力，保障饮用水水源地的安全</w:t>
            </w:r>
            <w:r>
              <w:rPr>
                <w:rFonts w:hint="eastAsia"/>
                <w:color w:val="000000" w:themeColor="text1"/>
                <w:highlight w:val="none"/>
                <w:lang w:val="en-US" w:eastAsia="zh-CN"/>
                <w14:textFill>
                  <w14:solidFill>
                    <w14:schemeClr w14:val="tx1"/>
                  </w14:solidFill>
                </w14:textFill>
              </w:rPr>
              <w:t>。同时，规定本次改造路段不允许运输危化品车辆经过，没有加重不利环境影响。</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本工程营运期对水源保护区的影响主要是路面径流对水质的影响。拟建公路建成后，公路路面径流将对该水源水质产生的影响很小</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主要表现为降雨后前30 分钟内</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本工程营运期采取了以下污染防治措施和应急设施要求：</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项目设立应急电话和监测设备，应急电话应直接连通监控中心。</w:t>
            </w: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t>运输危险品的车辆禁止经过</w:t>
            </w:r>
            <w:r>
              <w:rPr>
                <w:rFonts w:hint="eastAsia"/>
                <w:color w:val="000000" w:themeColor="text1"/>
                <w:highlight w:val="none"/>
                <w:lang w:val="en-US" w:eastAsia="zh-CN"/>
                <w14:textFill>
                  <w14:solidFill>
                    <w14:schemeClr w14:val="tx1"/>
                  </w14:solidFill>
                </w14:textFill>
              </w:rPr>
              <w:t>本工程路段</w:t>
            </w:r>
            <w:r>
              <w:rPr>
                <w:rFonts w:hint="default"/>
                <w:color w:val="000000" w:themeColor="text1"/>
                <w:highlight w:val="none"/>
                <w:lang w:val="en-US" w:eastAsia="zh-CN"/>
                <w14:textFill>
                  <w14:solidFill>
                    <w14:schemeClr w14:val="tx1"/>
                  </w14:solidFill>
                </w14:textFill>
              </w:rPr>
              <w:t>；装载煤、石灰、水泥、土方等易起尘的散货，必须加蓬覆盖后，才能上路行驶，防止撒落的材料经雨水冲刷后造成水体污染。如遇到大风、大雾等恶劣天气，则应关闭相应的路段，以降低交通事故的发生率。</w:t>
            </w: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防撞墩的高度大于汽车轮胎直径1/3。</w:t>
            </w:r>
            <w:r>
              <w:rPr>
                <w:rFonts w:hint="eastAsia"/>
                <w:color w:val="000000" w:themeColor="text1"/>
                <w:highlight w:val="none"/>
                <w:lang w:val="en-US" w:eastAsia="zh-CN"/>
                <w14:textFill>
                  <w14:solidFill>
                    <w14:schemeClr w14:val="tx1"/>
                  </w14:solidFill>
                </w14:textFill>
              </w:rPr>
              <w:t>④</w:t>
            </w:r>
            <w:r>
              <w:rPr>
                <w:rFonts w:hint="default"/>
                <w:color w:val="000000" w:themeColor="text1"/>
                <w:highlight w:val="none"/>
                <w:lang w:val="en-US" w:eastAsia="zh-CN"/>
                <w14:textFill>
                  <w14:solidFill>
                    <w14:schemeClr w14:val="tx1"/>
                  </w14:solidFill>
                </w14:textFill>
              </w:rPr>
              <w:t>建设基于视频监控的环境风险设施远程自动化控制系统，即发生环境风险事故时，主监控画面自动提醒并给出应急处理程序，同时在监控中心可以实现环境风险设施的远程控制主要为启动或关闭阀门。</w:t>
            </w:r>
            <w:r>
              <w:rPr>
                <w:rFonts w:hint="eastAsia"/>
                <w:color w:val="000000" w:themeColor="text1"/>
                <w:highlight w:val="none"/>
                <w:lang w:val="en-US" w:eastAsia="zh-CN"/>
                <w14:textFill>
                  <w14:solidFill>
                    <w14:schemeClr w14:val="tx1"/>
                  </w14:solidFill>
                </w14:textFill>
              </w:rPr>
              <w:t>⑤</w:t>
            </w:r>
            <w:r>
              <w:rPr>
                <w:rFonts w:hint="default"/>
                <w:color w:val="000000" w:themeColor="text1"/>
                <w:highlight w:val="none"/>
                <w:lang w:val="en-US" w:eastAsia="zh-CN"/>
                <w14:textFill>
                  <w14:solidFill>
                    <w14:schemeClr w14:val="tx1"/>
                  </w14:solidFill>
                </w14:textFill>
              </w:rPr>
              <w:t>设置交通警示牌、减速或限速、告示牌等标志，在敏感路段处设置交通警示牌和环境风险设施处设置应急联系告示牌。</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通过加强环境管理和风险防范，并采取以上的污染防治措施和应急措施，可确保饮用水源安全。</w:t>
            </w:r>
          </w:p>
          <w:p>
            <w:pPr>
              <w:pStyle w:val="4"/>
              <w:widowControl/>
              <w:numPr>
                <w:ilvl w:val="0"/>
                <w:numId w:val="9"/>
              </w:numPr>
              <w:suppressLineNumbers w:val="0"/>
              <w:shd w:val="clear"/>
              <w:bidi w:val="0"/>
              <w:spacing w:before="0" w:beforeAutospacing="0" w:after="0" w:afterAutospacing="0"/>
              <w:ind w:left="0" w:leftChars="0" w:right="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运营期大气环境影响分析</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本项目建成通车后，道路上行驶的各种车辆将排放出一定量的汽车尾气，尾气中主要含有CO和NO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。一般来讲，CO和NO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污染的程度与汽车尾气排放量、气象条件等有关。</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(1)预测因子</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选取预测因子为CO、NO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(2)预测内容</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分别预测通车运营后第1年、第7年和第15年，高峰小时交通量和典型气象条件下CO、NO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高峰小时浓度分布。</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(3)大气污染源强</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项目营运期各预测年各时段主要大气污染物CO、NO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的排放源强见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各预测年不同时段CO、NO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排放源强(mg/s·m)</w:t>
            </w:r>
          </w:p>
          <w:tbl>
            <w:tblPr>
              <w:tblStyle w:val="13"/>
              <w:tblW w:w="4999"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472"/>
              <w:gridCol w:w="249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pct"/>
                  <w:vMerge w:val="restart"/>
                  <w:tcBorders>
                    <w:top w:val="single" w:color="auto" w:sz="12" w:space="0"/>
                  </w:tcBorders>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特征年</w:t>
                  </w:r>
                </w:p>
              </w:tc>
              <w:tc>
                <w:tcPr>
                  <w:tcW w:w="3198" w:type="pct"/>
                  <w:gridSpan w:val="2"/>
                  <w:tcBorders>
                    <w:top w:val="single" w:color="auto" w:sz="12" w:space="0"/>
                  </w:tcBorders>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高峰小时</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pct"/>
                  <w:vMerge w:val="continue"/>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p>
              </w:tc>
              <w:tc>
                <w:tcPr>
                  <w:tcW w:w="1591" w:type="pct"/>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CO</w:t>
                  </w:r>
                </w:p>
              </w:tc>
              <w:tc>
                <w:tcPr>
                  <w:tcW w:w="1607" w:type="pct"/>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NO</w:t>
                  </w:r>
                  <w:r>
                    <w:rPr>
                      <w:rFonts w:hint="default"/>
                      <w:color w:val="000000" w:themeColor="text1"/>
                      <w:highlight w:val="none"/>
                      <w:vertAlign w:val="subscript"/>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pct"/>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年</w:t>
                  </w:r>
                </w:p>
              </w:tc>
              <w:tc>
                <w:tcPr>
                  <w:tcW w:w="2955" w:type="dxa"/>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0.0051 </w:t>
                  </w:r>
                </w:p>
              </w:tc>
              <w:tc>
                <w:tcPr>
                  <w:tcW w:w="2985" w:type="dxa"/>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0.0003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pct"/>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9</w:t>
                  </w:r>
                  <w:r>
                    <w:rPr>
                      <w:rFonts w:hint="default"/>
                      <w:color w:val="000000" w:themeColor="text1"/>
                      <w:highlight w:val="none"/>
                      <w14:textFill>
                        <w14:solidFill>
                          <w14:schemeClr w14:val="tx1"/>
                        </w14:solidFill>
                      </w14:textFill>
                    </w:rPr>
                    <w:t>年</w:t>
                  </w:r>
                </w:p>
              </w:tc>
              <w:tc>
                <w:tcPr>
                  <w:tcW w:w="2955" w:type="dxa"/>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0.0067 </w:t>
                  </w:r>
                </w:p>
              </w:tc>
              <w:tc>
                <w:tcPr>
                  <w:tcW w:w="2985" w:type="dxa"/>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0.0003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pct"/>
                  <w:tcBorders>
                    <w:bottom w:val="single" w:color="auto" w:sz="12" w:space="0"/>
                  </w:tcBorders>
                  <w:shd w:val="clear" w:color="auto" w:fill="auto"/>
                  <w:vAlign w:val="center"/>
                </w:tcPr>
                <w:p>
                  <w:pPr>
                    <w:keepNext w:val="0"/>
                    <w:keepLines w:val="0"/>
                    <w:widowControl/>
                    <w:suppressLineNumbers w:val="0"/>
                    <w:shd w:val="clear"/>
                    <w:snapToGrid/>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203</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年</w:t>
                  </w:r>
                </w:p>
              </w:tc>
              <w:tc>
                <w:tcPr>
                  <w:tcW w:w="2955" w:type="dxa"/>
                  <w:tcBorders>
                    <w:bottom w:val="single" w:color="auto" w:sz="12"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0.0107 </w:t>
                  </w:r>
                </w:p>
              </w:tc>
              <w:tc>
                <w:tcPr>
                  <w:tcW w:w="2985" w:type="dxa"/>
                  <w:tcBorders>
                    <w:bottom w:val="single" w:color="auto" w:sz="12"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0.0005 </w:t>
                  </w:r>
                </w:p>
              </w:tc>
            </w:tr>
          </w:tbl>
          <w:p>
            <w:pPr>
              <w:keepNext w:val="0"/>
              <w:keepLines w:val="0"/>
              <w:suppressLineNumbers w:val="0"/>
              <w:shd w:val="clear"/>
              <w:spacing w:before="0" w:beforeAutospacing="0" w:after="0" w:afterAutospacing="0"/>
              <w:ind w:left="0" w:right="0" w:firstLine="48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(4)预测模式</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根据预测内容和工程路段特征，预测模型及有关参数采用《公路建设项目环境影响评价规范(试行)》(JTGB03-2006)中推荐的公式。</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1 \* GB3 </w:instrText>
            </w:r>
            <w:r>
              <w:rPr>
                <w:rFonts w:hint="default"/>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①</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当风向与线源夹角为0&lt;θ&lt;90°时，计算任意形状线源的积分扩散模式为：</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5055870" cy="499110"/>
                  <wp:effectExtent l="0" t="0" r="0" b="1524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30"/>
                          <a:stretch>
                            <a:fillRect/>
                          </a:stretch>
                        </pic:blipFill>
                        <pic:spPr>
                          <a:xfrm>
                            <a:off x="0" y="0"/>
                            <a:ext cx="5055870" cy="499110"/>
                          </a:xfrm>
                          <a:prstGeom prst="rect">
                            <a:avLst/>
                          </a:prstGeom>
                          <a:noFill/>
                          <a:ln>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式中：CPR——道路线源AB段对预测点R0产生的污染物浓度，mg/m3；</w:t>
            </w:r>
          </w:p>
          <w:p>
            <w:pPr>
              <w:pStyle w:val="21"/>
              <w:shd w:val="clear"/>
              <w:bidi w:val="0"/>
              <w:ind w:firstLine="720" w:firstLineChars="300"/>
              <w:rPr>
                <w:rFonts w:hint="default"/>
                <w:color w:val="000000" w:themeColor="text1"/>
                <w:highlight w:val="none"/>
                <w14:textFill>
                  <w14:solidFill>
                    <w14:schemeClr w14:val="tx1"/>
                  </w14:solidFill>
                </w14:textFill>
              </w:rPr>
            </w:pPr>
            <w:bookmarkStart w:id="14" w:name="_Toc88482959"/>
            <w:r>
              <w:rPr>
                <w:rFonts w:hint="default"/>
                <w:color w:val="000000" w:themeColor="text1"/>
                <w:highlight w:val="none"/>
                <w14:textFill>
                  <w14:solidFill>
                    <w14:schemeClr w14:val="tx1"/>
                  </w14:solidFill>
                </w14:textFill>
              </w:rPr>
              <w:t>U——预测路段有效排放源高处的平均风速，m/s；</w:t>
            </w:r>
            <w:bookmarkEnd w:id="14"/>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Q</w:t>
            </w:r>
            <w:r>
              <w:rPr>
                <w:rFonts w:hint="default"/>
                <w:color w:val="000000" w:themeColor="text1"/>
                <w:highlight w:val="none"/>
                <w:vertAlign w:val="subscript"/>
                <w14:textFill>
                  <w14:solidFill>
                    <w14:schemeClr w14:val="tx1"/>
                  </w14:solidFill>
                </w14:textFill>
              </w:rPr>
              <w:t>j</w:t>
            </w:r>
            <w:r>
              <w:rPr>
                <w:rFonts w:hint="default"/>
                <w:color w:val="000000" w:themeColor="text1"/>
                <w:highlight w:val="none"/>
                <w14:textFill>
                  <w14:solidFill>
                    <w14:schemeClr w14:val="tx1"/>
                  </w14:solidFill>
                </w14:textFill>
              </w:rPr>
              <w:t>——气态j类污染物排放源强度，mg/辆.m；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σy，σz——水平横风向和垂直向扩散参数，m；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x——线源微元中点至预测点的下风向距离，m；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y——线源微元中点至预测点的横风向距离，m；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z——预测点至地面高度，m；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h——有效排放源高度，m，取0.5m；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A，B——线源起点及终点。</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为保证预测精度，上限所需线源长度按</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14:textFill>
                  <w14:solidFill>
                    <w14:schemeClr w14:val="tx1"/>
                  </w14:solidFill>
                </w14:textFill>
              </w:rPr>
              <w:t>取值。</w:t>
            </w: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线源长度取值</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959"/>
              <w:gridCol w:w="1659"/>
              <w:gridCol w:w="1138"/>
              <w:gridCol w:w="1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公路线形</w:t>
                  </w:r>
                </w:p>
              </w:tc>
              <w:tc>
                <w:tcPr>
                  <w:tcW w:w="2417" w:type="pct"/>
                  <w:gridSpan w:val="3"/>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直线</w:t>
                  </w:r>
                </w:p>
              </w:tc>
              <w:tc>
                <w:tcPr>
                  <w:tcW w:w="1112"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曲线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风速矢量与线源交角θ</w:t>
                  </w:r>
                </w:p>
              </w:tc>
              <w:tc>
                <w:tcPr>
                  <w:tcW w:w="617"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θ&gt;45°</w:t>
                  </w:r>
                </w:p>
              </w:tc>
              <w:tc>
                <w:tcPr>
                  <w:tcW w:w="1067"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45°≥θ≥22.5°</w:t>
                  </w:r>
                </w:p>
              </w:tc>
              <w:tc>
                <w:tcPr>
                  <w:tcW w:w="732"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θ&lt;22.5°</w:t>
                  </w:r>
                </w:p>
              </w:tc>
              <w:tc>
                <w:tcPr>
                  <w:tcW w:w="1112"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R点在曲线内侧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预测线源长度(m)</w:t>
                  </w:r>
                </w:p>
              </w:tc>
              <w:tc>
                <w:tcPr>
                  <w:tcW w:w="617"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800</w:t>
                  </w:r>
                </w:p>
              </w:tc>
              <w:tc>
                <w:tcPr>
                  <w:tcW w:w="1067"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1500</w:t>
                  </w:r>
                </w:p>
              </w:tc>
              <w:tc>
                <w:tcPr>
                  <w:tcW w:w="732"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2000</w:t>
                  </w:r>
                </w:p>
              </w:tc>
              <w:tc>
                <w:tcPr>
                  <w:tcW w:w="1112" w:type="pct"/>
                  <w:vAlign w:val="center"/>
                </w:tcPr>
                <w:p>
                  <w:pPr>
                    <w:keepNext w:val="0"/>
                    <w:keepLines w:val="0"/>
                    <w:suppressLineNumbers w:val="0"/>
                    <w:shd w:val="clear"/>
                    <w:adjustRightInd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2000</w:t>
                  </w:r>
                </w:p>
              </w:tc>
            </w:tr>
          </w:tbl>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rFonts w:hint="default"/>
                <w:color w:val="000000" w:themeColor="text1"/>
                <w:highlight w:val="none"/>
                <w14:textFill>
                  <w14:solidFill>
                    <w14:schemeClr w14:val="tx1"/>
                  </w14:solidFill>
                </w14:textFill>
              </w:rPr>
              <w:t>当风向与线源垂直(θ＝90°)时，其地面污染物浓度扩散模式如下：</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866265" cy="457200"/>
                  <wp:effectExtent l="0" t="0" r="635"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31"/>
                          <a:stretch>
                            <a:fillRect/>
                          </a:stretch>
                        </pic:blipFill>
                        <pic:spPr>
                          <a:xfrm>
                            <a:off x="0" y="0"/>
                            <a:ext cx="1866265" cy="457200"/>
                          </a:xfrm>
                          <a:prstGeom prst="rect">
                            <a:avLst/>
                          </a:prstGeom>
                          <a:noFill/>
                          <a:ln>
                            <a:noFill/>
                          </a:ln>
                        </pic:spPr>
                      </pic:pic>
                    </a:graphicData>
                  </a:graphic>
                </wp:inline>
              </w:drawing>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default"/>
                <w:color w:val="000000" w:themeColor="text1"/>
                <w:highlight w:val="none"/>
                <w14:textFill>
                  <w14:solidFill>
                    <w14:schemeClr w14:val="tx1"/>
                  </w14:solidFill>
                </w14:textFill>
              </w:rPr>
              <w:t>当风向与线源平行(θ＝0°)时，其地面污染浓度扩散模式如下：</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293495" cy="410845"/>
                  <wp:effectExtent l="0" t="0" r="1905" b="7620"/>
                  <wp:docPr id="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pic:cNvPicPr>
                            <a:picLocks noChangeAspect="1"/>
                          </pic:cNvPicPr>
                        </pic:nvPicPr>
                        <pic:blipFill>
                          <a:blip r:embed="rId32"/>
                          <a:stretch>
                            <a:fillRect/>
                          </a:stretch>
                        </pic:blipFill>
                        <pic:spPr>
                          <a:xfrm>
                            <a:off x="0" y="0"/>
                            <a:ext cx="1293495" cy="410845"/>
                          </a:xfrm>
                          <a:prstGeom prst="rect">
                            <a:avLst/>
                          </a:prstGeom>
                          <a:noFill/>
                          <a:ln>
                            <a:noFill/>
                          </a:ln>
                        </pic:spPr>
                      </pic:pic>
                    </a:graphicData>
                  </a:graphic>
                </wp:inline>
              </w:drawing>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其中：  </w:t>
            </w:r>
            <w:r>
              <w:rPr>
                <w:rFonts w:hint="default"/>
                <w:color w:val="000000" w:themeColor="text1"/>
                <w:highlight w:val="none"/>
                <w14:textFill>
                  <w14:solidFill>
                    <w14:schemeClr w14:val="tx1"/>
                  </w14:solidFill>
                </w14:textFill>
              </w:rPr>
              <w:object>
                <v:shape id="_x0000_i1029" o:spt="75" type="#_x0000_t75" style="height:35.75pt;width:74.85pt;" o:ole="t" filled="f" o:preferrelative="t" stroked="f" coordsize="21600,21600">
                  <v:path/>
                  <v:fill on="f" focussize="0,0"/>
                  <v:stroke on="f" joinstyle="miter"/>
                  <v:imagedata r:id="rId34" o:title=""/>
                  <o:lock v:ext="edit" aspectratio="t"/>
                  <w10:wrap type="none"/>
                  <w10:anchorlock/>
                </v:shape>
                <o:OLEObject Type="Embed" ProgID="Equation.3" ShapeID="_x0000_i1029" DrawAspect="Content" ObjectID="_1468075729" r:id="rId33">
                  <o:LockedField>false</o:LockedField>
                </o:OLEObject>
              </w:object>
            </w:r>
            <w:r>
              <w:rPr>
                <w:rFonts w:hint="default"/>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object>
                <v:shape id="_x0000_i1030" o:spt="75" type="#_x0000_t75" style="height:33.8pt;width:36.65pt;" o:ole="t" filled="f" o:preferrelative="t" stroked="f" coordsize="21600,21600">
                  <v:path/>
                  <v:fill on="f" focussize="0,0"/>
                  <v:stroke on="f" joinstyle="miter"/>
                  <v:imagedata r:id="rId36" o:title=""/>
                  <o:lock v:ext="edit" aspectratio="t"/>
                  <w10:wrap type="none"/>
                  <w10:anchorlock/>
                </v:shape>
                <o:OLEObject Type="Embed" ProgID="Equation.3" ShapeID="_x0000_i1030" DrawAspect="Content" ObjectID="_1468075730" r:id="rId35">
                  <o:LockedField>false</o:LockedField>
                </o:OLEObject>
              </w:objec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4 \* GB3 </w:instrText>
            </w:r>
            <w:r>
              <w:rPr>
                <w:rFonts w:hint="default"/>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④</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垂直扩散参数</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179830" cy="276225"/>
                  <wp:effectExtent l="0" t="0" r="1270" b="762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pic:cNvPicPr>
                            <a:picLocks noChangeAspect="1"/>
                          </pic:cNvPicPr>
                        </pic:nvPicPr>
                        <pic:blipFill>
                          <a:blip r:embed="rId37"/>
                          <a:stretch>
                            <a:fillRect/>
                          </a:stretch>
                        </pic:blipFill>
                        <pic:spPr>
                          <a:xfrm>
                            <a:off x="0" y="0"/>
                            <a:ext cx="1179830" cy="276225"/>
                          </a:xfrm>
                          <a:prstGeom prst="rect">
                            <a:avLst/>
                          </a:prstGeom>
                          <a:noFill/>
                          <a:ln>
                            <a:noFill/>
                          </a:ln>
                        </pic:spPr>
                      </pic:pic>
                    </a:graphicData>
                  </a:graphic>
                </wp:inline>
              </w:drawing>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065530" cy="260350"/>
                  <wp:effectExtent l="0" t="0" r="0" b="5715"/>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38"/>
                          <a:stretch>
                            <a:fillRect/>
                          </a:stretch>
                        </pic:blipFill>
                        <pic:spPr>
                          <a:xfrm>
                            <a:off x="0" y="0"/>
                            <a:ext cx="1065530" cy="260350"/>
                          </a:xfrm>
                          <a:prstGeom prst="rect">
                            <a:avLst/>
                          </a:prstGeom>
                          <a:noFill/>
                          <a:ln>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drawing>
                <wp:inline distT="0" distB="0" distL="114300" distR="114300">
                  <wp:extent cx="241300" cy="228600"/>
                  <wp:effectExtent l="0" t="0" r="6350" b="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39"/>
                          <a:stretch>
                            <a:fillRect/>
                          </a:stretch>
                        </pic:blipFill>
                        <pic:spPr>
                          <a:xfrm>
                            <a:off x="0" y="0"/>
                            <a:ext cx="241300" cy="228600"/>
                          </a:xfrm>
                          <a:prstGeom prst="rect">
                            <a:avLst/>
                          </a:prstGeom>
                          <a:noFill/>
                          <a:ln>
                            <a:noFill/>
                          </a:ln>
                        </pic:spPr>
                      </pic:pic>
                    </a:graphicData>
                  </a:graphic>
                </wp:inline>
              </w:drawing>
            </w:r>
            <w:r>
              <w:rPr>
                <w:rFonts w:hint="default"/>
                <w:color w:val="000000" w:themeColor="text1"/>
                <w:highlight w:val="none"/>
                <w14:textFill>
                  <w14:solidFill>
                    <w14:schemeClr w14:val="tx1"/>
                  </w14:solidFill>
                </w14:textFill>
              </w:rPr>
              <w:t>——常规垂直扩散参数，m；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a，b——分别为回归系数和指数，m；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241300" cy="228600"/>
                  <wp:effectExtent l="0" t="0" r="6350" b="0"/>
                  <wp:docPr id="7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pic:cNvPicPr>
                            <a:picLocks noChangeAspect="1"/>
                          </pic:cNvPicPr>
                        </pic:nvPicPr>
                        <pic:blipFill>
                          <a:blip r:embed="rId40"/>
                          <a:stretch>
                            <a:fillRect/>
                          </a:stretch>
                        </pic:blipFill>
                        <pic:spPr>
                          <a:xfrm>
                            <a:off x="0" y="0"/>
                            <a:ext cx="241300" cy="228600"/>
                          </a:xfrm>
                          <a:prstGeom prst="rect">
                            <a:avLst/>
                          </a:prstGeom>
                          <a:noFill/>
                          <a:ln>
                            <a:noFill/>
                          </a:ln>
                        </pic:spPr>
                      </pic:pic>
                    </a:graphicData>
                  </a:graphic>
                </wp:inline>
              </w:drawing>
            </w:r>
            <w:r>
              <w:rPr>
                <w:rFonts w:hint="default"/>
                <w:color w:val="000000" w:themeColor="text1"/>
                <w:highlight w:val="none"/>
                <w14:textFill>
                  <w14:solidFill>
                    <w14:schemeClr w14:val="tx1"/>
                  </w14:solidFill>
                </w14:textFill>
              </w:rPr>
              <w:t>——初始垂直扩散参数，m；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x——线源微元至预测点的下风向距离，m。</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5 \* GB3 </w:instrText>
            </w:r>
            <w:r>
              <w:rPr>
                <w:rFonts w:hint="default"/>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⑤</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水平扩散参数</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180465" cy="295275"/>
                  <wp:effectExtent l="0" t="0" r="635" b="7620"/>
                  <wp:docPr id="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pic:cNvPicPr>
                            <a:picLocks noChangeAspect="1"/>
                          </pic:cNvPicPr>
                        </pic:nvPicPr>
                        <pic:blipFill>
                          <a:blip r:embed="rId41"/>
                          <a:stretch>
                            <a:fillRect/>
                          </a:stretch>
                        </pic:blipFill>
                        <pic:spPr>
                          <a:xfrm>
                            <a:off x="0" y="0"/>
                            <a:ext cx="1180465" cy="295275"/>
                          </a:xfrm>
                          <a:prstGeom prst="rect">
                            <a:avLst/>
                          </a:prstGeom>
                          <a:noFill/>
                          <a:ln>
                            <a:noFill/>
                          </a:ln>
                        </pic:spPr>
                      </pic:pic>
                    </a:graphicData>
                  </a:graphic>
                </wp:inline>
              </w:drawing>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865630" cy="264160"/>
                  <wp:effectExtent l="0" t="0" r="127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2"/>
                          <a:stretch>
                            <a:fillRect/>
                          </a:stretch>
                        </pic:blipFill>
                        <pic:spPr>
                          <a:xfrm>
                            <a:off x="0" y="0"/>
                            <a:ext cx="1865630" cy="264160"/>
                          </a:xfrm>
                          <a:prstGeom prst="rect">
                            <a:avLst/>
                          </a:prstGeom>
                          <a:noFill/>
                          <a:ln>
                            <a:noFill/>
                          </a:ln>
                        </pic:spPr>
                      </pic:pic>
                    </a:graphicData>
                  </a:graphic>
                </wp:inline>
              </w:drawing>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408430" cy="217170"/>
                  <wp:effectExtent l="0" t="0" r="1270" b="1206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43"/>
                          <a:stretch>
                            <a:fillRect/>
                          </a:stretch>
                        </pic:blipFill>
                        <pic:spPr>
                          <a:xfrm>
                            <a:off x="0" y="0"/>
                            <a:ext cx="1408430" cy="217170"/>
                          </a:xfrm>
                          <a:prstGeom prst="rect">
                            <a:avLst/>
                          </a:prstGeom>
                          <a:noFill/>
                          <a:ln>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drawing>
                <wp:inline distT="0" distB="0" distL="114300" distR="114300">
                  <wp:extent cx="254000" cy="241300"/>
                  <wp:effectExtent l="0" t="0" r="0" b="444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44"/>
                          <a:stretch>
                            <a:fillRect/>
                          </a:stretch>
                        </pic:blipFill>
                        <pic:spPr>
                          <a:xfrm>
                            <a:off x="0" y="0"/>
                            <a:ext cx="254000" cy="241300"/>
                          </a:xfrm>
                          <a:prstGeom prst="rect">
                            <a:avLst/>
                          </a:prstGeom>
                          <a:noFill/>
                          <a:ln>
                            <a:noFill/>
                          </a:ln>
                        </pic:spPr>
                      </pic:pic>
                    </a:graphicData>
                  </a:graphic>
                </wp:inline>
              </w:drawing>
            </w:r>
            <w:r>
              <w:rPr>
                <w:rFonts w:hint="default"/>
                <w:color w:val="000000" w:themeColor="text1"/>
                <w:highlight w:val="none"/>
                <w14:textFill>
                  <w14:solidFill>
                    <w14:schemeClr w14:val="tx1"/>
                  </w14:solidFill>
                </w14:textFill>
              </w:rPr>
              <w:t>——常规水平横风向扩散参数，m；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254000" cy="241300"/>
                  <wp:effectExtent l="0" t="0" r="0" b="4445"/>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45"/>
                          <a:stretch>
                            <a:fillRect/>
                          </a:stretch>
                        </pic:blipFill>
                        <pic:spPr>
                          <a:xfrm>
                            <a:off x="0" y="0"/>
                            <a:ext cx="254000" cy="241300"/>
                          </a:xfrm>
                          <a:prstGeom prst="rect">
                            <a:avLst/>
                          </a:prstGeom>
                          <a:noFill/>
                          <a:ln>
                            <a:noFill/>
                          </a:ln>
                        </pic:spPr>
                      </pic:pic>
                    </a:graphicData>
                  </a:graphic>
                </wp:inline>
              </w:drawing>
            </w:r>
            <w:r>
              <w:rPr>
                <w:rFonts w:hint="default"/>
                <w:color w:val="000000" w:themeColor="text1"/>
                <w:highlight w:val="none"/>
                <w14:textFill>
                  <w14:solidFill>
                    <w14:schemeClr w14:val="tx1"/>
                  </w14:solidFill>
                </w14:textFill>
              </w:rPr>
              <w:t>——初始水平扩散参数，m；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90500" cy="215900"/>
                  <wp:effectExtent l="0" t="0" r="0" b="13970"/>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46"/>
                          <a:stretch>
                            <a:fillRect/>
                          </a:stretch>
                        </pic:blipFill>
                        <pic:spPr>
                          <a:xfrm>
                            <a:off x="0" y="0"/>
                            <a:ext cx="190500" cy="215900"/>
                          </a:xfrm>
                          <a:prstGeom prst="rect">
                            <a:avLst/>
                          </a:prstGeom>
                          <a:noFill/>
                          <a:ln>
                            <a:noFill/>
                          </a:ln>
                        </pic:spPr>
                      </pic:pic>
                    </a:graphicData>
                  </a:graphic>
                </wp:inline>
              </w:drawing>
            </w:r>
            <w:r>
              <w:rPr>
                <w:rFonts w:hint="default"/>
                <w:color w:val="000000" w:themeColor="text1"/>
                <w:highlight w:val="none"/>
                <w14:textFill>
                  <w14:solidFill>
                    <w14:schemeClr w14:val="tx1"/>
                  </w14:solidFill>
                </w14:textFill>
              </w:rPr>
              <w:t>——烟羽水平扩散半角，(°)；</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x——线源微元中点至预测点的下风向距离，m；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c、d——回归系数。</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(5)预测结果及分析</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拟建</w:t>
            </w:r>
            <w:r>
              <w:rPr>
                <w:rFonts w:hint="eastAsia"/>
                <w:color w:val="000000" w:themeColor="text1"/>
                <w:highlight w:val="none"/>
                <w:lang w:val="en-US" w:eastAsia="zh-CN"/>
                <w14:textFill>
                  <w14:solidFill>
                    <w14:schemeClr w14:val="tx1"/>
                  </w14:solidFill>
                </w14:textFill>
              </w:rPr>
              <w:t>公路</w:t>
            </w:r>
            <w:r>
              <w:rPr>
                <w:rFonts w:hint="default"/>
                <w:color w:val="000000" w:themeColor="text1"/>
                <w:highlight w:val="none"/>
                <w14:textFill>
                  <w14:solidFill>
                    <w14:schemeClr w14:val="tx1"/>
                  </w14:solidFill>
                </w14:textFill>
              </w:rPr>
              <w:t>通车运营后，各路段运营近期、中期、远期汽车尾气CO、NO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浓度预测以最不利的风向与线源垂直情况下进行预测，结果见表</w:t>
            </w:r>
            <w:r>
              <w:rPr>
                <w:rFonts w:hint="eastAsia"/>
                <w:color w:val="000000" w:themeColor="text1"/>
                <w:highlight w:val="none"/>
                <w:lang w:val="en-US" w:eastAsia="zh-CN"/>
                <w14:textFill>
                  <w14:solidFill>
                    <w14:schemeClr w14:val="tx1"/>
                  </w14:solidFill>
                </w14:textFill>
              </w:rPr>
              <w:t>34</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35</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CO浓度增量分布一览表单位：mg/m</w:t>
            </w:r>
            <w:r>
              <w:rPr>
                <w:rFonts w:hint="default"/>
                <w:color w:val="000000" w:themeColor="text1"/>
                <w:highlight w:val="none"/>
                <w:vertAlign w:val="superscript"/>
                <w14:textFill>
                  <w14:solidFill>
                    <w14:schemeClr w14:val="tx1"/>
                  </w14:solidFill>
                </w14:textFill>
              </w:rPr>
              <w:t>3</w:t>
            </w:r>
          </w:p>
          <w:tbl>
            <w:tblPr>
              <w:tblStyle w:val="13"/>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1"/>
              <w:gridCol w:w="1941"/>
              <w:gridCol w:w="1942"/>
              <w:gridCol w:w="194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0" w:type="pct"/>
                  <w:tcBorders>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与中心线距离</w:t>
                  </w:r>
                  <w:r>
                    <w:rPr>
                      <w:rFonts w:hint="default" w:cs="Times New Roman"/>
                      <w:color w:val="000000" w:themeColor="text1"/>
                      <w:szCs w:val="20"/>
                      <w:highlight w:val="none"/>
                      <w:lang w:val="en-US" w:eastAsia="zh-CN"/>
                      <w14:textFill>
                        <w14:solidFill>
                          <w14:schemeClr w14:val="tx1"/>
                        </w14:solidFill>
                      </w14:textFill>
                    </w:rPr>
                    <w:t>(m)</w:t>
                  </w:r>
                </w:p>
              </w:tc>
              <w:tc>
                <w:tcPr>
                  <w:tcW w:w="1250" w:type="pct"/>
                  <w:tcBorders>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w:t>
                  </w:r>
                  <w:r>
                    <w:rPr>
                      <w:rFonts w:hint="eastAsia" w:cs="Times New Roman"/>
                      <w:color w:val="000000" w:themeColor="text1"/>
                      <w:szCs w:val="20"/>
                      <w:highlight w:val="none"/>
                      <w:lang w:val="en-US" w:eastAsia="zh-CN"/>
                      <w14:textFill>
                        <w14:solidFill>
                          <w14:schemeClr w14:val="tx1"/>
                        </w14:solidFill>
                      </w14:textFill>
                    </w:rPr>
                    <w:t>3</w:t>
                  </w:r>
                  <w:r>
                    <w:rPr>
                      <w:rFonts w:hint="default" w:cs="Times New Roman"/>
                      <w:color w:val="000000" w:themeColor="text1"/>
                      <w:szCs w:val="20"/>
                      <w:highlight w:val="none"/>
                      <w:lang w:val="en-US" w:eastAsia="zh-CN"/>
                      <w14:textFill>
                        <w14:solidFill>
                          <w14:schemeClr w14:val="tx1"/>
                        </w14:solidFill>
                      </w14:textFill>
                    </w:rPr>
                    <w:t>年</w:t>
                  </w:r>
                </w:p>
              </w:tc>
              <w:tc>
                <w:tcPr>
                  <w:tcW w:w="1250" w:type="pct"/>
                  <w:tcBorders>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w:t>
                  </w:r>
                  <w:r>
                    <w:rPr>
                      <w:rFonts w:hint="eastAsia" w:cs="Times New Roman"/>
                      <w:color w:val="000000" w:themeColor="text1"/>
                      <w:szCs w:val="20"/>
                      <w:highlight w:val="none"/>
                      <w:lang w:val="en-US" w:eastAsia="zh-CN"/>
                      <w14:textFill>
                        <w14:solidFill>
                          <w14:schemeClr w14:val="tx1"/>
                        </w14:solidFill>
                      </w14:textFill>
                    </w:rPr>
                    <w:t>9</w:t>
                  </w:r>
                  <w:r>
                    <w:rPr>
                      <w:rFonts w:hint="default" w:cs="Times New Roman"/>
                      <w:color w:val="000000" w:themeColor="text1"/>
                      <w:szCs w:val="20"/>
                      <w:highlight w:val="none"/>
                      <w:lang w:val="en-US" w:eastAsia="zh-CN"/>
                      <w14:textFill>
                        <w14:solidFill>
                          <w14:schemeClr w14:val="tx1"/>
                        </w14:solidFill>
                      </w14:textFill>
                    </w:rPr>
                    <w:t>年</w:t>
                  </w:r>
                </w:p>
              </w:tc>
              <w:tc>
                <w:tcPr>
                  <w:tcW w:w="1250" w:type="pct"/>
                  <w:tcBorders>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w:t>
                  </w:r>
                  <w:r>
                    <w:rPr>
                      <w:rFonts w:hint="eastAsia" w:cs="Times New Roman"/>
                      <w:color w:val="000000" w:themeColor="text1"/>
                      <w:szCs w:val="20"/>
                      <w:highlight w:val="none"/>
                      <w:lang w:val="en-US" w:eastAsia="zh-CN"/>
                      <w14:textFill>
                        <w14:solidFill>
                          <w14:schemeClr w14:val="tx1"/>
                        </w14:solidFill>
                      </w14:textFill>
                    </w:rPr>
                    <w:t>7</w:t>
                  </w:r>
                  <w:r>
                    <w:rPr>
                      <w:rFonts w:hint="default" w:cs="Times New Roman"/>
                      <w:color w:val="000000" w:themeColor="text1"/>
                      <w:szCs w:val="20"/>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1.27E-03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1.66E-03</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2.66E-03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9.08E-04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1.19E-03</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1.90E-03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5.43E-04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7.13E-04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1.14E-03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3.84E-04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5.05E-04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8.06E-04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2.98E-04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3.91E-04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6.25E-04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2.44E-04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3.20E-04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5.12E-04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2.07E-04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2.72E-04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4.34E-04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1.80E-04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2.36E-04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3.77E-04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160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1.59E-04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2.09E-04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3.34E-04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180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1.43E-04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1.87E-04</w:t>
                  </w:r>
                </w:p>
              </w:tc>
              <w:tc>
                <w:tcPr>
                  <w:tcW w:w="1250"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2.99E-04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250" w:type="pct"/>
                  <w:tcBorders>
                    <w:top w:val="nil"/>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200</w:t>
                  </w:r>
                </w:p>
              </w:tc>
              <w:tc>
                <w:tcPr>
                  <w:tcW w:w="1250" w:type="pct"/>
                  <w:tcBorders>
                    <w:top w:val="single" w:color="000000" w:sz="4" w:space="0"/>
                    <w:left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1.30E-04</w:t>
                  </w:r>
                </w:p>
              </w:tc>
              <w:tc>
                <w:tcPr>
                  <w:tcW w:w="1250" w:type="pct"/>
                  <w:tcBorders>
                    <w:top w:val="single" w:color="000000" w:sz="4" w:space="0"/>
                    <w:left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1.70E-04</w:t>
                  </w:r>
                </w:p>
              </w:tc>
              <w:tc>
                <w:tcPr>
                  <w:tcW w:w="1250" w:type="pct"/>
                  <w:tcBorders>
                    <w:top w:val="single" w:color="000000" w:sz="4" w:space="0"/>
                    <w:lef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2.72E-04</w:t>
                  </w:r>
                </w:p>
              </w:tc>
            </w:tr>
          </w:tbl>
          <w:p>
            <w:pPr>
              <w:keepNext w:val="0"/>
              <w:keepLines w:val="0"/>
              <w:suppressLineNumbers w:val="0"/>
              <w:shd w:val="clear"/>
              <w:spacing w:before="0" w:beforeAutospacing="0" w:after="0" w:afterAutospacing="0"/>
              <w:ind w:left="0" w:right="0"/>
              <w:rPr>
                <w:rFonts w:hint="default"/>
                <w:color w:val="000000" w:themeColor="text1"/>
                <w:highlight w:val="none"/>
                <w14:textFill>
                  <w14:solidFill>
                    <w14:schemeClr w14:val="tx1"/>
                  </w14:solidFill>
                </w14:textFill>
              </w:rPr>
            </w:pPr>
          </w:p>
          <w:p>
            <w:pPr>
              <w:pStyle w:val="18"/>
              <w:keepNext w:val="0"/>
              <w:keepLines w:val="0"/>
              <w:suppressLineNumbers w:val="0"/>
              <w:shd w:val="clear"/>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浓度增量分布一览表单位：mg/m</w:t>
            </w:r>
            <w:r>
              <w:rPr>
                <w:rFonts w:hint="default"/>
                <w:color w:val="000000" w:themeColor="text1"/>
                <w:highlight w:val="none"/>
                <w:vertAlign w:val="superscript"/>
                <w14:textFill>
                  <w14:solidFill>
                    <w14:schemeClr w14:val="tx1"/>
                  </w14:solidFill>
                </w14:textFill>
              </w:rPr>
              <w:t>3</w:t>
            </w:r>
          </w:p>
          <w:tbl>
            <w:tblPr>
              <w:tblStyle w:val="13"/>
              <w:tblW w:w="7821"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
              <w:gridCol w:w="1935"/>
              <w:gridCol w:w="1951"/>
              <w:gridCol w:w="1952"/>
              <w:gridCol w:w="1952"/>
              <w:gridCol w:w="1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与中心线距离</w:t>
                  </w:r>
                  <w:r>
                    <w:rPr>
                      <w:rFonts w:hint="default" w:cs="Times New Roman"/>
                      <w:color w:val="000000" w:themeColor="text1"/>
                      <w:szCs w:val="20"/>
                      <w:highlight w:val="none"/>
                      <w:lang w:val="en-US" w:eastAsia="zh-CN"/>
                      <w14:textFill>
                        <w14:solidFill>
                          <w14:schemeClr w14:val="tx1"/>
                        </w14:solidFill>
                      </w14:textFill>
                    </w:rPr>
                    <w:t>(m)</w:t>
                  </w:r>
                </w:p>
              </w:tc>
              <w:tc>
                <w:tcPr>
                  <w:tcW w:w="1247" w:type="pct"/>
                  <w:tcBorders>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2023年</w:t>
                  </w:r>
                </w:p>
              </w:tc>
              <w:tc>
                <w:tcPr>
                  <w:tcW w:w="1247" w:type="pct"/>
                  <w:tcBorders>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2029年</w:t>
                  </w:r>
                </w:p>
              </w:tc>
              <w:tc>
                <w:tcPr>
                  <w:tcW w:w="1247" w:type="pct"/>
                  <w:tcBorders>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2037年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7.45E-05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7.45E-05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1.24E-04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5.34E-05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5.34E-05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8.90E-05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3.19E-05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3.19E-05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5.32E-05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60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2.26E-05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2.26E-05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3.77E-05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1.75E-05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1.75E-05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2.92E-05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1.43E-05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1.43E-05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2.39E-05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1.22E-05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1.22E-05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140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1.06E-05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1.06E-05</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1.76E-05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160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9.35E-06</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9.35E-06</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1.56E-05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pct"/>
                <w:trHeight w:val="340" w:hRule="atLeast"/>
              </w:trPr>
              <w:tc>
                <w:tcPr>
                  <w:tcW w:w="1246" w:type="pct"/>
                  <w:gridSpan w:val="2"/>
                  <w:tcBorders>
                    <w:top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180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8.39E-06</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8.39E-06</w:t>
                  </w:r>
                </w:p>
              </w:tc>
              <w:tc>
                <w:tcPr>
                  <w:tcW w:w="1247" w:type="pct"/>
                  <w:tcBorders>
                    <w:top w:val="single" w:color="000000" w:sz="4" w:space="0"/>
                    <w:left w:val="single" w:color="000000" w:sz="4" w:space="0"/>
                    <w:bottom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1.40E-05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9" w:type="pct"/>
                <w:trHeight w:val="340" w:hRule="atLeast"/>
              </w:trPr>
              <w:tc>
                <w:tcPr>
                  <w:tcW w:w="1237" w:type="pct"/>
                  <w:tcBorders>
                    <w:top w:val="nil"/>
                    <w:right w:val="nil"/>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200</w:t>
                  </w:r>
                </w:p>
              </w:tc>
              <w:tc>
                <w:tcPr>
                  <w:tcW w:w="1247" w:type="pct"/>
                  <w:tcBorders>
                    <w:top w:val="single" w:color="000000" w:sz="4" w:space="0"/>
                    <w:left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7.62E-06</w:t>
                  </w:r>
                </w:p>
              </w:tc>
              <w:tc>
                <w:tcPr>
                  <w:tcW w:w="1247" w:type="pct"/>
                  <w:tcBorders>
                    <w:top w:val="single" w:color="000000" w:sz="4" w:space="0"/>
                    <w:left w:val="single" w:color="000000" w:sz="4" w:space="0"/>
                    <w:righ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7.62E-06</w:t>
                  </w:r>
                </w:p>
              </w:tc>
              <w:tc>
                <w:tcPr>
                  <w:tcW w:w="1258" w:type="pct"/>
                  <w:gridSpan w:val="2"/>
                  <w:tcBorders>
                    <w:top w:val="single" w:color="000000" w:sz="4" w:space="0"/>
                    <w:left w:val="single" w:color="000000" w:sz="4" w:space="0"/>
                  </w:tcBorders>
                  <w:shd w:val="clear" w:color="auto" w:fill="auto"/>
                  <w:vAlign w:val="bottom"/>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1.27E-05</w:t>
                  </w:r>
                </w:p>
              </w:tc>
            </w:tr>
          </w:tbl>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由表</w:t>
            </w:r>
            <w:r>
              <w:rPr>
                <w:rFonts w:hint="eastAsia"/>
                <w:color w:val="000000" w:themeColor="text1"/>
                <w:highlight w:val="none"/>
                <w:lang w:val="en-US" w:eastAsia="zh-CN"/>
                <w14:textFill>
                  <w14:solidFill>
                    <w14:schemeClr w14:val="tx1"/>
                  </w14:solidFill>
                </w14:textFill>
              </w:rPr>
              <w:t>31</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32</w:t>
            </w:r>
            <w:r>
              <w:rPr>
                <w:rFonts w:hint="default"/>
                <w:color w:val="000000" w:themeColor="text1"/>
                <w:highlight w:val="none"/>
                <w14:textFill>
                  <w14:solidFill>
                    <w14:schemeClr w14:val="tx1"/>
                  </w14:solidFill>
                </w14:textFill>
              </w:rPr>
              <w:t>可知，拟建</w:t>
            </w:r>
            <w:r>
              <w:rPr>
                <w:rFonts w:hint="eastAsia"/>
                <w:color w:val="000000" w:themeColor="text1"/>
                <w:highlight w:val="none"/>
                <w:lang w:val="en-US" w:eastAsia="zh-CN"/>
                <w14:textFill>
                  <w14:solidFill>
                    <w14:schemeClr w14:val="tx1"/>
                  </w14:solidFill>
                </w14:textFill>
              </w:rPr>
              <w:t>公路</w:t>
            </w:r>
            <w:r>
              <w:rPr>
                <w:rFonts w:hint="default"/>
                <w:color w:val="000000" w:themeColor="text1"/>
                <w:highlight w:val="none"/>
                <w14:textFill>
                  <w14:solidFill>
                    <w14:schemeClr w14:val="tx1"/>
                  </w14:solidFill>
                </w14:textFill>
              </w:rPr>
              <w:t>汽车尾气中CO、NO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对道路两侧的浓度贡献值较小，对周边环境所在地的贡献值叠加现状监测结果中的背景值后叠加值远小于《环境空气质量标准》(GB3095-2012及修改单)中CO、NO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小时均值二级标准浓度限值10mg/m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、200ug/m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。拟建道路汽车尾气对</w:t>
            </w:r>
            <w:r>
              <w:rPr>
                <w:rFonts w:hint="eastAsia"/>
                <w:color w:val="000000" w:themeColor="text1"/>
                <w:highlight w:val="none"/>
                <w:lang w:val="en-US" w:eastAsia="zh-CN"/>
                <w14:textFill>
                  <w14:solidFill>
                    <w14:schemeClr w14:val="tx1"/>
                  </w14:solidFill>
                </w14:textFill>
              </w:rPr>
              <w:t>溪底</w:t>
            </w:r>
            <w:r>
              <w:rPr>
                <w:rFonts w:hint="default"/>
                <w:color w:val="000000" w:themeColor="text1"/>
                <w:highlight w:val="none"/>
                <w14:textFill>
                  <w14:solidFill>
                    <w14:schemeClr w14:val="tx1"/>
                  </w14:solidFill>
                </w14:textFill>
              </w:rPr>
              <w:t>村居民的大气环境影响较小。</w:t>
            </w:r>
          </w:p>
          <w:p>
            <w:pPr>
              <w:pStyle w:val="4"/>
              <w:widowControl/>
              <w:numPr>
                <w:ilvl w:val="0"/>
                <w:numId w:val="9"/>
              </w:numPr>
              <w:suppressLineNumbers w:val="0"/>
              <w:shd w:val="clear"/>
              <w:bidi w:val="0"/>
              <w:spacing w:before="0" w:beforeAutospacing="0" w:after="0" w:afterAutospacing="0"/>
              <w:ind w:left="0" w:leftChars="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运营期噪声环境影响分析</w:t>
            </w:r>
          </w:p>
          <w:p>
            <w:pPr>
              <w:pStyle w:val="21"/>
              <w:shd w:val="clear"/>
              <w:bidi w:val="0"/>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本评价采用《环境影响评价技术导则—声环境》(HJ2.4-20</w:t>
            </w:r>
            <w:r>
              <w:rPr>
                <w:rFonts w:hint="eastAsia" w:cs="Times New Roman"/>
                <w:color w:val="000000" w:themeColor="text1"/>
                <w:highlight w:val="none"/>
                <w:lang w:val="en-US" w:eastAsia="zh-CN"/>
                <w14:textFill>
                  <w14:solidFill>
                    <w14:schemeClr w14:val="tx1"/>
                  </w14:solidFill>
                </w14:textFill>
              </w:rPr>
              <w:t>21</w:t>
            </w:r>
            <w:r>
              <w:rPr>
                <w:rFonts w:hint="default" w:cs="Times New Roman"/>
                <w:color w:val="000000" w:themeColor="text1"/>
                <w:highlight w:val="none"/>
                <w14:textFill>
                  <w14:solidFill>
                    <w14:schemeClr w14:val="tx1"/>
                  </w14:solidFill>
                </w14:textFill>
              </w:rPr>
              <w:t>)推荐模式。其预测思路是先按大中小型车分别求出小时等效声级，再将各类型车等效声级叠加求得总车流等效声级，最后再与现状监测的背景值叠加得出最终预测噪声值，并评价其是否超标及超标量。且由于周边村庄均以2~3层建筑物为主，因此，本次预测仅做水平向预测。</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3.1基本预测模型</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第i类车等效声级的预测模型</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4318000" cy="482600"/>
                  <wp:effectExtent l="0" t="0" r="6350" b="13335"/>
                  <wp:docPr id="7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9"/>
                          <pic:cNvPicPr>
                            <a:picLocks noChangeAspect="1"/>
                          </pic:cNvPicPr>
                        </pic:nvPicPr>
                        <pic:blipFill>
                          <a:blip r:embed="rId47"/>
                          <a:stretch>
                            <a:fillRect/>
                          </a:stretch>
                        </pic:blipFill>
                        <pic:spPr>
                          <a:xfrm>
                            <a:off x="0" y="0"/>
                            <a:ext cx="4318000" cy="482600"/>
                          </a:xfrm>
                          <a:prstGeom prst="rect">
                            <a:avLst/>
                          </a:prstGeom>
                          <a:noFill/>
                          <a:ln w="9525">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drawing>
                <wp:inline distT="0" distB="0" distL="114300" distR="114300">
                  <wp:extent cx="508000" cy="228600"/>
                  <wp:effectExtent l="0" t="0" r="6350" b="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48"/>
                          <a:stretch>
                            <a:fillRect/>
                          </a:stretch>
                        </pic:blipFill>
                        <pic:spPr>
                          <a:xfrm>
                            <a:off x="0" y="0"/>
                            <a:ext cx="508000" cy="2286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—第i类车的小时等效声级，dB(A)；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419100" cy="254000"/>
                  <wp:effectExtent l="0" t="0" r="0" b="13970"/>
                  <wp:docPr id="9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1"/>
                          <pic:cNvPicPr>
                            <a:picLocks noChangeAspect="1"/>
                          </pic:cNvPicPr>
                        </pic:nvPicPr>
                        <pic:blipFill>
                          <a:blip r:embed="rId49"/>
                          <a:stretch>
                            <a:fillRect/>
                          </a:stretch>
                        </pic:blipFill>
                        <pic:spPr>
                          <a:xfrm>
                            <a:off x="0" y="0"/>
                            <a:ext cx="419100" cy="2540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—第i类车速度为</w:t>
            </w:r>
            <w:r>
              <w:rPr>
                <w:rFonts w:hint="default"/>
                <w:color w:val="000000" w:themeColor="text1"/>
                <w:highlight w:val="none"/>
                <w14:textFill>
                  <w14:solidFill>
                    <w14:schemeClr w14:val="tx1"/>
                  </w14:solidFill>
                </w14:textFill>
              </w:rPr>
              <w:drawing>
                <wp:inline distT="0" distB="0" distL="114300" distR="114300">
                  <wp:extent cx="152400" cy="228600"/>
                  <wp:effectExtent l="0" t="0" r="0" b="0"/>
                  <wp:docPr id="7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2"/>
                          <pic:cNvPicPr>
                            <a:picLocks noChangeAspect="1"/>
                          </pic:cNvPicPr>
                        </pic:nvPicPr>
                        <pic:blipFill>
                          <a:blip r:embed="rId50"/>
                          <a:stretch>
                            <a:fillRect/>
                          </a:stretch>
                        </pic:blipFill>
                        <pic:spPr>
                          <a:xfrm>
                            <a:off x="0" y="0"/>
                            <a:ext cx="152400" cy="2286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时水平距离7.5m处的参考能量平均A声级，dB(A)；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203200" cy="228600"/>
                  <wp:effectExtent l="0" t="0" r="5715" b="0"/>
                  <wp:docPr id="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3"/>
                          <pic:cNvPicPr>
                            <a:picLocks noChangeAspect="1"/>
                          </pic:cNvPicPr>
                        </pic:nvPicPr>
                        <pic:blipFill>
                          <a:blip r:embed="rId51"/>
                          <a:stretch>
                            <a:fillRect/>
                          </a:stretch>
                        </pic:blipFill>
                        <pic:spPr>
                          <a:xfrm>
                            <a:off x="0" y="0"/>
                            <a:ext cx="203200" cy="2286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—昼间，夜间通过某个预测点的第i类车平均小时车流量，辆/h；</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r—从车道中心线到预测点的距离，m；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52400" cy="228600"/>
                  <wp:effectExtent l="0" t="0" r="0" b="0"/>
                  <wp:docPr id="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4"/>
                          <pic:cNvPicPr>
                            <a:picLocks noChangeAspect="1"/>
                          </pic:cNvPicPr>
                        </pic:nvPicPr>
                        <pic:blipFill>
                          <a:blip r:embed="rId52"/>
                          <a:stretch>
                            <a:fillRect/>
                          </a:stretch>
                        </pic:blipFill>
                        <pic:spPr>
                          <a:xfrm>
                            <a:off x="0" y="0"/>
                            <a:ext cx="152400" cy="2286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—第i类车的平均车速，km/h；</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139700" cy="165100"/>
                  <wp:effectExtent l="0" t="0" r="12700" b="4445"/>
                  <wp:docPr id="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5"/>
                          <pic:cNvPicPr>
                            <a:picLocks noChangeAspect="1"/>
                          </pic:cNvPicPr>
                        </pic:nvPicPr>
                        <pic:blipFill>
                          <a:blip r:embed="rId53"/>
                          <a:stretch>
                            <a:fillRect/>
                          </a:stretch>
                        </pic:blipFill>
                        <pic:spPr>
                          <a:xfrm>
                            <a:off x="0" y="0"/>
                            <a:ext cx="139700" cy="1651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—计算等效声级的时间，1h；</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200025" cy="219075"/>
                  <wp:effectExtent l="0" t="0" r="9525" b="6985"/>
                  <wp:docPr id="8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6"/>
                          <pic:cNvPicPr>
                            <a:picLocks noChangeAspect="1"/>
                          </pic:cNvPicPr>
                        </pic:nvPicPr>
                        <pic:blipFill>
                          <a:blip r:embed="rId54"/>
                          <a:stretch>
                            <a:fillRect/>
                          </a:stretch>
                        </pic:blipFill>
                        <pic:spPr>
                          <a:xfrm>
                            <a:off x="0" y="0"/>
                            <a:ext cx="200025" cy="21907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drawing>
                <wp:inline distT="0" distB="0" distL="114300" distR="114300">
                  <wp:extent cx="219075" cy="219075"/>
                  <wp:effectExtent l="0" t="0" r="9525" b="6985"/>
                  <wp:docPr id="8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7"/>
                          <pic:cNvPicPr>
                            <a:picLocks noChangeAspect="1"/>
                          </pic:cNvPicPr>
                        </pic:nvPicPr>
                        <pic:blipFill>
                          <a:blip r:embed="rId55"/>
                          <a:stretch>
                            <a:fillRect/>
                          </a:stretch>
                        </pic:blipFill>
                        <pic:spPr>
                          <a:xfrm>
                            <a:off x="0" y="0"/>
                            <a:ext cx="219075" cy="21907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——预测点到有限长路段两端的张角，弧度，见图6.3-1所示；</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s="Times New Roman"/>
                <w:color w:val="000000" w:themeColor="text1"/>
                <w:kern w:val="44"/>
                <w:highlight w:val="none"/>
                <w14:textFill>
                  <w14:solidFill>
                    <w14:schemeClr w14:val="tx1"/>
                  </w14:solidFill>
                </w14:textFill>
              </w:rPr>
              <w:object>
                <v:shape id="_x0000_i1031" o:spt="75" type="#_x0000_t75" style="height:12.75pt;width:18pt;" o:ole="t" filled="f" o:preferrelative="t" stroked="f" coordsize="21600,21600">
                  <v:path/>
                  <v:fill on="f" focussize="0,0"/>
                  <v:stroke on="f" joinstyle="miter"/>
                  <v:imagedata r:id="rId57" o:title=""/>
                  <o:lock v:ext="edit" aspectratio="t"/>
                  <w10:wrap type="none"/>
                  <w10:anchorlock/>
                </v:shape>
                <o:OLEObject Type="Embed" ProgID="Equation.3" ShapeID="_x0000_i1031" DrawAspect="Content" ObjectID="_1468075731" r:id="rId56">
                  <o:LockedField>false</o:LockedField>
                </o:OLEObject>
              </w:object>
            </w:r>
            <w:r>
              <w:rPr>
                <w:rFonts w:hint="default"/>
                <w:color w:val="000000" w:themeColor="text1"/>
                <w:highlight w:val="none"/>
                <w14:textFill>
                  <w14:solidFill>
                    <w14:schemeClr w14:val="tx1"/>
                  </w14:solidFill>
                </w14:textFill>
              </w:rPr>
              <w:t>——由其他因素引起的修正量，dB(A)，可按下式计算：</w:t>
            </w:r>
          </w:p>
          <w:p>
            <w:pPr>
              <w:pStyle w:val="21"/>
              <w:shd w:val="clear"/>
              <w:bidi w:val="0"/>
              <w:jc w:val="center"/>
              <w:rPr>
                <w:rFonts w:hint="default"/>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object>
                <v:shape id="_x0000_i1032" o:spt="75" type="#_x0000_t75" style="height:18pt;width:108pt;" o:ole="t" filled="f" o:preferrelative="t" stroked="f" coordsize="21600,21600">
                  <v:path/>
                  <v:fill on="f" focussize="0,0"/>
                  <v:stroke on="f" joinstyle="miter"/>
                  <v:imagedata r:id="rId59" o:title=""/>
                  <o:lock v:ext="edit" aspectratio="t"/>
                  <w10:wrap type="none"/>
                  <w10:anchorlock/>
                </v:shape>
                <o:OLEObject Type="Embed" ProgID="Equation.3" ShapeID="_x0000_i1032" DrawAspect="Content" ObjectID="_1468075732" r:id="rId58">
                  <o:LockedField>false</o:LockedField>
                </o:OLEObject>
              </w:object>
            </w:r>
          </w:p>
          <w:p>
            <w:pPr>
              <w:pStyle w:val="21"/>
              <w:shd w:val="clear"/>
              <w:bidi w:val="0"/>
              <w:jc w:val="center"/>
              <w:rPr>
                <w:rFonts w:hint="default"/>
                <w:color w:val="000000" w:themeColor="text1"/>
                <w:highlight w:val="none"/>
                <w14:textFill>
                  <w14:solidFill>
                    <w14:schemeClr w14:val="tx1"/>
                  </w14:solidFill>
                </w14:textFill>
              </w:rPr>
            </w:pPr>
            <w:r>
              <w:rPr>
                <w:rFonts w:hint="default" w:cs="Times New Roman"/>
                <w:color w:val="000000" w:themeColor="text1"/>
                <w:position w:val="-14"/>
                <w:highlight w:val="none"/>
                <w14:textFill>
                  <w14:solidFill>
                    <w14:schemeClr w14:val="tx1"/>
                  </w14:solidFill>
                </w14:textFill>
              </w:rPr>
              <w:object>
                <v:shape id="_x0000_i1033" o:spt="75" type="#_x0000_t75" style="height:18.75pt;width:102.8pt;" o:ole="t" filled="f" o:preferrelative="t" stroked="f" coordsize="21600,21600">
                  <v:path/>
                  <v:fill on="f" focussize="0,0"/>
                  <v:stroke on="f" joinstyle="miter"/>
                  <v:imagedata r:id="rId61" o:title=""/>
                  <o:lock v:ext="edit" aspectratio="t"/>
                  <w10:wrap type="none"/>
                  <w10:anchorlock/>
                </v:shape>
                <o:OLEObject Type="Embed" ProgID="Equation.3" ShapeID="_x0000_i1033" DrawAspect="Content" ObjectID="_1468075733" r:id="rId60">
                  <o:LockedField>false</o:LockedField>
                </o:OLEObject>
              </w:object>
            </w:r>
          </w:p>
          <w:p>
            <w:pPr>
              <w:keepNext w:val="0"/>
              <w:keepLines w:val="0"/>
              <w:suppressLineNumbers w:val="0"/>
              <w:shd w:val="clear"/>
              <w:spacing w:before="0" w:beforeAutospacing="0" w:after="0" w:afterAutospacing="0"/>
              <w:ind w:left="0" w:right="0" w:firstLine="480"/>
              <w:jc w:val="center"/>
              <w:rPr>
                <w:rFonts w:hint="default" w:cs="Times New Roman"/>
                <w:color w:val="000000" w:themeColor="text1"/>
                <w:sz w:val="24"/>
                <w:szCs w:val="24"/>
                <w:highlight w:val="none"/>
                <w14:textFill>
                  <w14:solidFill>
                    <w14:schemeClr w14:val="tx1"/>
                  </w14:solidFill>
                </w14:textFill>
              </w:rPr>
            </w:pPr>
            <w:r>
              <w:rPr>
                <w:rFonts w:hint="default" w:cs="Times New Roman"/>
                <w:color w:val="000000" w:themeColor="text1"/>
                <w:sz w:val="24"/>
                <w:szCs w:val="24"/>
                <w:highlight w:val="none"/>
                <w14:textFill>
                  <w14:solidFill>
                    <w14:schemeClr w14:val="tx1"/>
                  </w14:solidFill>
                </w14:textFill>
              </w:rPr>
              <w:drawing>
                <wp:inline distT="0" distB="0" distL="114300" distR="114300">
                  <wp:extent cx="1876425" cy="238125"/>
                  <wp:effectExtent l="0" t="0" r="9525" b="8255"/>
                  <wp:docPr id="8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1"/>
                          <pic:cNvPicPr>
                            <a:picLocks noChangeAspect="1"/>
                          </pic:cNvPicPr>
                        </pic:nvPicPr>
                        <pic:blipFill>
                          <a:blip r:embed="rId62"/>
                          <a:stretch>
                            <a:fillRect/>
                          </a:stretch>
                        </pic:blipFill>
                        <pic:spPr>
                          <a:xfrm>
                            <a:off x="0" y="0"/>
                            <a:ext cx="1876425" cy="238125"/>
                          </a:xfrm>
                          <a:prstGeom prst="rect">
                            <a:avLst/>
                          </a:prstGeom>
                          <a:noFill/>
                          <a:ln w="9525">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drawing>
                <wp:inline distT="0" distB="0" distL="114300" distR="114300">
                  <wp:extent cx="257175" cy="219075"/>
                  <wp:effectExtent l="0" t="0" r="9525" b="6985"/>
                  <wp:docPr id="8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2"/>
                          <pic:cNvPicPr>
                            <a:picLocks noChangeAspect="1"/>
                          </pic:cNvPicPr>
                        </pic:nvPicPr>
                        <pic:blipFill>
                          <a:blip r:embed="rId63"/>
                          <a:stretch>
                            <a:fillRect/>
                          </a:stretch>
                        </pic:blipFill>
                        <pic:spPr>
                          <a:xfrm>
                            <a:off x="0" y="0"/>
                            <a:ext cx="257175" cy="21907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——线路因素引起的修正值，dB(A)；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s="Times New Roman"/>
                <w:color w:val="000000" w:themeColor="text1"/>
                <w:kern w:val="44"/>
                <w:position w:val="-14"/>
                <w:szCs w:val="24"/>
                <w:highlight w:val="none"/>
                <w14:textFill>
                  <w14:solidFill>
                    <w14:schemeClr w14:val="tx1"/>
                  </w14:solidFill>
                </w14:textFill>
              </w:rPr>
              <w:object>
                <v:shape id="_x0000_i1034" o:spt="75" type="#_x0000_t75" style="height:18.75pt;width:32.25pt;" o:ole="t" filled="f" o:preferrelative="t" stroked="f" coordsize="21600,21600">
                  <v:path/>
                  <v:fill on="f" focussize="0,0"/>
                  <v:stroke on="f" joinstyle="miter"/>
                  <v:imagedata r:id="rId65" o:title=""/>
                  <o:lock v:ext="edit" aspectratio="t"/>
                  <w10:wrap type="none"/>
                  <w10:anchorlock/>
                </v:shape>
                <o:OLEObject Type="Embed" ProgID="Equation.3" ShapeID="_x0000_i1034" DrawAspect="Content" ObjectID="_1468075734" r:id="rId64">
                  <o:LockedField>false</o:LockedField>
                </o:OLEObject>
              </w:object>
            </w:r>
            <w:r>
              <w:rPr>
                <w:rFonts w:hint="default"/>
                <w:color w:val="000000" w:themeColor="text1"/>
                <w:highlight w:val="none"/>
                <w14:textFill>
                  <w14:solidFill>
                    <w14:schemeClr w14:val="tx1"/>
                  </w14:solidFill>
                </w14:textFill>
              </w:rPr>
              <w:t>——公路纵坡修正量，dB(A)；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s="Times New Roman"/>
                <w:color w:val="000000" w:themeColor="text1"/>
                <w:kern w:val="44"/>
                <w:position w:val="-12"/>
                <w:szCs w:val="24"/>
                <w:highlight w:val="none"/>
                <w14:textFill>
                  <w14:solidFill>
                    <w14:schemeClr w14:val="tx1"/>
                  </w14:solidFill>
                </w14:textFill>
              </w:rPr>
              <w:object>
                <v:shape id="_x0000_i1035" o:spt="75" type="#_x0000_t75" style="height:18pt;width:32.25pt;" o:ole="t" filled="f" o:preferrelative="t" stroked="f" coordsize="21600,21600">
                  <v:path/>
                  <v:fill on="f" focussize="0,0"/>
                  <v:stroke on="f" joinstyle="miter"/>
                  <v:imagedata r:id="rId67" o:title=""/>
                  <o:lock v:ext="edit" aspectratio="t"/>
                  <w10:wrap type="none"/>
                  <w10:anchorlock/>
                </v:shape>
                <o:OLEObject Type="Embed" ProgID="Equation.3" ShapeID="_x0000_i1035" DrawAspect="Content" ObjectID="_1468075735" r:id="rId66">
                  <o:LockedField>false</o:LockedField>
                </o:OLEObject>
              </w:object>
            </w:r>
            <w:r>
              <w:rPr>
                <w:rFonts w:hint="default"/>
                <w:color w:val="000000" w:themeColor="text1"/>
                <w:highlight w:val="none"/>
                <w14:textFill>
                  <w14:solidFill>
                    <w14:schemeClr w14:val="tx1"/>
                  </w14:solidFill>
                </w14:textFill>
              </w:rPr>
              <w:t>——公路路面材料引起的修正量，dB(A)；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s="Times New Roman"/>
                <w:color w:val="000000" w:themeColor="text1"/>
                <w:kern w:val="44"/>
                <w:position w:val="-10"/>
                <w:szCs w:val="24"/>
                <w:highlight w:val="none"/>
                <w14:textFill>
                  <w14:solidFill>
                    <w14:schemeClr w14:val="tx1"/>
                  </w14:solidFill>
                </w14:textFill>
              </w:rPr>
              <w:object>
                <v:shape id="_x0000_i1036" o:spt="75" type="#_x0000_t75" style="height:17.25pt;width:21pt;" o:ole="t" filled="f" o:preferrelative="t" stroked="f" coordsize="21600,21600">
                  <v:path/>
                  <v:fill on="f" focussize="0,0"/>
                  <v:stroke on="f" joinstyle="miter"/>
                  <v:imagedata r:id="rId69" o:title=""/>
                  <o:lock v:ext="edit" aspectratio="t"/>
                  <w10:wrap type="none"/>
                  <w10:anchorlock/>
                </v:shape>
                <o:OLEObject Type="Embed" ProgID="Equation.3" ShapeID="_x0000_i1036" DrawAspect="Content" ObjectID="_1468075736" r:id="rId68">
                  <o:LockedField>false</o:LockedField>
                </o:OLEObject>
              </w:object>
            </w:r>
            <w:r>
              <w:rPr>
                <w:rFonts w:hint="default"/>
                <w:color w:val="000000" w:themeColor="text1"/>
                <w:highlight w:val="none"/>
                <w14:textFill>
                  <w14:solidFill>
                    <w14:schemeClr w14:val="tx1"/>
                  </w14:solidFill>
                </w14:textFill>
              </w:rPr>
              <w:t>——声波传播途径中引起的衰减量，dB(A)；</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s="Times New Roman"/>
                <w:color w:val="000000" w:themeColor="text1"/>
                <w:kern w:val="44"/>
                <w:position w:val="-12"/>
                <w:szCs w:val="24"/>
                <w:highlight w:val="none"/>
                <w14:textFill>
                  <w14:solidFill>
                    <w14:schemeClr w14:val="tx1"/>
                  </w14:solidFill>
                </w14:textFill>
              </w:rPr>
              <w:object>
                <v:shape id="_x0000_i1037" o:spt="75" type="#_x0000_t75" style="height:18pt;width:21pt;" o:ole="t" filled="f" o:preferrelative="t" stroked="f" coordsize="21600,21600">
                  <v:path/>
                  <v:fill on="f" focussize="0,0"/>
                  <v:stroke on="f" joinstyle="miter"/>
                  <v:imagedata r:id="rId71" o:title=""/>
                  <o:lock v:ext="edit" aspectratio="t"/>
                  <w10:wrap type="none"/>
                  <w10:anchorlock/>
                </v:shape>
                <o:OLEObject Type="Embed" ProgID="Equation.3" ShapeID="_x0000_i1037" DrawAspect="Content" ObjectID="_1468075737" r:id="rId70">
                  <o:LockedField>false</o:LockedField>
                </o:OLEObject>
              </w:object>
            </w:r>
            <w:r>
              <w:rPr>
                <w:rFonts w:hint="default"/>
                <w:color w:val="000000" w:themeColor="text1"/>
                <w:highlight w:val="none"/>
                <w14:textFill>
                  <w14:solidFill>
                    <w14:schemeClr w14:val="tx1"/>
                  </w14:solidFill>
                </w14:textFill>
              </w:rPr>
              <w:t>——由反射等引起的修正量，dB(A)。</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drawing>
                <wp:inline distT="0" distB="0" distL="114300" distR="114300">
                  <wp:extent cx="3006090" cy="1024255"/>
                  <wp:effectExtent l="0" t="0" r="3810" b="4445"/>
                  <wp:docPr id="104" name="图片 6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7" descr="12"/>
                          <pic:cNvPicPr>
                            <a:picLocks noChangeAspect="1"/>
                          </pic:cNvPicPr>
                        </pic:nvPicPr>
                        <pic:blipFill>
                          <a:blip r:embed="rId72">
                            <a:lum contrast="12000"/>
                          </a:blip>
                          <a:srcRect t="9804"/>
                          <a:stretch>
                            <a:fillRect/>
                          </a:stretch>
                        </pic:blipFill>
                        <pic:spPr>
                          <a:xfrm>
                            <a:off x="0" y="0"/>
                            <a:ext cx="3006090" cy="1024255"/>
                          </a:xfrm>
                          <a:prstGeom prst="rect">
                            <a:avLst/>
                          </a:prstGeom>
                          <a:noFill/>
                          <a:ln w="9525">
                            <a:noFill/>
                          </a:ln>
                        </pic:spPr>
                      </pic:pic>
                    </a:graphicData>
                  </a:graphic>
                </wp:inline>
              </w:drawing>
            </w:r>
          </w:p>
          <w:p>
            <w:pPr>
              <w:pStyle w:val="22"/>
              <w:keepNext w:val="0"/>
              <w:keepLines w:val="0"/>
              <w:widowControl/>
              <w:suppressLineNumbers w:val="0"/>
              <w:shd w:val="clear"/>
              <w:bidi w:val="0"/>
              <w:spacing w:before="0" w:beforeAutospacing="0" w:after="0" w:afterAutospacing="0"/>
              <w:ind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有限路段的修正函数，A—B为路段，P为预测点</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总车流等效声级</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总车流交通噪声等效声级是将各类车流等效声级叠加求得，计算公式如下：</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3589020" cy="271145"/>
                  <wp:effectExtent l="0" t="0" r="11430" b="14605"/>
                  <wp:docPr id="10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8"/>
                          <pic:cNvPicPr>
                            <a:picLocks noChangeAspect="1"/>
                          </pic:cNvPicPr>
                        </pic:nvPicPr>
                        <pic:blipFill>
                          <a:blip r:embed="rId73"/>
                          <a:stretch>
                            <a:fillRect/>
                          </a:stretch>
                        </pic:blipFill>
                        <pic:spPr>
                          <a:xfrm>
                            <a:off x="0" y="0"/>
                            <a:ext cx="3589020" cy="271145"/>
                          </a:xfrm>
                          <a:prstGeom prst="rect">
                            <a:avLst/>
                          </a:prstGeom>
                          <a:noFill/>
                          <a:ln w="9525">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w:t>
            </w:r>
            <w:r>
              <w:rPr>
                <w:rFonts w:hint="default"/>
                <w:color w:val="000000" w:themeColor="text1"/>
                <w:highlight w:val="none"/>
                <w14:textFill>
                  <w14:solidFill>
                    <w14:schemeClr w14:val="tx1"/>
                  </w14:solidFill>
                </w14:textFill>
              </w:rPr>
              <w:drawing>
                <wp:inline distT="0" distB="0" distL="114300" distR="114300">
                  <wp:extent cx="561975" cy="238125"/>
                  <wp:effectExtent l="0" t="0" r="9525" b="8255"/>
                  <wp:docPr id="10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9"/>
                          <pic:cNvPicPr>
                            <a:picLocks noChangeAspect="1"/>
                          </pic:cNvPicPr>
                        </pic:nvPicPr>
                        <pic:blipFill>
                          <a:blip r:embed="rId74"/>
                          <a:stretch>
                            <a:fillRect/>
                          </a:stretch>
                        </pic:blipFill>
                        <pic:spPr>
                          <a:xfrm>
                            <a:off x="0" y="0"/>
                            <a:ext cx="561975" cy="23812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drawing>
                <wp:inline distT="0" distB="0" distL="114300" distR="114300">
                  <wp:extent cx="542925" cy="238125"/>
                  <wp:effectExtent l="0" t="0" r="8890" b="8255"/>
                  <wp:docPr id="10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0"/>
                          <pic:cNvPicPr>
                            <a:picLocks noChangeAspect="1"/>
                          </pic:cNvPicPr>
                        </pic:nvPicPr>
                        <pic:blipFill>
                          <a:blip r:embed="rId75"/>
                          <a:stretch>
                            <a:fillRect/>
                          </a:stretch>
                        </pic:blipFill>
                        <pic:spPr>
                          <a:xfrm>
                            <a:off x="0" y="0"/>
                            <a:ext cx="542925" cy="23812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drawing>
                <wp:inline distT="0" distB="0" distL="114300" distR="114300">
                  <wp:extent cx="542925" cy="238125"/>
                  <wp:effectExtent l="0" t="0" r="8890" b="8255"/>
                  <wp:docPr id="10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1"/>
                          <pic:cNvPicPr>
                            <a:picLocks noChangeAspect="1"/>
                          </pic:cNvPicPr>
                        </pic:nvPicPr>
                        <pic:blipFill>
                          <a:blip r:embed="rId76"/>
                          <a:stretch>
                            <a:fillRect/>
                          </a:stretch>
                        </pic:blipFill>
                        <pic:spPr>
                          <a:xfrm>
                            <a:off x="0" y="0"/>
                            <a:ext cx="542925" cy="23812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——分别为大、中、小型车昼间或夜间，预测点接收到的交通噪声值，dB(A)；</w:t>
            </w:r>
          </w:p>
          <w:p>
            <w:pPr>
              <w:pStyle w:val="21"/>
              <w:shd w:val="clear"/>
              <w:bidi w:val="0"/>
              <w:ind w:left="0" w:leftChars="0"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466725" cy="238125"/>
                  <wp:effectExtent l="0" t="0" r="8890" b="8255"/>
                  <wp:docPr id="10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2"/>
                          <pic:cNvPicPr>
                            <a:picLocks noChangeAspect="1"/>
                          </pic:cNvPicPr>
                        </pic:nvPicPr>
                        <pic:blipFill>
                          <a:blip r:embed="rId77"/>
                          <a:stretch>
                            <a:fillRect/>
                          </a:stretch>
                        </pic:blipFill>
                        <pic:spPr>
                          <a:xfrm>
                            <a:off x="0" y="0"/>
                            <a:ext cx="466725" cy="23812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——预测点接收到的昼间或夜间的交通噪声值，dB(A)。</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如果某个预测点受多条线路交通噪声影响，应分别计算每条车道对该预测点的声级后，经叠加后得到贡献值。</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3.2</w:t>
            </w:r>
            <w:r>
              <w:rPr>
                <w:rFonts w:hint="default" w:eastAsia="宋体"/>
                <w:color w:val="000000" w:themeColor="text1"/>
                <w:highlight w:val="none"/>
                <w14:textFill>
                  <w14:solidFill>
                    <w14:schemeClr w14:val="tx1"/>
                  </w14:solidFill>
                </w14:textFill>
              </w:rPr>
              <w:t>修正量和衰减量的计算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(1)线路因素引起的修正量(</w:t>
            </w:r>
            <w:r>
              <w:rPr>
                <w:rFonts w:hint="default"/>
                <w:color w:val="000000" w:themeColor="text1"/>
                <w:highlight w:val="none"/>
                <w14:textFill>
                  <w14:solidFill>
                    <w14:schemeClr w14:val="tx1"/>
                  </w14:solidFill>
                </w14:textFill>
              </w:rPr>
              <w:drawing>
                <wp:inline distT="0" distB="0" distL="114300" distR="114300">
                  <wp:extent cx="266700" cy="165100"/>
                  <wp:effectExtent l="0" t="0" r="0" b="5080"/>
                  <wp:docPr id="11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6"/>
                          <pic:cNvPicPr>
                            <a:picLocks noChangeAspect="1"/>
                          </pic:cNvPicPr>
                        </pic:nvPicPr>
                        <pic:blipFill>
                          <a:blip r:embed="rId78"/>
                          <a:stretch>
                            <a:fillRect/>
                          </a:stretch>
                        </pic:blipFill>
                        <pic:spPr>
                          <a:xfrm>
                            <a:off x="0" y="0"/>
                            <a:ext cx="266700" cy="1651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公路纵坡修正量</w:t>
            </w:r>
            <w:r>
              <w:rPr>
                <w:rFonts w:hint="default"/>
                <w:color w:val="000000" w:themeColor="text1"/>
                <w:highlight w:val="none"/>
                <w14:textFill>
                  <w14:solidFill>
                    <w14:schemeClr w14:val="tx1"/>
                  </w14:solidFill>
                </w14:textFill>
              </w:rPr>
              <w:drawing>
                <wp:inline distT="0" distB="0" distL="114300" distR="114300">
                  <wp:extent cx="393700" cy="177165"/>
                  <wp:effectExtent l="0" t="0" r="6350" b="13970"/>
                  <wp:docPr id="8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7"/>
                          <pic:cNvPicPr>
                            <a:picLocks noChangeAspect="1"/>
                          </pic:cNvPicPr>
                        </pic:nvPicPr>
                        <pic:blipFill>
                          <a:blip r:embed="rId79"/>
                          <a:stretch>
                            <a:fillRect/>
                          </a:stretch>
                        </pic:blipFill>
                        <pic:spPr>
                          <a:xfrm>
                            <a:off x="0" y="0"/>
                            <a:ext cx="393700" cy="177165"/>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大型车：</w:t>
            </w:r>
            <w:r>
              <w:rPr>
                <w:rFonts w:hint="default"/>
                <w:color w:val="000000" w:themeColor="text1"/>
                <w:highlight w:val="none"/>
                <w14:textFill>
                  <w14:solidFill>
                    <w14:schemeClr w14:val="tx1"/>
                  </w14:solidFill>
                </w14:textFill>
              </w:rPr>
              <w:drawing>
                <wp:inline distT="0" distB="0" distL="114300" distR="114300">
                  <wp:extent cx="1079500" cy="254000"/>
                  <wp:effectExtent l="0" t="0" r="6350" b="13970"/>
                  <wp:docPr id="8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8"/>
                          <pic:cNvPicPr>
                            <a:picLocks noChangeAspect="1"/>
                          </pic:cNvPicPr>
                        </pic:nvPicPr>
                        <pic:blipFill>
                          <a:blip r:embed="rId80"/>
                          <a:stretch>
                            <a:fillRect/>
                          </a:stretch>
                        </pic:blipFill>
                        <pic:spPr>
                          <a:xfrm>
                            <a:off x="0" y="0"/>
                            <a:ext cx="1079500" cy="2540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dB(A)</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中型车：</w:t>
            </w:r>
            <w:r>
              <w:rPr>
                <w:rFonts w:hint="default"/>
                <w:color w:val="000000" w:themeColor="text1"/>
                <w:highlight w:val="none"/>
                <w14:textFill>
                  <w14:solidFill>
                    <w14:schemeClr w14:val="tx1"/>
                  </w14:solidFill>
                </w14:textFill>
              </w:rPr>
              <w:drawing>
                <wp:inline distT="0" distB="0" distL="114300" distR="114300">
                  <wp:extent cx="1079500" cy="254000"/>
                  <wp:effectExtent l="0" t="0" r="6350" b="13970"/>
                  <wp:docPr id="9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9"/>
                          <pic:cNvPicPr>
                            <a:picLocks noChangeAspect="1"/>
                          </pic:cNvPicPr>
                        </pic:nvPicPr>
                        <pic:blipFill>
                          <a:blip r:embed="rId81"/>
                          <a:stretch>
                            <a:fillRect/>
                          </a:stretch>
                        </pic:blipFill>
                        <pic:spPr>
                          <a:xfrm>
                            <a:off x="0" y="0"/>
                            <a:ext cx="1079500" cy="2540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dB(A)</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小型车：</w:t>
            </w:r>
            <w:r>
              <w:rPr>
                <w:rFonts w:hint="default"/>
                <w:color w:val="000000" w:themeColor="text1"/>
                <w:highlight w:val="none"/>
                <w14:textFill>
                  <w14:solidFill>
                    <w14:schemeClr w14:val="tx1"/>
                  </w14:solidFill>
                </w14:textFill>
              </w:rPr>
              <w:drawing>
                <wp:inline distT="0" distB="0" distL="114300" distR="114300">
                  <wp:extent cx="1079500" cy="254000"/>
                  <wp:effectExtent l="0" t="0" r="6350" b="13970"/>
                  <wp:docPr id="9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0"/>
                          <pic:cNvPicPr>
                            <a:picLocks noChangeAspect="1"/>
                          </pic:cNvPicPr>
                        </pic:nvPicPr>
                        <pic:blipFill>
                          <a:blip r:embed="rId82"/>
                          <a:stretch>
                            <a:fillRect/>
                          </a:stretch>
                        </pic:blipFill>
                        <pic:spPr>
                          <a:xfrm>
                            <a:off x="0" y="0"/>
                            <a:ext cx="1079500" cy="2540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dB(A)</w:t>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式中：β——公路纵坡坡度，%。路段交通噪声预测时按照平路基，即β＝0计算；敏感点交通噪声预测时根据敏感点对应路段取实际纵坡值。</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(2)路面修正量(ΔL路面)</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不同路面的噪声修正量见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常见路面噪声修正量单位：dB(A)</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04"/>
              <w:gridCol w:w="1887"/>
              <w:gridCol w:w="1887"/>
              <w:gridCol w:w="18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55" w:type="pct"/>
                  <w:vMerge w:val="restar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路面类型</w:t>
                  </w:r>
                </w:p>
              </w:tc>
              <w:tc>
                <w:tcPr>
                  <w:tcW w:w="3644" w:type="pct"/>
                  <w:gridSpan w:val="3"/>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不同行驶速度修正量km/h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55" w:type="pct"/>
                  <w:vMerge w:val="continue"/>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214"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30</w:t>
                  </w:r>
                </w:p>
              </w:tc>
              <w:tc>
                <w:tcPr>
                  <w:tcW w:w="1214"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40</w:t>
                  </w:r>
                </w:p>
              </w:tc>
              <w:tc>
                <w:tcPr>
                  <w:tcW w:w="1215"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55"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沥青混凝土</w:t>
                  </w:r>
                </w:p>
              </w:tc>
              <w:tc>
                <w:tcPr>
                  <w:tcW w:w="1214"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0</w:t>
                  </w:r>
                </w:p>
              </w:tc>
              <w:tc>
                <w:tcPr>
                  <w:tcW w:w="1214"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0</w:t>
                  </w:r>
                </w:p>
              </w:tc>
              <w:tc>
                <w:tcPr>
                  <w:tcW w:w="1215" w:type="pct"/>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55" w:type="pct"/>
                  <w:shd w:val="clear" w:color="auto" w:fill="auto"/>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水泥混凝土</w:t>
                  </w:r>
                </w:p>
              </w:tc>
              <w:tc>
                <w:tcPr>
                  <w:tcW w:w="1214" w:type="pct"/>
                  <w:shd w:val="clear" w:color="auto" w:fill="auto"/>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1.0</w:t>
                  </w:r>
                </w:p>
              </w:tc>
              <w:tc>
                <w:tcPr>
                  <w:tcW w:w="1214" w:type="pct"/>
                  <w:shd w:val="clear" w:color="auto" w:fill="auto"/>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1.5</w:t>
                  </w:r>
                </w:p>
              </w:tc>
              <w:tc>
                <w:tcPr>
                  <w:tcW w:w="1215" w:type="pct"/>
                  <w:shd w:val="clear" w:color="auto" w:fill="auto"/>
                  <w:vAlign w:val="center"/>
                </w:tcPr>
                <w:p>
                  <w:pPr>
                    <w:keepNext w:val="0"/>
                    <w:keepLines w:val="0"/>
                    <w:widowControl/>
                    <w:suppressLineNumbers w:val="0"/>
                    <w:shd w:val="clear"/>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2.0</w:t>
                  </w:r>
                </w:p>
              </w:tc>
            </w:tr>
          </w:tbl>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(3)声波传播途径中引起的衰减量(ΔL2)</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rFonts w:hint="default"/>
                <w:color w:val="000000" w:themeColor="text1"/>
                <w:highlight w:val="none"/>
                <w14:textFill>
                  <w14:solidFill>
                    <w14:schemeClr w14:val="tx1"/>
                  </w14:solidFill>
                </w14:textFill>
              </w:rPr>
              <w:t>障碍物衰减量(Abar)</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A.声屏障衰减量(Abar)计算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无限长声屏障可按下式计算：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4169410" cy="1405890"/>
                  <wp:effectExtent l="0" t="0" r="2540" b="3810"/>
                  <wp:docPr id="9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2"/>
                          <pic:cNvPicPr>
                            <a:picLocks noChangeAspect="1"/>
                          </pic:cNvPicPr>
                        </pic:nvPicPr>
                        <pic:blipFill>
                          <a:blip r:embed="rId83"/>
                          <a:stretch>
                            <a:fillRect/>
                          </a:stretch>
                        </pic:blipFill>
                        <pic:spPr>
                          <a:xfrm>
                            <a:off x="0" y="0"/>
                            <a:ext cx="4169410" cy="1405890"/>
                          </a:xfrm>
                          <a:prstGeom prst="rect">
                            <a:avLst/>
                          </a:prstGeom>
                          <a:noFill/>
                          <a:ln w="9525">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式中：f——声波频率，Hz</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lang w:eastAsia="en-US"/>
                <w14:textFill>
                  <w14:solidFill>
                    <w14:schemeClr w14:val="tx1"/>
                  </w14:solidFill>
                </w14:textFill>
              </w:rPr>
              <w:t>δ</w:t>
            </w:r>
            <w:r>
              <w:rPr>
                <w:rFonts w:hint="default"/>
                <w:color w:val="000000" w:themeColor="text1"/>
                <w:highlight w:val="none"/>
                <w14:textFill>
                  <w14:solidFill>
                    <w14:schemeClr w14:val="tx1"/>
                  </w14:solidFill>
                </w14:textFill>
              </w:rPr>
              <w:t>——声程差，m；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c——声速，m/s；</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道路建设项目评价中可采用500Hz频率的声波计算得到的屏障衰减量近似作为A声级的衰减量。</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有限长声屏障计算：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Abar仍由上式计算。然后根据图</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进行修正。修正后的取决于遮蔽角</w:t>
            </w:r>
            <w:r>
              <w:rPr>
                <w:rFonts w:hint="default"/>
                <w:color w:val="000000" w:themeColor="text1"/>
                <w:highlight w:val="none"/>
                <w:lang w:eastAsia="en-US"/>
                <w14:textFill>
                  <w14:solidFill>
                    <w14:schemeClr w14:val="tx1"/>
                  </w14:solidFill>
                </w14:textFill>
              </w:rPr>
              <w:t>β</w:t>
            </w:r>
            <w:r>
              <w:rPr>
                <w:rFonts w:hint="default"/>
                <w:color w:val="000000" w:themeColor="text1"/>
                <w:highlight w:val="none"/>
                <w14:textFill>
                  <w14:solidFill>
                    <w14:schemeClr w14:val="tx1"/>
                  </w14:solidFill>
                </w14:textFill>
              </w:rPr>
              <w:t>/</w:t>
            </w:r>
            <w:r>
              <w:rPr>
                <w:rFonts w:hint="default"/>
                <w:color w:val="000000" w:themeColor="text1"/>
                <w:highlight w:val="none"/>
                <w:lang w:eastAsia="en-US"/>
                <w14:textFill>
                  <w14:solidFill>
                    <w14:schemeClr w14:val="tx1"/>
                  </w14:solidFill>
                </w14:textFill>
              </w:rPr>
              <w:t>θ</w:t>
            </w:r>
            <w:r>
              <w:rPr>
                <w:rFonts w:hint="default"/>
                <w:color w:val="000000" w:themeColor="text1"/>
                <w:highlight w:val="none"/>
                <w14:textFill>
                  <w14:solidFill>
                    <w14:schemeClr w14:val="tx1"/>
                  </w14:solidFill>
                </w14:textFill>
              </w:rPr>
              <w:t>。图</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中虚线表示：无限长屏障声衰减为8.5dB，若有限长声屏障对应的遮蔽角百分率为92%，则有限长声屏障的声衰减为6.6dB。声屏障的透射、反射修正可参照HJ/T90计算。</w:t>
            </w:r>
          </w:p>
          <w:p>
            <w:pPr>
              <w:keepNext w:val="0"/>
              <w:keepLines w:val="0"/>
              <w:suppressLineNumbers w:val="0"/>
              <w:shd w:val="clear"/>
              <w:spacing w:before="0" w:beforeAutospacing="0" w:after="0" w:afterAutospacing="0"/>
              <w:ind w:left="0" w:right="0" w:firstLine="42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4265930" cy="3190240"/>
                  <wp:effectExtent l="0" t="0" r="1270" b="10160"/>
                  <wp:docPr id="9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3"/>
                          <pic:cNvPicPr>
                            <a:picLocks noChangeAspect="1"/>
                          </pic:cNvPicPr>
                        </pic:nvPicPr>
                        <pic:blipFill>
                          <a:blip r:embed="rId84"/>
                          <a:stretch>
                            <a:fillRect/>
                          </a:stretch>
                        </pic:blipFill>
                        <pic:spPr>
                          <a:xfrm>
                            <a:off x="0" y="0"/>
                            <a:ext cx="4265930" cy="3190240"/>
                          </a:xfrm>
                          <a:prstGeom prst="rect">
                            <a:avLst/>
                          </a:prstGeom>
                          <a:noFill/>
                          <a:ln w="9525">
                            <a:noFill/>
                          </a:ln>
                        </pic:spPr>
                      </pic:pic>
                    </a:graphicData>
                  </a:graphic>
                </wp:inline>
              </w:drawing>
            </w:r>
          </w:p>
          <w:p>
            <w:pPr>
              <w:pStyle w:val="22"/>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有限长度的声屏障及线声源的修正图</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B.高路堤或低路堑两侧声影区衰减量计算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高路堤或低路堑两侧声影区衰减量Abar为预测点在高路堤或低路堑两侧声影区内引起的附加衰减量。</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当预测点处于声照区时，Abar=0；</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当预测点处于声影区，Abar决定于声程差</w:t>
            </w:r>
            <w:r>
              <w:rPr>
                <w:rFonts w:hint="default"/>
                <w:color w:val="000000" w:themeColor="text1"/>
                <w:highlight w:val="none"/>
                <w:lang w:eastAsia="en-US"/>
                <w14:textFill>
                  <w14:solidFill>
                    <w14:schemeClr w14:val="tx1"/>
                  </w14:solidFill>
                </w14:textFill>
              </w:rPr>
              <w:t>δ</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lang w:eastAsia="en-US"/>
                <w14:textFill>
                  <w14:solidFill>
                    <w14:schemeClr w14:val="tx1"/>
                  </w14:solidFill>
                </w14:textFill>
              </w:rPr>
            </w:pPr>
            <w:r>
              <w:rPr>
                <w:rFonts w:hint="default"/>
                <w:color w:val="000000" w:themeColor="text1"/>
                <w:highlight w:val="none"/>
                <w:lang w:eastAsia="en-US"/>
                <w14:textFill>
                  <w14:solidFill>
                    <w14:schemeClr w14:val="tx1"/>
                  </w14:solidFill>
                </w14:textFill>
              </w:rPr>
              <w:t>由图</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eastAsia="en-US"/>
                <w14:textFill>
                  <w14:solidFill>
                    <w14:schemeClr w14:val="tx1"/>
                  </w14:solidFill>
                </w14:textFill>
              </w:rPr>
              <w:t>计算δ，δ=a+b-c。再由图</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lang w:eastAsia="en-US"/>
                <w14:textFill>
                  <w14:solidFill>
                    <w14:schemeClr w14:val="tx1"/>
                  </w14:solidFill>
                </w14:textFill>
              </w:rPr>
              <w:t>查出Abar。</w:t>
            </w:r>
          </w:p>
          <w:p>
            <w:pPr>
              <w:keepNext w:val="0"/>
              <w:keepLines w:val="0"/>
              <w:suppressLineNumbers w:val="0"/>
              <w:shd w:val="clear"/>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4300855" cy="1830705"/>
                  <wp:effectExtent l="0" t="0" r="4445" b="17145"/>
                  <wp:docPr id="9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pic:cNvPicPr>
                            <a:picLocks noChangeAspect="1"/>
                          </pic:cNvPicPr>
                        </pic:nvPicPr>
                        <pic:blipFill>
                          <a:blip r:embed="rId85"/>
                          <a:stretch>
                            <a:fillRect/>
                          </a:stretch>
                        </pic:blipFill>
                        <pic:spPr>
                          <a:xfrm>
                            <a:off x="0" y="0"/>
                            <a:ext cx="4303882" cy="1832153"/>
                          </a:xfrm>
                          <a:prstGeom prst="rect">
                            <a:avLst/>
                          </a:prstGeom>
                          <a:noFill/>
                          <a:ln w="9525">
                            <a:noFill/>
                          </a:ln>
                        </pic:spPr>
                      </pic:pic>
                    </a:graphicData>
                  </a:graphic>
                </wp:inline>
              </w:drawing>
            </w:r>
          </w:p>
          <w:p>
            <w:pPr>
              <w:pStyle w:val="22"/>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声程差</w:t>
            </w:r>
            <w:r>
              <w:rPr>
                <w:rFonts w:hint="default" w:cs="Times New Roman"/>
                <w:color w:val="000000" w:themeColor="text1"/>
                <w:position w:val="-6"/>
                <w:szCs w:val="20"/>
                <w:highlight w:val="none"/>
                <w14:textFill>
                  <w14:solidFill>
                    <w14:schemeClr w14:val="tx1"/>
                  </w14:solidFill>
                </w14:textFill>
              </w:rPr>
              <w:drawing>
                <wp:inline distT="0" distB="0" distL="114300" distR="114300">
                  <wp:extent cx="138430" cy="174625"/>
                  <wp:effectExtent l="0" t="0" r="13970" b="16510"/>
                  <wp:docPr id="9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5"/>
                          <pic:cNvPicPr>
                            <a:picLocks noChangeAspect="1"/>
                          </pic:cNvPicPr>
                        </pic:nvPicPr>
                        <pic:blipFill>
                          <a:blip r:embed="rId86"/>
                          <a:stretch>
                            <a:fillRect/>
                          </a:stretch>
                        </pic:blipFill>
                        <pic:spPr>
                          <a:xfrm>
                            <a:off x="0" y="0"/>
                            <a:ext cx="138430" cy="174625"/>
                          </a:xfrm>
                          <a:prstGeom prst="rect">
                            <a:avLst/>
                          </a:prstGeom>
                          <a:noFill/>
                          <a:ln w="9525">
                            <a:noFill/>
                          </a:ln>
                        </pic:spPr>
                      </pic:pic>
                    </a:graphicData>
                  </a:graphic>
                </wp:inline>
              </w:drawing>
            </w:r>
            <w:r>
              <w:rPr>
                <w:rFonts w:hint="default" w:cs="Times New Roman"/>
                <w:color w:val="000000" w:themeColor="text1"/>
                <w:szCs w:val="20"/>
                <w:highlight w:val="none"/>
                <w14:textFill>
                  <w14:solidFill>
                    <w14:schemeClr w14:val="tx1"/>
                  </w14:solidFill>
                </w14:textFill>
              </w:rPr>
              <w:t>计算示意图</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drawing>
                <wp:inline distT="0" distB="0" distL="114300" distR="114300">
                  <wp:extent cx="4293870" cy="2659380"/>
                  <wp:effectExtent l="0" t="0" r="11430" b="7620"/>
                  <wp:docPr id="12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6"/>
                          <pic:cNvPicPr>
                            <a:picLocks noChangeAspect="1"/>
                          </pic:cNvPicPr>
                        </pic:nvPicPr>
                        <pic:blipFill>
                          <a:blip r:embed="rId87"/>
                          <a:stretch>
                            <a:fillRect/>
                          </a:stretch>
                        </pic:blipFill>
                        <pic:spPr>
                          <a:xfrm>
                            <a:off x="0" y="0"/>
                            <a:ext cx="4297845" cy="2662041"/>
                          </a:xfrm>
                          <a:prstGeom prst="rect">
                            <a:avLst/>
                          </a:prstGeom>
                          <a:noFill/>
                          <a:ln w="9525">
                            <a:noFill/>
                          </a:ln>
                        </pic:spPr>
                      </pic:pic>
                    </a:graphicData>
                  </a:graphic>
                </wp:inline>
              </w:drawing>
            </w:r>
          </w:p>
          <w:p>
            <w:pPr>
              <w:pStyle w:val="22"/>
              <w:keepNext w:val="0"/>
              <w:keepLines w:val="0"/>
              <w:widowControl/>
              <w:suppressLineNumbers w:val="0"/>
              <w:shd w:val="clear"/>
              <w:bidi w:val="0"/>
              <w:spacing w:before="0" w:beforeAutospacing="0" w:after="0" w:afterAutospacing="0"/>
              <w:ind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噪声衰减量</w:t>
            </w:r>
            <w:r>
              <w:rPr>
                <w:rFonts w:hint="default" w:cs="Times New Roman"/>
                <w:color w:val="000000" w:themeColor="text1"/>
                <w:position w:val="-10"/>
                <w:szCs w:val="20"/>
                <w:highlight w:val="none"/>
                <w14:textFill>
                  <w14:solidFill>
                    <w14:schemeClr w14:val="tx1"/>
                  </w14:solidFill>
                </w14:textFill>
              </w:rPr>
              <w:drawing>
                <wp:inline distT="0" distB="0" distL="114300" distR="114300">
                  <wp:extent cx="264795" cy="226695"/>
                  <wp:effectExtent l="0" t="0" r="0" b="1270"/>
                  <wp:docPr id="13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7"/>
                          <pic:cNvPicPr>
                            <a:picLocks noChangeAspect="1"/>
                          </pic:cNvPicPr>
                        </pic:nvPicPr>
                        <pic:blipFill>
                          <a:blip r:embed="rId88"/>
                          <a:stretch>
                            <a:fillRect/>
                          </a:stretch>
                        </pic:blipFill>
                        <pic:spPr>
                          <a:xfrm>
                            <a:off x="0" y="0"/>
                            <a:ext cx="264795" cy="226695"/>
                          </a:xfrm>
                          <a:prstGeom prst="rect">
                            <a:avLst/>
                          </a:prstGeom>
                          <a:noFill/>
                          <a:ln w="9525">
                            <a:noFill/>
                          </a:ln>
                        </pic:spPr>
                      </pic:pic>
                    </a:graphicData>
                  </a:graphic>
                </wp:inline>
              </w:drawing>
            </w:r>
            <w:r>
              <w:rPr>
                <w:rFonts w:hint="default" w:cs="Times New Roman"/>
                <w:color w:val="000000" w:themeColor="text1"/>
                <w:szCs w:val="20"/>
                <w:highlight w:val="none"/>
                <w14:textFill>
                  <w14:solidFill>
                    <w14:schemeClr w14:val="tx1"/>
                  </w14:solidFill>
                </w14:textFill>
              </w:rPr>
              <w:t>与声程差</w:t>
            </w:r>
            <w:r>
              <w:rPr>
                <w:rFonts w:hint="default" w:cs="Times New Roman"/>
                <w:color w:val="000000" w:themeColor="text1"/>
                <w:position w:val="-6"/>
                <w:szCs w:val="20"/>
                <w:highlight w:val="none"/>
                <w14:textFill>
                  <w14:solidFill>
                    <w14:schemeClr w14:val="tx1"/>
                  </w14:solidFill>
                </w14:textFill>
              </w:rPr>
              <w:drawing>
                <wp:inline distT="0" distB="0" distL="114300" distR="114300">
                  <wp:extent cx="138430" cy="174625"/>
                  <wp:effectExtent l="0" t="0" r="13970" b="16510"/>
                  <wp:docPr id="16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88"/>
                          <pic:cNvPicPr>
                            <a:picLocks noChangeAspect="1"/>
                          </pic:cNvPicPr>
                        </pic:nvPicPr>
                        <pic:blipFill>
                          <a:blip r:embed="rId89"/>
                          <a:stretch>
                            <a:fillRect/>
                          </a:stretch>
                        </pic:blipFill>
                        <pic:spPr>
                          <a:xfrm>
                            <a:off x="0" y="0"/>
                            <a:ext cx="138430" cy="174625"/>
                          </a:xfrm>
                          <a:prstGeom prst="rect">
                            <a:avLst/>
                          </a:prstGeom>
                          <a:noFill/>
                          <a:ln w="9525">
                            <a:noFill/>
                          </a:ln>
                        </pic:spPr>
                      </pic:pic>
                    </a:graphicData>
                  </a:graphic>
                </wp:inline>
              </w:drawing>
            </w:r>
            <w:r>
              <w:rPr>
                <w:rFonts w:hint="default" w:cs="Times New Roman"/>
                <w:color w:val="000000" w:themeColor="text1"/>
                <w:szCs w:val="20"/>
                <w:highlight w:val="none"/>
                <w14:textFill>
                  <w14:solidFill>
                    <w14:schemeClr w14:val="tx1"/>
                  </w14:solidFill>
                </w14:textFill>
              </w:rPr>
              <w:t>关系曲线(</w:t>
            </w:r>
            <w:r>
              <w:rPr>
                <w:rFonts w:hint="default" w:cs="Times New Roman"/>
                <w:color w:val="000000" w:themeColor="text1"/>
                <w:position w:val="-4"/>
                <w:szCs w:val="20"/>
                <w:highlight w:val="none"/>
                <w14:textFill>
                  <w14:solidFill>
                    <w14:schemeClr w14:val="tx1"/>
                  </w14:solidFill>
                </w14:textFill>
              </w:rPr>
              <w:drawing>
                <wp:inline distT="0" distB="0" distL="114300" distR="114300">
                  <wp:extent cx="151130" cy="163830"/>
                  <wp:effectExtent l="0" t="0" r="1270" b="5715"/>
                  <wp:docPr id="17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89"/>
                          <pic:cNvPicPr>
                            <a:picLocks noChangeAspect="1"/>
                          </pic:cNvPicPr>
                        </pic:nvPicPr>
                        <pic:blipFill>
                          <a:blip r:embed="rId90"/>
                          <a:stretch>
                            <a:fillRect/>
                          </a:stretch>
                        </pic:blipFill>
                        <pic:spPr>
                          <a:xfrm>
                            <a:off x="0" y="0"/>
                            <a:ext cx="151130" cy="163830"/>
                          </a:xfrm>
                          <a:prstGeom prst="rect">
                            <a:avLst/>
                          </a:prstGeom>
                          <a:noFill/>
                          <a:ln w="9525">
                            <a:noFill/>
                          </a:ln>
                        </pic:spPr>
                      </pic:pic>
                    </a:graphicData>
                  </a:graphic>
                </wp:inline>
              </w:drawing>
            </w:r>
            <w:r>
              <w:rPr>
                <w:rFonts w:hint="default" w:cs="Times New Roman"/>
                <w:color w:val="000000" w:themeColor="text1"/>
                <w:szCs w:val="20"/>
                <w:highlight w:val="none"/>
                <w14:textFill>
                  <w14:solidFill>
                    <w14:schemeClr w14:val="tx1"/>
                  </w14:solidFill>
                </w14:textFill>
              </w:rPr>
              <w:t>=500Hz)</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C.农村房屋附加衰减量。</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一般农村民房比较分散，它们对噪声的附加衰减量估算按</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_Ref1066 \n \h </w:instrText>
            </w:r>
            <w:r>
              <w:rPr>
                <w:rFonts w:hint="default"/>
                <w:color w:val="000000" w:themeColor="text1"/>
                <w:highlight w:val="none"/>
                <w:lang w:val="en-US"/>
                <w14:textFill>
                  <w14:solidFill>
                    <w14:schemeClr w14:val="tx1"/>
                  </w14:solidFill>
                </w14:textFill>
              </w:rPr>
              <w:fldChar w:fldCharType="separate"/>
            </w:r>
            <w:r>
              <w:rPr>
                <w:rFonts w:hint="default"/>
                <w:color w:val="000000" w:themeColor="text1"/>
                <w:highlight w:val="none"/>
                <w:lang w:val="en-US"/>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lang w:val="en-US"/>
                <w14:textFill>
                  <w14:solidFill>
                    <w14:schemeClr w14:val="tx1"/>
                  </w14:solidFill>
                </w14:textFill>
              </w:rPr>
              <w:fldChar w:fldCharType="end"/>
            </w:r>
            <w:r>
              <w:rPr>
                <w:rFonts w:hint="default"/>
                <w:color w:val="000000" w:themeColor="text1"/>
                <w:highlight w:val="none"/>
                <w14:textFill>
                  <w14:solidFill>
                    <w14:schemeClr w14:val="tx1"/>
                  </w14:solidFill>
                </w14:textFill>
              </w:rPr>
              <w:t>取值。在噪声预测时，接受(预测)点设在第一排房屋的窗前，随后建筑的环境噪声级按表</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及图</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14:textFill>
                  <w14:solidFill>
                    <w14:schemeClr w14:val="tx1"/>
                  </w14:solidFill>
                </w14:textFill>
              </w:rPr>
              <w:t>进行估算。</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bookmarkStart w:id="15" w:name="_Ref1066"/>
            <w:r>
              <w:rPr>
                <w:rFonts w:hint="default"/>
                <w:color w:val="000000" w:themeColor="text1"/>
                <w:highlight w:val="none"/>
                <w14:textFill>
                  <w14:solidFill>
                    <w14:schemeClr w14:val="tx1"/>
                  </w14:solidFill>
                </w14:textFill>
              </w:rPr>
              <w:t>建筑物噪声衰减量估算值</w:t>
            </w:r>
            <w:bookmarkEnd w:id="15"/>
          </w:p>
          <w:tbl>
            <w:tblPr>
              <w:tblStyle w:val="1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1"/>
              <w:gridCol w:w="2675"/>
              <w:gridCol w:w="1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房屋状况</w:t>
                  </w:r>
                </w:p>
              </w:tc>
              <w:tc>
                <w:tcPr>
                  <w:tcW w:w="1722"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衰减量ΔL</w:t>
                  </w:r>
                </w:p>
              </w:tc>
              <w:tc>
                <w:tcPr>
                  <w:tcW w:w="1049"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第一排房屋占地面积40～60%</w:t>
                  </w:r>
                </w:p>
              </w:tc>
              <w:tc>
                <w:tcPr>
                  <w:tcW w:w="1722"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-3dB(A)</w:t>
                  </w:r>
                </w:p>
              </w:tc>
              <w:tc>
                <w:tcPr>
                  <w:tcW w:w="1049" w:type="pct"/>
                  <w:vMerge w:val="restar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房屋占地面积按图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第一排房屋占地面积70～90%</w:t>
                  </w:r>
                </w:p>
              </w:tc>
              <w:tc>
                <w:tcPr>
                  <w:tcW w:w="1722"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-5dB(A)</w:t>
                  </w:r>
                </w:p>
              </w:tc>
              <w:tc>
                <w:tcPr>
                  <w:tcW w:w="1049" w:type="pct"/>
                  <w:vMerge w:val="continue"/>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每增加一排房屋</w:t>
                  </w:r>
                </w:p>
              </w:tc>
              <w:tc>
                <w:tcPr>
                  <w:tcW w:w="1722"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-1.5dB(A) ，最大绝对衰减量≤10dB(A)</w:t>
                  </w:r>
                </w:p>
              </w:tc>
              <w:tc>
                <w:tcPr>
                  <w:tcW w:w="1049" w:type="pct"/>
                  <w:vAlign w:val="center"/>
                </w:tcPr>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4264660" cy="1379220"/>
                  <wp:effectExtent l="0" t="0" r="2540" b="11430"/>
                  <wp:docPr id="171" name="图片 90"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0" descr="QQ截图未命名"/>
                          <pic:cNvPicPr>
                            <a:picLocks noChangeAspect="1"/>
                          </pic:cNvPicPr>
                        </pic:nvPicPr>
                        <pic:blipFill>
                          <a:blip r:embed="rId91"/>
                          <a:stretch>
                            <a:fillRect/>
                          </a:stretch>
                        </pic:blipFill>
                        <pic:spPr>
                          <a:xfrm>
                            <a:off x="0" y="0"/>
                            <a:ext cx="4270714" cy="1381193"/>
                          </a:xfrm>
                          <a:prstGeom prst="rect">
                            <a:avLst/>
                          </a:prstGeom>
                          <a:noFill/>
                          <a:ln w="9525">
                            <a:noFill/>
                          </a:ln>
                        </pic:spPr>
                      </pic:pic>
                    </a:graphicData>
                  </a:graphic>
                </wp:inline>
              </w:drawing>
            </w:r>
          </w:p>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bidi="en-US"/>
                <w14:textFill>
                  <w14:solidFill>
                    <w14:schemeClr w14:val="tx1"/>
                  </w14:solidFill>
                </w14:textFill>
              </w:rPr>
            </w:pPr>
            <w:r>
              <w:rPr>
                <w:rFonts w:hint="default" w:ascii="Times New Roman" w:hAnsi="Times New Roman" w:cs="Times New Roman"/>
                <w:color w:val="000000" w:themeColor="text1"/>
                <w:sz w:val="21"/>
                <w:szCs w:val="21"/>
                <w:highlight w:val="none"/>
                <w:lang w:bidi="en-US"/>
                <w14:textFill>
                  <w14:solidFill>
                    <w14:schemeClr w14:val="tx1"/>
                  </w14:solidFill>
                </w14:textFill>
              </w:rPr>
              <w:t>S为第一排房屋面积和，S</w:t>
            </w:r>
            <w:r>
              <w:rPr>
                <w:rFonts w:hint="default" w:ascii="Times New Roman" w:hAnsi="Times New Roman" w:cs="Times New Roman"/>
                <w:color w:val="000000" w:themeColor="text1"/>
                <w:sz w:val="21"/>
                <w:szCs w:val="21"/>
                <w:highlight w:val="none"/>
                <w:vertAlign w:val="subscript"/>
                <w:lang w:bidi="en-US"/>
                <w14:textFill>
                  <w14:solidFill>
                    <w14:schemeClr w14:val="tx1"/>
                  </w14:solidFill>
                </w14:textFill>
              </w:rPr>
              <w:t>0</w:t>
            </w:r>
            <w:r>
              <w:rPr>
                <w:rFonts w:hint="default" w:ascii="Times New Roman" w:hAnsi="Times New Roman" w:cs="Times New Roman"/>
                <w:color w:val="000000" w:themeColor="text1"/>
                <w:sz w:val="21"/>
                <w:szCs w:val="21"/>
                <w:highlight w:val="none"/>
                <w:lang w:bidi="en-US"/>
                <w14:textFill>
                  <w14:solidFill>
                    <w14:schemeClr w14:val="tx1"/>
                  </w14:solidFill>
                </w14:textFill>
              </w:rPr>
              <w:t>为阴影部分(包括房屋)面积</w:t>
            </w:r>
          </w:p>
          <w:p>
            <w:pPr>
              <w:pStyle w:val="22"/>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农村房屋降噪量估算示意图</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rFonts w:hint="default"/>
                <w:color w:val="000000" w:themeColor="text1"/>
                <w:highlight w:val="none"/>
                <w14:textFill>
                  <w14:solidFill>
                    <w14:schemeClr w14:val="tx1"/>
                  </w14:solidFill>
                </w14:textFill>
              </w:rPr>
              <w:t>Aatm、Agr、Amisc衰减项的计算。</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A.空气吸收引起的衰减(Aatm)</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按以下公式计算：</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876300" cy="419100"/>
                  <wp:effectExtent l="0" t="0" r="0" b="0"/>
                  <wp:docPr id="17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91"/>
                          <pic:cNvPicPr>
                            <a:picLocks noChangeAspect="1"/>
                          </pic:cNvPicPr>
                        </pic:nvPicPr>
                        <pic:blipFill>
                          <a:blip r:embed="rId92"/>
                          <a:stretch>
                            <a:fillRect/>
                          </a:stretch>
                        </pic:blipFill>
                        <pic:spPr>
                          <a:xfrm>
                            <a:off x="0" y="0"/>
                            <a:ext cx="876300" cy="419100"/>
                          </a:xfrm>
                          <a:prstGeom prst="rect">
                            <a:avLst/>
                          </a:prstGeom>
                          <a:noFill/>
                          <a:ln w="9525">
                            <a:noFill/>
                          </a:ln>
                        </pic:spPr>
                      </pic:pic>
                    </a:graphicData>
                  </a:graphic>
                </wp:inline>
              </w:drawing>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式中：a为温度、湿度和声波频率的函数，预测计算中一般根据建设项目所处区域常年平均气温和湿度选择相应的空气吸收系数，见表</w:t>
            </w:r>
            <w:r>
              <w:rPr>
                <w:rFonts w:hint="eastAsia"/>
                <w:color w:val="000000" w:themeColor="text1"/>
                <w:highlight w:val="none"/>
                <w:lang w:val="en-US" w:eastAsia="zh-CN"/>
                <w14:textFill>
                  <w14:solidFill>
                    <w14:schemeClr w14:val="tx1"/>
                  </w14:solidFill>
                </w14:textFill>
              </w:rPr>
              <w:t>38</w:t>
            </w:r>
            <w:r>
              <w:rPr>
                <w:rFonts w:hint="default"/>
                <w:color w:val="000000" w:themeColor="text1"/>
                <w:highlight w:val="none"/>
                <w14:textFill>
                  <w14:solidFill>
                    <w14:schemeClr w14:val="tx1"/>
                  </w14:solidFill>
                </w14:textFill>
              </w:rPr>
              <w:t>。依据本项目区多年平均气温和相对湿度，本项目预测时采用的气温是20℃，相对湿度是70%。</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倍频带噪声的大气吸收衰减系数</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025"/>
              <w:gridCol w:w="519"/>
              <w:gridCol w:w="630"/>
              <w:gridCol w:w="630"/>
              <w:gridCol w:w="630"/>
              <w:gridCol w:w="756"/>
              <w:gridCol w:w="756"/>
              <w:gridCol w:w="757"/>
              <w:gridCol w:w="1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restar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温度</w:t>
                  </w:r>
                </w:p>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w:t>
                  </w:r>
                </w:p>
              </w:tc>
              <w:tc>
                <w:tcPr>
                  <w:tcW w:w="660" w:type="pct"/>
                  <w:vMerge w:val="restar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相对湿度</w:t>
                  </w:r>
                </w:p>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w:t>
                  </w:r>
                </w:p>
              </w:tc>
              <w:tc>
                <w:tcPr>
                  <w:tcW w:w="3670" w:type="pct"/>
                  <w:gridSpan w:val="8"/>
                  <w:vAlign w:val="center"/>
                </w:tcPr>
                <w:p>
                  <w:pPr>
                    <w:keepNext w:val="0"/>
                    <w:keepLines w:val="0"/>
                    <w:suppressLineNumbers w:val="0"/>
                    <w:shd w:val="clear"/>
                    <w:spacing w:before="0" w:beforeAutospacing="0" w:after="0" w:afterAutospacing="0" w:line="240" w:lineRule="auto"/>
                    <w:ind w:left="0" w:right="0"/>
                    <w:jc w:val="center"/>
                    <w:rPr>
                      <w:rFonts w:hint="default" w:cs="Times New Roman"/>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大气吸收衰减系数α，dB/km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continue"/>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p>
              </w:tc>
              <w:tc>
                <w:tcPr>
                  <w:tcW w:w="660" w:type="pct"/>
                  <w:vMerge w:val="continue"/>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p>
              </w:tc>
              <w:tc>
                <w:tcPr>
                  <w:tcW w:w="3670" w:type="pct"/>
                  <w:gridSpan w:val="8"/>
                  <w:vAlign w:val="center"/>
                </w:tcPr>
                <w:p>
                  <w:pPr>
                    <w:keepNext w:val="0"/>
                    <w:keepLines w:val="0"/>
                    <w:suppressLineNumbers w:val="0"/>
                    <w:shd w:val="clear"/>
                    <w:spacing w:before="0" w:beforeAutospacing="0" w:after="0" w:afterAutospacing="0" w:line="240" w:lineRule="auto"/>
                    <w:ind w:left="0" w:right="0"/>
                    <w:jc w:val="center"/>
                    <w:rPr>
                      <w:rFonts w:hint="default" w:cs="Times New Roman"/>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倍频带中心频率Hz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continue"/>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p>
              </w:tc>
              <w:tc>
                <w:tcPr>
                  <w:tcW w:w="660" w:type="pct"/>
                  <w:vMerge w:val="continue"/>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p>
              </w:tc>
              <w:tc>
                <w:tcPr>
                  <w:tcW w:w="376"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63</w:t>
                  </w:r>
                </w:p>
              </w:tc>
              <w:tc>
                <w:tcPr>
                  <w:tcW w:w="416"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125</w:t>
                  </w:r>
                </w:p>
              </w:tc>
              <w:tc>
                <w:tcPr>
                  <w:tcW w:w="416"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250</w:t>
                  </w:r>
                </w:p>
              </w:tc>
              <w:tc>
                <w:tcPr>
                  <w:tcW w:w="416"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500</w:t>
                  </w:r>
                </w:p>
              </w:tc>
              <w:tc>
                <w:tcPr>
                  <w:tcW w:w="499"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1000</w:t>
                  </w:r>
                </w:p>
              </w:tc>
              <w:tc>
                <w:tcPr>
                  <w:tcW w:w="499"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2000</w:t>
                  </w:r>
                </w:p>
              </w:tc>
              <w:tc>
                <w:tcPr>
                  <w:tcW w:w="499"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4000</w:t>
                  </w:r>
                </w:p>
              </w:tc>
              <w:tc>
                <w:tcPr>
                  <w:tcW w:w="545" w:type="pct"/>
                  <w:vAlign w:val="center"/>
                </w:tcPr>
                <w:p>
                  <w:pPr>
                    <w:keepNext w:val="0"/>
                    <w:keepLines w:val="0"/>
                    <w:suppressLineNumbers w:val="0"/>
                    <w:shd w:val="clear"/>
                    <w:spacing w:before="0" w:beforeAutospacing="0" w:after="0" w:afterAutospacing="0" w:line="240" w:lineRule="auto"/>
                    <w:ind w:left="0" w:right="0"/>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10</w:t>
                  </w:r>
                </w:p>
              </w:tc>
              <w:tc>
                <w:tcPr>
                  <w:tcW w:w="660"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70</w:t>
                  </w:r>
                </w:p>
              </w:tc>
              <w:tc>
                <w:tcPr>
                  <w:tcW w:w="37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0.1</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0.4</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1.0</w:t>
                  </w:r>
                </w:p>
              </w:tc>
              <w:tc>
                <w:tcPr>
                  <w:tcW w:w="416" w:type="pct"/>
                  <w:tcBorders>
                    <w:bottom w:val="single" w:color="auto"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1.9</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3.7</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9.7</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32.8</w:t>
                  </w:r>
                </w:p>
              </w:tc>
              <w:tc>
                <w:tcPr>
                  <w:tcW w:w="545"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20</w:t>
                  </w:r>
                </w:p>
              </w:tc>
              <w:tc>
                <w:tcPr>
                  <w:tcW w:w="660"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70</w:t>
                  </w:r>
                </w:p>
              </w:tc>
              <w:tc>
                <w:tcPr>
                  <w:tcW w:w="37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0.1</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0.3</w:t>
                  </w:r>
                </w:p>
              </w:tc>
              <w:tc>
                <w:tcPr>
                  <w:tcW w:w="416" w:type="pct"/>
                  <w:shd w:val="clear" w:color="auto" w:fill="auto"/>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1.1</w:t>
                  </w:r>
                </w:p>
              </w:tc>
              <w:tc>
                <w:tcPr>
                  <w:tcW w:w="416" w:type="pct"/>
                  <w:tcBorders>
                    <w:top w:val="single" w:color="auto" w:sz="4" w:space="0"/>
                    <w:bottom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2.8</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5.0</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9.0</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22.9</w:t>
                  </w:r>
                </w:p>
              </w:tc>
              <w:tc>
                <w:tcPr>
                  <w:tcW w:w="545"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76.6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30</w:t>
                  </w:r>
                </w:p>
              </w:tc>
              <w:tc>
                <w:tcPr>
                  <w:tcW w:w="660"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70</w:t>
                  </w:r>
                </w:p>
              </w:tc>
              <w:tc>
                <w:tcPr>
                  <w:tcW w:w="37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0.1</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0.3</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1.0</w:t>
                  </w:r>
                </w:p>
              </w:tc>
              <w:tc>
                <w:tcPr>
                  <w:tcW w:w="416" w:type="pct"/>
                  <w:tcBorders>
                    <w:top w:val="single" w:color="auto" w:sz="4" w:space="0"/>
                  </w:tcBorders>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3.1</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7.4</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12.7</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23.1</w:t>
                  </w:r>
                </w:p>
              </w:tc>
              <w:tc>
                <w:tcPr>
                  <w:tcW w:w="545"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15</w:t>
                  </w:r>
                </w:p>
              </w:tc>
              <w:tc>
                <w:tcPr>
                  <w:tcW w:w="660"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20</w:t>
                  </w:r>
                </w:p>
              </w:tc>
              <w:tc>
                <w:tcPr>
                  <w:tcW w:w="37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0.3</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0.6</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1.2</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2.7</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8.2</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28.2</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28.8</w:t>
                  </w:r>
                </w:p>
              </w:tc>
              <w:tc>
                <w:tcPr>
                  <w:tcW w:w="545"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15</w:t>
                  </w:r>
                </w:p>
              </w:tc>
              <w:tc>
                <w:tcPr>
                  <w:tcW w:w="660"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50</w:t>
                  </w:r>
                </w:p>
              </w:tc>
              <w:tc>
                <w:tcPr>
                  <w:tcW w:w="37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0.1</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0.5</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1.2</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2.2</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4.2</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10.8</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36.2</w:t>
                  </w:r>
                </w:p>
              </w:tc>
              <w:tc>
                <w:tcPr>
                  <w:tcW w:w="545"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15</w:t>
                  </w:r>
                </w:p>
              </w:tc>
              <w:tc>
                <w:tcPr>
                  <w:tcW w:w="660"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80</w:t>
                  </w:r>
                </w:p>
              </w:tc>
              <w:tc>
                <w:tcPr>
                  <w:tcW w:w="37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0.1</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0.3</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1.1</w:t>
                  </w:r>
                </w:p>
              </w:tc>
              <w:tc>
                <w:tcPr>
                  <w:tcW w:w="416"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2.4</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4.1</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8.3</w:t>
                  </w:r>
                </w:p>
              </w:tc>
              <w:tc>
                <w:tcPr>
                  <w:tcW w:w="499"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23.7</w:t>
                  </w:r>
                </w:p>
              </w:tc>
              <w:tc>
                <w:tcPr>
                  <w:tcW w:w="545" w:type="pct"/>
                  <w:vAlign w:val="center"/>
                </w:tcPr>
                <w:p>
                  <w:pPr>
                    <w:keepNext w:val="0"/>
                    <w:keepLines w:val="0"/>
                    <w:suppressLineNumbers w:val="0"/>
                    <w:shd w:val="clear"/>
                    <w:spacing w:before="0" w:beforeAutospacing="0" w:after="0" w:afterAutospacing="0" w:line="240" w:lineRule="auto"/>
                    <w:ind w:left="0" w:right="0"/>
                    <w:jc w:val="center"/>
                    <w:rPr>
                      <w:rFonts w:hint="default" w:cs="Times New Roman"/>
                      <w:b w:val="0"/>
                      <w:color w:val="000000" w:themeColor="text1"/>
                      <w:sz w:val="21"/>
                      <w:szCs w:val="21"/>
                      <w:highlight w:val="none"/>
                      <w14:textFill>
                        <w14:solidFill>
                          <w14:schemeClr w14:val="tx1"/>
                        </w14:solidFill>
                      </w14:textFill>
                    </w:rPr>
                  </w:pPr>
                  <w:r>
                    <w:rPr>
                      <w:rFonts w:hint="default" w:cs="Times New Roman"/>
                      <w:b w:val="0"/>
                      <w:color w:val="000000" w:themeColor="text1"/>
                      <w:sz w:val="21"/>
                      <w:szCs w:val="21"/>
                      <w:highlight w:val="none"/>
                      <w14:textFill>
                        <w14:solidFill>
                          <w14:schemeClr w14:val="tx1"/>
                        </w14:solidFill>
                      </w14:textFill>
                    </w:rPr>
                    <w:t>82.8</w:t>
                  </w:r>
                </w:p>
              </w:tc>
            </w:tr>
          </w:tbl>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B.地面效应衰减(Agr)</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地面类型：坚实地面、疏松地面、混合地面。</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声波越过疏松地面传播时，或大部分为疏松地面的混合地面，在预测点仅计算A声级前提下，地面效应引起的倍频带衰减可用以下公式计算：</w:t>
            </w:r>
          </w:p>
          <w:p>
            <w:pPr>
              <w:pStyle w:val="21"/>
              <w:shd w:val="clear"/>
              <w:bidi w:val="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2095500" cy="457200"/>
                  <wp:effectExtent l="0" t="0" r="0" b="0"/>
                  <wp:docPr id="17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2"/>
                          <pic:cNvPicPr>
                            <a:picLocks noChangeAspect="1"/>
                          </pic:cNvPicPr>
                        </pic:nvPicPr>
                        <pic:blipFill>
                          <a:blip r:embed="rId93"/>
                          <a:stretch>
                            <a:fillRect/>
                          </a:stretch>
                        </pic:blipFill>
                        <pic:spPr>
                          <a:xfrm>
                            <a:off x="0" y="0"/>
                            <a:ext cx="2095500" cy="457200"/>
                          </a:xfrm>
                          <a:prstGeom prst="rect">
                            <a:avLst/>
                          </a:prstGeom>
                          <a:noFill/>
                          <a:ln w="9525">
                            <a:noFill/>
                          </a:ln>
                        </pic:spPr>
                      </pic:pic>
                    </a:graphicData>
                  </a:graphic>
                </wp:inline>
              </w:drawing>
            </w:r>
          </w:p>
          <w:p>
            <w:pPr>
              <w:pStyle w:val="21"/>
              <w:shd w:val="clear"/>
              <w:bidi w:val="0"/>
              <w:ind w:left="0" w:leftChars="0"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式中：r——声源到预测点的距离，m；</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hm——传播路径的平均离地高度，m；可按图</w:t>
            </w:r>
            <w:r>
              <w:rPr>
                <w:rFonts w:hint="eastAsia"/>
                <w:color w:val="000000" w:themeColor="text1"/>
                <w:highlight w:val="none"/>
                <w:lang w:val="en-US" w:eastAsia="zh-CN"/>
                <w14:textFill>
                  <w14:solidFill>
                    <w14:schemeClr w14:val="tx1"/>
                  </w14:solidFill>
                </w14:textFill>
              </w:rPr>
              <w:t>9</w:t>
            </w:r>
            <w:r>
              <w:rPr>
                <w:rFonts w:hint="default"/>
                <w:color w:val="000000" w:themeColor="text1"/>
                <w:highlight w:val="none"/>
                <w14:textFill>
                  <w14:solidFill>
                    <w14:schemeClr w14:val="tx1"/>
                  </w14:solidFill>
                </w14:textFill>
              </w:rPr>
              <w:t>进行计算，hm＝F/r；</w:t>
            </w:r>
          </w:p>
          <w:p>
            <w:pPr>
              <w:pStyle w:val="21"/>
              <w:shd w:val="clear"/>
              <w:bidi w:val="0"/>
              <w:ind w:firstLine="720" w:firstLineChars="3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F：面积，m</w:t>
            </w:r>
            <w:r>
              <w:rPr>
                <w:rFonts w:hint="default"/>
                <w:color w:val="000000" w:themeColor="text1"/>
                <w:highlight w:val="none"/>
                <w:vertAlign w:val="superscript"/>
                <w14:textFill>
                  <w14:solidFill>
                    <w14:schemeClr w14:val="tx1"/>
                  </w14:solidFill>
                </w14:textFill>
              </w:rPr>
              <w:t>2</w:t>
            </w:r>
            <w:r>
              <w:rPr>
                <w:rFonts w:hint="default"/>
                <w:color w:val="000000" w:themeColor="text1"/>
                <w:highlight w:val="none"/>
                <w14:textFill>
                  <w14:solidFill>
                    <w14:schemeClr w14:val="tx1"/>
                  </w14:solidFill>
                </w14:textFill>
              </w:rPr>
              <w:t>；若Agr计算出负值，则Agr可用“0”代替。</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其他情况参照GB/T17247.2进行计算。</w:t>
            </w:r>
          </w:p>
          <w:p>
            <w:pPr>
              <w:pStyle w:val="21"/>
              <w:shd w:val="clear"/>
              <w:bidi w:val="0"/>
              <w:rPr>
                <w:rFonts w:hint="default"/>
                <w:color w:val="000000" w:themeColor="text1"/>
                <w:highlight w:val="none"/>
                <w14:textFill>
                  <w14:solidFill>
                    <w14:schemeClr w14:val="tx1"/>
                  </w14:solidFill>
                </w14:textFill>
              </w:rPr>
            </w:pPr>
          </w:p>
          <w:p>
            <w:pPr>
              <w:pStyle w:val="21"/>
              <w:shd w:val="clear"/>
              <w:bidi w:val="0"/>
              <w:ind w:left="0" w:leftChars="0" w:firstLine="0" w:firstLineChars="0"/>
              <w:rPr>
                <w:rFonts w:hint="default"/>
                <w:color w:val="000000" w:themeColor="text1"/>
                <w:highlight w:val="none"/>
                <w14:textFill>
                  <w14:solidFill>
                    <w14:schemeClr w14:val="tx1"/>
                  </w14:solidFill>
                </w14:textFill>
              </w:rPr>
            </w:pPr>
          </w:p>
          <w:p>
            <w:pPr>
              <w:keepNext w:val="0"/>
              <w:keepLines w:val="0"/>
              <w:suppressLineNumbers w:val="0"/>
              <w:shd w:val="clear"/>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3404870" cy="1636395"/>
                  <wp:effectExtent l="0" t="0" r="5080" b="1905"/>
                  <wp:docPr id="174" name="图片 93" descr="dao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3" descr="daoze3"/>
                          <pic:cNvPicPr>
                            <a:picLocks noChangeAspect="1"/>
                          </pic:cNvPicPr>
                        </pic:nvPicPr>
                        <pic:blipFill>
                          <a:blip r:embed="rId94"/>
                          <a:srcRect l="6506" b="13066"/>
                          <a:stretch>
                            <a:fillRect/>
                          </a:stretch>
                        </pic:blipFill>
                        <pic:spPr>
                          <a:xfrm>
                            <a:off x="0" y="0"/>
                            <a:ext cx="3408641" cy="1638330"/>
                          </a:xfrm>
                          <a:prstGeom prst="rect">
                            <a:avLst/>
                          </a:prstGeom>
                          <a:noFill/>
                          <a:ln w="9525">
                            <a:noFill/>
                          </a:ln>
                        </pic:spPr>
                      </pic:pic>
                    </a:graphicData>
                  </a:graphic>
                </wp:inline>
              </w:drawing>
            </w:r>
          </w:p>
          <w:p>
            <w:pPr>
              <w:pStyle w:val="22"/>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估计平均高度</w:t>
            </w:r>
            <w:r>
              <w:rPr>
                <w:rFonts w:hint="default" w:cs="Times New Roman"/>
                <w:i/>
                <w:color w:val="000000" w:themeColor="text1"/>
                <w:szCs w:val="20"/>
                <w:highlight w:val="none"/>
                <w14:textFill>
                  <w14:solidFill>
                    <w14:schemeClr w14:val="tx1"/>
                  </w14:solidFill>
                </w14:textFill>
              </w:rPr>
              <w:t>h</w:t>
            </w:r>
            <w:r>
              <w:rPr>
                <w:rFonts w:hint="default" w:cs="Times New Roman"/>
                <w:i/>
                <w:color w:val="000000" w:themeColor="text1"/>
                <w:szCs w:val="20"/>
                <w:highlight w:val="none"/>
                <w:vertAlign w:val="subscript"/>
                <w14:textFill>
                  <w14:solidFill>
                    <w14:schemeClr w14:val="tx1"/>
                  </w14:solidFill>
                </w14:textFill>
              </w:rPr>
              <w:t>m</w:t>
            </w:r>
            <w:r>
              <w:rPr>
                <w:rFonts w:hint="default" w:cs="Times New Roman"/>
                <w:color w:val="000000" w:themeColor="text1"/>
                <w:szCs w:val="20"/>
                <w:highlight w:val="none"/>
                <w14:textFill>
                  <w14:solidFill>
                    <w14:schemeClr w14:val="tx1"/>
                  </w14:solidFill>
                </w14:textFill>
              </w:rPr>
              <w:t>的方法</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C.其它多方面原因引起的衰减(Amisc)</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本评价不考虑其他多方面原因引起的衰减</w:t>
            </w:r>
            <w:r>
              <w:rPr>
                <w:rFonts w:hint="default"/>
                <w:color w:val="000000" w:themeColor="text1"/>
                <w:highlight w:val="none"/>
                <w14:textFill>
                  <w14:solidFill>
                    <w14:schemeClr w14:val="tx1"/>
                  </w14:solidFill>
                </w14:textFill>
              </w:rPr>
              <w:drawing>
                <wp:inline distT="0" distB="0" distL="114300" distR="114300">
                  <wp:extent cx="304800" cy="165100"/>
                  <wp:effectExtent l="0" t="0" r="0" b="4445"/>
                  <wp:docPr id="17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4"/>
                          <pic:cNvPicPr>
                            <a:picLocks noChangeAspect="1"/>
                          </pic:cNvPicPr>
                        </pic:nvPicPr>
                        <pic:blipFill>
                          <a:blip r:embed="rId95"/>
                          <a:stretch>
                            <a:fillRect/>
                          </a:stretch>
                        </pic:blipFill>
                        <pic:spPr>
                          <a:xfrm>
                            <a:off x="0" y="0"/>
                            <a:ext cx="304800" cy="165100"/>
                          </a:xfrm>
                          <a:prstGeom prst="rect">
                            <a:avLst/>
                          </a:prstGeom>
                          <a:noFill/>
                          <a:ln w="9525">
                            <a:noFill/>
                          </a:ln>
                        </pic:spPr>
                      </pic:pic>
                    </a:graphicData>
                  </a:graphic>
                </wp:inline>
              </w:drawing>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default"/>
                <w:color w:val="000000" w:themeColor="text1"/>
                <w:highlight w:val="none"/>
                <w14:textFill>
                  <w14:solidFill>
                    <w14:schemeClr w14:val="tx1"/>
                  </w14:solidFill>
                </w14:textFill>
              </w:rPr>
              <w:t>.反射引起的修正量(ΔL3)</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如图</w:t>
            </w:r>
            <w:r>
              <w:rPr>
                <w:rFonts w:hint="eastAsia"/>
                <w:color w:val="000000" w:themeColor="text1"/>
                <w:highlight w:val="none"/>
                <w:lang w:val="en-US" w:eastAsia="zh-CN"/>
                <w14:textFill>
                  <w14:solidFill>
                    <w14:schemeClr w14:val="tx1"/>
                  </w14:solidFill>
                </w14:textFill>
              </w:rPr>
              <w:t>10</w:t>
            </w:r>
            <w:r>
              <w:rPr>
                <w:rFonts w:hint="default"/>
                <w:color w:val="000000" w:themeColor="text1"/>
                <w:highlight w:val="none"/>
                <w14:textFill>
                  <w14:solidFill>
                    <w14:schemeClr w14:val="tx1"/>
                  </w14:solidFill>
                </w14:textFill>
              </w:rPr>
              <w:t>所示，当点声源与预测点处在反射体同侧附近时，到达预测点的声级是直达声与反射声叠加的结果，从而使预测点声级增高。</w:t>
            </w:r>
          </w:p>
          <w:p>
            <w:pPr>
              <w:pStyle w:val="19"/>
              <w:keepNext w:val="0"/>
              <w:keepLines w:val="0"/>
              <w:widowControl/>
              <w:suppressLineNumbers w:val="0"/>
              <w:shd w:val="clear"/>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INCLUDEPICTURE  "http://www.china-eia.com/chengxu/HJT2.4-1995%20dz-shj.files/HJT2.4-1995%20tu2.bmp" \* MERGEFORMATINET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3749675" cy="1573530"/>
                  <wp:effectExtent l="0" t="0" r="3175" b="7620"/>
                  <wp:docPr id="17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95"/>
                          <pic:cNvPicPr>
                            <a:picLocks noChangeAspect="1"/>
                          </pic:cNvPicPr>
                        </pic:nvPicPr>
                        <pic:blipFill>
                          <a:blip r:embed="rId96" r:link="rId97"/>
                          <a:srcRect t="8974" b="5769"/>
                          <a:stretch>
                            <a:fillRect/>
                          </a:stretch>
                        </pic:blipFill>
                        <pic:spPr>
                          <a:xfrm>
                            <a:off x="0" y="0"/>
                            <a:ext cx="3749675" cy="1573530"/>
                          </a:xfrm>
                          <a:prstGeom prst="rect">
                            <a:avLst/>
                          </a:prstGeom>
                          <a:noFill/>
                          <a:ln w="9525">
                            <a:noFill/>
                          </a:ln>
                        </pic:spPr>
                      </pic:pic>
                    </a:graphicData>
                  </a:graphic>
                </wp:inline>
              </w:drawing>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p>
          <w:p>
            <w:pPr>
              <w:pStyle w:val="22"/>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反射体的影响</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当满足下列条件时需考虑反射体引起的声级增高：</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A.反射体表而是平整、光滑、坚硬的；</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B.反射体尺寸远远大于所有声波的波长；</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C.入射角θ＜85°。</w:t>
            </w:r>
          </w:p>
          <w:p>
            <w:pPr>
              <w:pStyle w:val="21"/>
              <w:shd w:val="clear"/>
              <w:bidi w:val="0"/>
              <w:rPr>
                <w:rFonts w:hint="default" w:cs="Times New Roman"/>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rr-rd&gt;&gt;λ反射引起的修正量ΔL3与rr/rd有关(rr=IP、rd=SP)，可按</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14:textFill>
                  <w14:solidFill>
                    <w14:schemeClr w14:val="tx1"/>
                  </w14:solidFill>
                </w14:textFill>
              </w:rPr>
              <w:t>计算</w:t>
            </w:r>
            <w:r>
              <w:rPr>
                <w:rFonts w:hint="default" w:cs="Times New Roman"/>
                <w:color w:val="000000" w:themeColor="text1"/>
                <w:highlight w:val="none"/>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反射体引起的修正量</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83"/>
              <w:gridCol w:w="38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rr/rd</w:t>
                  </w:r>
                </w:p>
              </w:tc>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w:t>
                  </w:r>
                </w:p>
              </w:tc>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≈1.4</w:t>
                  </w:r>
                </w:p>
              </w:tc>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w:t>
                  </w:r>
                </w:p>
              </w:tc>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＞2.5</w:t>
                  </w:r>
                </w:p>
              </w:tc>
              <w:tc>
                <w:tcPr>
                  <w:tcW w:w="2500"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0</w:t>
                  </w:r>
                </w:p>
              </w:tc>
            </w:tr>
          </w:tbl>
          <w:p>
            <w:pPr>
              <w:pStyle w:val="21"/>
              <w:shd w:val="clear"/>
              <w:bidi w:val="0"/>
              <w:rPr>
                <w:rFonts w:hint="default"/>
                <w:color w:val="000000" w:themeColor="text1"/>
                <w:highlight w:val="none"/>
                <w14:textFill>
                  <w14:solidFill>
                    <w14:schemeClr w14:val="tx1"/>
                  </w14:solidFill>
                </w14:textFill>
              </w:rPr>
            </w:pP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3.3</w:t>
            </w:r>
            <w:r>
              <w:rPr>
                <w:rFonts w:hint="default" w:eastAsia="宋体"/>
                <w:color w:val="000000" w:themeColor="text1"/>
                <w:highlight w:val="none"/>
                <w14:textFill>
                  <w14:solidFill>
                    <w14:schemeClr w14:val="tx1"/>
                  </w14:solidFill>
                </w14:textFill>
              </w:rPr>
              <w:t>工程主要技术指标与参数选取</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本工程主要参数选取见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本工程噪声预测模式参数选取</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40"/>
              <w:gridCol w:w="2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序号</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参数</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纬二西路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路面材料</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水混凝土路面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路面总宽度(m)</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3</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道路两侧地面类型</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水泥路面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4</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最大设计时速(km/h)</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5</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车道总数</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eastAsia="宋体" w:cs="Times New Roman"/>
                      <w:color w:val="000000" w:themeColor="text1"/>
                      <w:szCs w:val="20"/>
                      <w:highlight w:val="none"/>
                      <w:lang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6</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空气相对湿度(%)</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7</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气温(℃)</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8</w:t>
                  </w:r>
                </w:p>
              </w:tc>
              <w:tc>
                <w:tcPr>
                  <w:tcW w:w="2342"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大气压强(atm)</w:t>
                  </w:r>
                </w:p>
              </w:tc>
              <w:tc>
                <w:tcPr>
                  <w:tcW w:w="1929" w:type="pct"/>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1</w:t>
                  </w:r>
                </w:p>
              </w:tc>
            </w:tr>
          </w:tbl>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r>
              <w:rPr>
                <w:rFonts w:hint="default" w:eastAsia="宋体"/>
                <w:color w:val="000000" w:themeColor="text1"/>
                <w:highlight w:val="none"/>
                <w14:textFill>
                  <w14:solidFill>
                    <w14:schemeClr w14:val="tx1"/>
                  </w14:solidFill>
                </w14:textFill>
              </w:rPr>
              <w:t>交通噪声预测结果与评价</w:t>
            </w:r>
          </w:p>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eastAsia="宋体"/>
                <w:color w:val="000000" w:themeColor="text1"/>
                <w:highlight w:val="none"/>
                <w:lang w:val="en-US" w:eastAsia="zh-CN"/>
                <w14:textFill>
                  <w14:solidFill>
                    <w14:schemeClr w14:val="tx1"/>
                  </w14:solidFill>
                </w14:textFill>
              </w:rPr>
              <w:t>道路两侧水平向交通噪声影响预测与分析</w:t>
            </w:r>
          </w:p>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根据前面预测方法。预测模式和设定的参数，对道路的交通噪声进行预测。预测内容包括：营运期间交通噪声在各特征年、不同时段、距道路中心线不同距离的影响预测。交通噪声预测假设在平路基、开阔、平坦、直线段等特定环境条件下，不考虑线路两侧树木、地上物对声波的遮挡等声传播附加衰减，只考虑声波的几何衰减与地面吸收及空气吸收衰减而获得的纯交通噪声的贡献值在水平向的影响分布。</w:t>
            </w:r>
          </w:p>
          <w:p>
            <w:pPr>
              <w:pStyle w:val="21"/>
              <w:shd w:val="clear"/>
              <w:bidi w:val="0"/>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本项目交通噪声水平向预测结果见</w:t>
            </w:r>
            <w:r>
              <w:rPr>
                <w:rFonts w:hint="eastAsia"/>
                <w:color w:val="000000" w:themeColor="text1"/>
                <w:highlight w:val="none"/>
                <w:lang w:val="en-US" w:eastAsia="zh-CN"/>
                <w14:textFill>
                  <w14:solidFill>
                    <w14:schemeClr w14:val="tx1"/>
                  </w14:solidFill>
                </w14:textFill>
              </w:rPr>
              <w:t>下表。</w:t>
            </w: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bookmarkStart w:id="16" w:name="_Ref9882"/>
            <w:r>
              <w:rPr>
                <w:rFonts w:hint="default"/>
                <w:color w:val="000000" w:themeColor="text1"/>
                <w:highlight w:val="none"/>
                <w14:textFill>
                  <w14:solidFill>
                    <w14:schemeClr w14:val="tx1"/>
                  </w14:solidFill>
                </w14:textFill>
              </w:rPr>
              <w:t>不同预测年水平交通噪声预测值</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14:textFill>
                  <w14:solidFill>
                    <w14:schemeClr w14:val="tx1"/>
                  </w14:solidFill>
                </w14:textFill>
              </w:rPr>
              <w:t>单位dB(A)</w:t>
            </w:r>
            <w:bookmarkEnd w:id="16"/>
          </w:p>
          <w:tbl>
            <w:tblPr>
              <w:tblStyle w:val="13"/>
              <w:tblW w:w="4999" w:type="pct"/>
              <w:tblInd w:w="5"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669"/>
              <w:gridCol w:w="613"/>
              <w:gridCol w:w="613"/>
              <w:gridCol w:w="614"/>
              <w:gridCol w:w="614"/>
              <w:gridCol w:w="614"/>
              <w:gridCol w:w="614"/>
              <w:gridCol w:w="614"/>
              <w:gridCol w:w="614"/>
              <w:gridCol w:w="614"/>
              <w:gridCol w:w="62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40" w:type="pct"/>
                  <w:gridSpan w:val="2"/>
                  <w:vMerge w:val="restart"/>
                  <w:tcBorders>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特征年</w:t>
                  </w:r>
                </w:p>
              </w:tc>
              <w:tc>
                <w:tcPr>
                  <w:tcW w:w="3959" w:type="pct"/>
                  <w:gridSpan w:val="10"/>
                  <w:tcBorders>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与道路中心线距离(</w:t>
                  </w:r>
                  <w:r>
                    <w:rPr>
                      <w:rFonts w:hint="default" w:cs="Times New Roman"/>
                      <w:color w:val="000000" w:themeColor="text1"/>
                      <w:szCs w:val="20"/>
                      <w:highlight w:val="none"/>
                      <w:lang w:val="en-US" w:eastAsia="zh-CN"/>
                      <w14:textFill>
                        <w14:solidFill>
                          <w14:schemeClr w14:val="tx1"/>
                        </w14:solidFill>
                      </w14:textFill>
                    </w:rPr>
                    <w:t>m</w:t>
                  </w: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0" w:type="pct"/>
                  <w:gridSpan w:val="2"/>
                  <w:vMerge w:val="continue"/>
                  <w:tcBorders>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3.25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75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100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150</w:t>
                  </w:r>
                </w:p>
              </w:tc>
              <w:tc>
                <w:tcPr>
                  <w:tcW w:w="401" w:type="pct"/>
                  <w:tcBorders>
                    <w:top w:val="single" w:color="000000" w:sz="4" w:space="0"/>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09" w:type="pct"/>
                  <w:vMerge w:val="restart"/>
                  <w:tcBorders>
                    <w:top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2023</w:t>
                  </w:r>
                  <w:r>
                    <w:rPr>
                      <w:rFonts w:hint="eastAsia" w:cs="Times New Roman"/>
                      <w:color w:val="000000" w:themeColor="text1"/>
                      <w:szCs w:val="20"/>
                      <w:highlight w:val="none"/>
                      <w:lang w:val="en-US" w:eastAsia="zh-CN"/>
                      <w14:textFill>
                        <w14:solidFill>
                          <w14:schemeClr w14:val="tx1"/>
                        </w14:solidFill>
                      </w14:textFill>
                    </w:rPr>
                    <w:t>年</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45.6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43.7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40.7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36.0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32.9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29.7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27.5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26.0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24.0 </w:t>
                  </w:r>
                </w:p>
              </w:tc>
              <w:tc>
                <w:tcPr>
                  <w:tcW w:w="401" w:type="pct"/>
                  <w:tcBorders>
                    <w:top w:val="single" w:color="000000" w:sz="4" w:space="0"/>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22.5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09" w:type="pct"/>
                  <w:vMerge w:val="continue"/>
                  <w:tcBorders>
                    <w:top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41.0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39.2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36.2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31.5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28.3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25.2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23.0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21.5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19.5 </w:t>
                  </w:r>
                </w:p>
              </w:tc>
              <w:tc>
                <w:tcPr>
                  <w:tcW w:w="401" w:type="pct"/>
                  <w:tcBorders>
                    <w:top w:val="single" w:color="000000" w:sz="4" w:space="0"/>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18.0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09" w:type="pct"/>
                  <w:vMerge w:val="restart"/>
                  <w:tcBorders>
                    <w:top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2029</w:t>
                  </w:r>
                  <w:r>
                    <w:rPr>
                      <w:rFonts w:hint="eastAsia" w:cs="Times New Roman"/>
                      <w:color w:val="000000" w:themeColor="text1"/>
                      <w:szCs w:val="20"/>
                      <w:highlight w:val="none"/>
                      <w:lang w:val="en-US" w:eastAsia="zh-CN"/>
                      <w14:textFill>
                        <w14:solidFill>
                          <w14:schemeClr w14:val="tx1"/>
                        </w14:solidFill>
                      </w14:textFill>
                    </w:rPr>
                    <w:t>年</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46.7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44.9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41.8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37.2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34.0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30.9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28.7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27.2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25.1 </w:t>
                  </w:r>
                </w:p>
              </w:tc>
              <w:tc>
                <w:tcPr>
                  <w:tcW w:w="401" w:type="pct"/>
                  <w:tcBorders>
                    <w:top w:val="single" w:color="000000" w:sz="4" w:space="0"/>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23.7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09" w:type="pct"/>
                  <w:vMerge w:val="continue"/>
                  <w:tcBorders>
                    <w:top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42.2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40.3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37.3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32.7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29.5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26.3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24.2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22.7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20.6 </w:t>
                  </w:r>
                </w:p>
              </w:tc>
              <w:tc>
                <w:tcPr>
                  <w:tcW w:w="401" w:type="pct"/>
                  <w:tcBorders>
                    <w:top w:val="single" w:color="000000" w:sz="4" w:space="0"/>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19.2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09" w:type="pct"/>
                  <w:vMerge w:val="restart"/>
                  <w:tcBorders>
                    <w:top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2037</w:t>
                  </w:r>
                  <w:r>
                    <w:rPr>
                      <w:rFonts w:hint="eastAsia" w:cs="Times New Roman"/>
                      <w:color w:val="000000" w:themeColor="text1"/>
                      <w:szCs w:val="20"/>
                      <w:highlight w:val="none"/>
                      <w:lang w:val="en-US" w:eastAsia="zh-CN"/>
                      <w14:textFill>
                        <w14:solidFill>
                          <w14:schemeClr w14:val="tx1"/>
                        </w14:solidFill>
                      </w14:textFill>
                    </w:rPr>
                    <w:t>年</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48.7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46.9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43.8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39.2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36.0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32.9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30.7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29.2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27.1 </w:t>
                  </w:r>
                </w:p>
              </w:tc>
              <w:tc>
                <w:tcPr>
                  <w:tcW w:w="401" w:type="pct"/>
                  <w:tcBorders>
                    <w:top w:val="single" w:color="000000" w:sz="4" w:space="0"/>
                    <w:left w:val="single" w:color="000000" w:sz="4" w:space="0"/>
                    <w:bottom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25.7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09" w:type="pct"/>
                  <w:vMerge w:val="continue"/>
                  <w:tcBorders>
                    <w:top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431"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44.2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42.3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39.3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34.7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31.5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28.3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26.1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24.7 </w:t>
                  </w:r>
                </w:p>
              </w:tc>
              <w:tc>
                <w:tcPr>
                  <w:tcW w:w="395" w:type="pct"/>
                  <w:tcBorders>
                    <w:top w:val="single" w:color="000000" w:sz="4" w:space="0"/>
                    <w:left w:val="single" w:color="000000" w:sz="4" w:space="0"/>
                    <w:righ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22.6 </w:t>
                  </w:r>
                </w:p>
              </w:tc>
              <w:tc>
                <w:tcPr>
                  <w:tcW w:w="401" w:type="pct"/>
                  <w:tcBorders>
                    <w:top w:val="single" w:color="000000" w:sz="4" w:space="0"/>
                    <w:left w:val="single" w:color="000000"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 xml:space="preserve">21.2 </w:t>
                  </w:r>
                </w:p>
              </w:tc>
            </w:tr>
          </w:tbl>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本工程为四级公路建设项目，属于农村公路，噪声</w:t>
            </w:r>
            <w:r>
              <w:rPr>
                <w:rFonts w:hint="default"/>
                <w:color w:val="000000" w:themeColor="text1"/>
                <w:highlight w:val="none"/>
                <w14:textFill>
                  <w14:solidFill>
                    <w14:schemeClr w14:val="tx1"/>
                  </w14:solidFill>
                </w14:textFill>
              </w:rPr>
              <w:t>执行GB3096-2008《声环境质量标准》</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类标准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昼间60dB，夜间50dB</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_Ref9882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表39</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预测结果可知，本项目道路边线(3.25m)处可满足2类标准。</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(2)敏感点噪声影响分析</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敏感点环境噪声预测应考虑其所处路段及所对应的地面覆盖状况、道路结构、路堤或路堑高度、公路有限长声源和地形等因素修正，由交通噪声预测值叠加相应的声环境背景值得到。</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预测点昼间或夜间环境噪声预测值采用以下公式计算：</w:t>
            </w:r>
          </w:p>
          <w:p>
            <w:pPr>
              <w:pStyle w:val="21"/>
              <w:shd w:val="clea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(Leq)预＝10lg[100.1(Leq)交+100.1(Leq)背]</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式中：(Leq)预——预测点昼间或夜间环境噪声预测值，dB(A)；</w:t>
            </w:r>
          </w:p>
          <w:p>
            <w:pPr>
              <w:pStyle w:val="21"/>
              <w:shd w:val="clear"/>
              <w:bidi w:val="0"/>
              <w:ind w:firstLine="1200" w:firstLineChars="5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(Leq)背——预测点环境噪声背景值，dB(A)。</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本公路位于贯岭镇溪底村，溪底村居民房距本项目道路中线最近距离为5m处，敏感点营运2023年、2029年及2037年的环境噪声预测结果见下表。</w:t>
            </w:r>
          </w:p>
          <w:p>
            <w:pPr>
              <w:pStyle w:val="18"/>
              <w:keepNext w:val="0"/>
              <w:keepLines w:val="0"/>
              <w:suppressLineNumbers w:val="0"/>
              <w:shd w:val="clear"/>
              <w:bidi w:val="0"/>
              <w:spacing w:before="0" w:beforeAutospacing="0" w:after="0" w:afterAutospacing="0"/>
              <w:ind w:right="0"/>
              <w:rPr>
                <w:rFonts w:hint="default" w:cs="Times New Roman"/>
                <w:color w:val="000000" w:themeColor="text1"/>
                <w:highlight w:val="none"/>
                <w14:textFill>
                  <w14:solidFill>
                    <w14:schemeClr w14:val="tx1"/>
                  </w14:solidFill>
                </w14:textFill>
              </w:rPr>
            </w:pPr>
            <w:bookmarkStart w:id="17" w:name="_Ref11111"/>
            <w:r>
              <w:rPr>
                <w:rFonts w:hint="eastAsia" w:cs="Times New Roman"/>
                <w:color w:val="000000" w:themeColor="text1"/>
                <w:highlight w:val="none"/>
                <w:lang w:val="en-US" w:eastAsia="zh-CN"/>
                <w14:textFill>
                  <w14:solidFill>
                    <w14:schemeClr w14:val="tx1"/>
                  </w14:solidFill>
                </w14:textFill>
              </w:rPr>
              <w:t>噪声预测结果与达标分析表</w:t>
            </w:r>
            <w:r>
              <w:rPr>
                <w:rFonts w:hint="default" w:cs="Times New Roman"/>
                <w:color w:val="000000" w:themeColor="text1"/>
                <w:highlight w:val="none"/>
                <w14:textFill>
                  <w14:solidFill>
                    <w14:schemeClr w14:val="tx1"/>
                  </w14:solidFill>
                </w14:textFill>
              </w:rPr>
              <w:t xml:space="preserve">   单位：L</w:t>
            </w:r>
            <w:r>
              <w:rPr>
                <w:rFonts w:hint="default" w:cs="Times New Roman"/>
                <w:color w:val="000000" w:themeColor="text1"/>
                <w:highlight w:val="none"/>
                <w:vertAlign w:val="subscript"/>
                <w14:textFill>
                  <w14:solidFill>
                    <w14:schemeClr w14:val="tx1"/>
                  </w14:solidFill>
                </w14:textFill>
              </w:rPr>
              <w:t>Aeq</w:t>
            </w:r>
            <w:r>
              <w:rPr>
                <w:rFonts w:hint="default" w:cs="Times New Roman"/>
                <w:color w:val="000000" w:themeColor="text1"/>
                <w:highlight w:val="none"/>
                <w14:textFill>
                  <w14:solidFill>
                    <w14:schemeClr w14:val="tx1"/>
                  </w14:solidFill>
                </w14:textFill>
              </w:rPr>
              <w:t>dB(A)</w:t>
            </w:r>
            <w:bookmarkEnd w:id="17"/>
          </w:p>
          <w:tbl>
            <w:tblPr>
              <w:tblStyle w:val="13"/>
              <w:tblW w:w="4859"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25"/>
              <w:gridCol w:w="1850"/>
              <w:gridCol w:w="1304"/>
              <w:gridCol w:w="267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231" w:type="pct"/>
                  <w:gridSpan w:val="3"/>
                  <w:tcBorders>
                    <w:bottom w:val="single" w:color="auto"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声环境保护目标名称</w:t>
                  </w:r>
                </w:p>
              </w:tc>
              <w:tc>
                <w:tcPr>
                  <w:tcW w:w="1768" w:type="pct"/>
                  <w:tcBorders>
                    <w:left w:val="nil"/>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溪底村</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231" w:type="pct"/>
                  <w:gridSpan w:val="3"/>
                  <w:tcBorders>
                    <w:top w:val="single" w:color="auto" w:sz="4" w:space="0"/>
                    <w:bottom w:val="single" w:color="auto"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功能区类别</w:t>
                  </w:r>
                </w:p>
              </w:tc>
              <w:tc>
                <w:tcPr>
                  <w:tcW w:w="1768" w:type="pct"/>
                  <w:tcBorders>
                    <w:top w:val="nil"/>
                    <w:left w:val="nil"/>
                    <w:bottom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2类</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231" w:type="pct"/>
                  <w:gridSpan w:val="3"/>
                  <w:tcBorders>
                    <w:top w:val="single" w:color="auto" w:sz="4" w:space="0"/>
                    <w:bottom w:val="single" w:color="auto"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距路中心线距离</w:t>
                  </w:r>
                  <w:r>
                    <w:rPr>
                      <w:rFonts w:hint="default" w:cs="Times New Roman"/>
                      <w:color w:val="000000" w:themeColor="text1"/>
                      <w:szCs w:val="20"/>
                      <w:highlight w:val="none"/>
                      <w:lang w:val="en-US" w:eastAsia="zh-CN"/>
                      <w14:textFill>
                        <w14:solidFill>
                          <w14:schemeClr w14:val="tx1"/>
                        </w14:solidFill>
                      </w14:textFill>
                    </w:rPr>
                    <w:t>(m)</w:t>
                  </w:r>
                </w:p>
              </w:tc>
              <w:tc>
                <w:tcPr>
                  <w:tcW w:w="1768" w:type="pct"/>
                  <w:tcBorders>
                    <w:top w:val="nil"/>
                    <w:left w:val="nil"/>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367" w:type="pct"/>
                  <w:gridSpan w:val="2"/>
                  <w:vMerge w:val="restart"/>
                  <w:tcBorders>
                    <w:top w:val="single" w:color="auto" w:sz="4" w:space="0"/>
                    <w:bottom w:val="single" w:color="000000"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环境现状值</w:t>
                  </w:r>
                  <w:r>
                    <w:rPr>
                      <w:rFonts w:hint="default" w:cs="Times New Roman"/>
                      <w:color w:val="000000" w:themeColor="text1"/>
                      <w:szCs w:val="20"/>
                      <w:highlight w:val="none"/>
                      <w:lang w:val="en-US" w:eastAsia="zh-CN"/>
                      <w14:textFill>
                        <w14:solidFill>
                          <w14:schemeClr w14:val="tx1"/>
                        </w14:solidFill>
                      </w14:textFill>
                    </w:rPr>
                    <w:t>(dB)</w:t>
                  </w:r>
                </w:p>
              </w:tc>
              <w:tc>
                <w:tcPr>
                  <w:tcW w:w="863" w:type="pct"/>
                  <w:tcBorders>
                    <w:top w:val="nil"/>
                    <w:left w:val="nil"/>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nil"/>
                    <w:left w:val="nil"/>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46.6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367" w:type="pct"/>
                  <w:gridSpan w:val="2"/>
                  <w:vMerge w:val="continue"/>
                  <w:tcBorders>
                    <w:top w:val="single" w:color="auto" w:sz="4" w:space="0"/>
                    <w:bottom w:val="single" w:color="000000"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863" w:type="pct"/>
                  <w:tcBorders>
                    <w:top w:val="nil"/>
                    <w:left w:val="nil"/>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nil"/>
                    <w:left w:val="nil"/>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367" w:type="pct"/>
                  <w:gridSpan w:val="2"/>
                  <w:vMerge w:val="restart"/>
                  <w:tcBorders>
                    <w:top w:val="single" w:color="auto" w:sz="4" w:space="0"/>
                    <w:bottom w:val="single" w:color="000000"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背景噪声</w:t>
                  </w:r>
                  <w:r>
                    <w:rPr>
                      <w:rFonts w:hint="default" w:cs="Times New Roman"/>
                      <w:color w:val="000000" w:themeColor="text1"/>
                      <w:szCs w:val="20"/>
                      <w:highlight w:val="none"/>
                      <w:lang w:val="en-US" w:eastAsia="zh-CN"/>
                      <w14:textFill>
                        <w14:solidFill>
                          <w14:schemeClr w14:val="tx1"/>
                        </w14:solidFill>
                      </w14:textFill>
                    </w:rPr>
                    <w:t>(dB)</w:t>
                  </w:r>
                </w:p>
              </w:tc>
              <w:tc>
                <w:tcPr>
                  <w:tcW w:w="863" w:type="pct"/>
                  <w:tcBorders>
                    <w:top w:val="nil"/>
                    <w:left w:val="nil"/>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nil"/>
                    <w:left w:val="nil"/>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46.6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367" w:type="pct"/>
                  <w:gridSpan w:val="2"/>
                  <w:vMerge w:val="continue"/>
                  <w:tcBorders>
                    <w:top w:val="single" w:color="auto" w:sz="4" w:space="0"/>
                    <w:bottom w:val="single" w:color="000000" w:sz="4" w:space="0"/>
                    <w:right w:val="single" w:color="000000"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863" w:type="pct"/>
                  <w:tcBorders>
                    <w:top w:val="nil"/>
                    <w:left w:val="nil"/>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nil"/>
                    <w:left w:val="nil"/>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restart"/>
                  <w:tcBorders>
                    <w:top w:val="nil"/>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交通噪声预测值</w:t>
                  </w:r>
                </w:p>
              </w:tc>
              <w:tc>
                <w:tcPr>
                  <w:tcW w:w="1225" w:type="pct"/>
                  <w:vMerge w:val="restart"/>
                  <w:tcBorders>
                    <w:top w:val="nil"/>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2023年</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(近期)</w:t>
                  </w:r>
                </w:p>
              </w:tc>
              <w:tc>
                <w:tcPr>
                  <w:tcW w:w="863" w:type="pct"/>
                  <w:tcBorders>
                    <w:top w:val="nil"/>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nil"/>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43.7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39.2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2029年</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(中期)</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44.9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2037年</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(远期)</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46.9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42.3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2" w:type="pct"/>
                  <w:vMerge w:val="restart"/>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环境噪声预测值</w:t>
                  </w:r>
                </w:p>
              </w:tc>
              <w:tc>
                <w:tcPr>
                  <w:tcW w:w="12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2023年</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(近期)</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48.4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44.9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2029年</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(中期)</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48.8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2037年</w:t>
                  </w:r>
                </w:p>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(远期)</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49.7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42" w:type="pct"/>
                  <w:vMerge w:val="continue"/>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p>
              </w:tc>
              <w:tc>
                <w:tcPr>
                  <w:tcW w:w="12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42.3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367" w:type="pct"/>
                  <w:gridSpan w:val="2"/>
                  <w:vMerge w:val="restart"/>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标准值</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367" w:type="pct"/>
                  <w:gridSpan w:val="2"/>
                  <w:vMerge w:val="continue"/>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367" w:type="pct"/>
                  <w:gridSpan w:val="2"/>
                  <w:vMerge w:val="restart"/>
                  <w:tcBorders>
                    <w:top w:val="single" w:color="auto" w:sz="4" w:space="0"/>
                    <w:bottom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是否达标</w:t>
                  </w:r>
                </w:p>
              </w:tc>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昼间</w:t>
                  </w:r>
                </w:p>
              </w:tc>
              <w:tc>
                <w:tcPr>
                  <w:tcW w:w="1768" w:type="pct"/>
                  <w:tcBorders>
                    <w:top w:val="single" w:color="auto" w:sz="4" w:space="0"/>
                    <w:left w:val="single" w:color="auto" w:sz="4" w:space="0"/>
                    <w:bottom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367" w:type="pct"/>
                  <w:gridSpan w:val="2"/>
                  <w:vMerge w:val="continue"/>
                  <w:tcBorders>
                    <w:top w:val="single" w:color="auto" w:sz="4" w:space="0"/>
                    <w:right w:val="single" w:color="auto" w:sz="4" w:space="0"/>
                  </w:tcBorders>
                  <w:shd w:val="clear" w:color="auto" w:fill="auto"/>
                  <w:noWrap/>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863" w:type="pct"/>
                  <w:tcBorders>
                    <w:top w:val="single" w:color="auto" w:sz="4" w:space="0"/>
                    <w:left w:val="single" w:color="auto" w:sz="4" w:space="0"/>
                    <w:righ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夜间</w:t>
                  </w:r>
                </w:p>
              </w:tc>
              <w:tc>
                <w:tcPr>
                  <w:tcW w:w="1768" w:type="pct"/>
                  <w:tcBorders>
                    <w:top w:val="single" w:color="auto" w:sz="4" w:space="0"/>
                    <w:left w:val="single" w:color="auto" w:sz="4" w:space="0"/>
                  </w:tcBorders>
                  <w:shd w:val="clear" w:color="auto" w:fill="auto"/>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是</w:t>
                  </w:r>
                </w:p>
              </w:tc>
            </w:tr>
          </w:tbl>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_Ref11111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表39</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预测结果可知，近期、中期、远期最近敏感目标处的噪声均可达标。</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本项目为改建公路，由于路况的改善，总体上改建后公路沿线敏感点噪声环境质量比原来略有改善。根据预测结果可知，本公路通车后，声环境质量可达到</w:t>
            </w:r>
            <w:r>
              <w:rPr>
                <w:rFonts w:hint="default"/>
                <w:color w:val="000000" w:themeColor="text1"/>
                <w:highlight w:val="none"/>
                <w14:textFill>
                  <w14:solidFill>
                    <w14:schemeClr w14:val="tx1"/>
                  </w14:solidFill>
                </w14:textFill>
              </w:rPr>
              <w:t>GB3096-2008《声环境质量标准》</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类标准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因此本项目的建设对声环境影响较小。</w:t>
            </w: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4.运营期固体废物环境影响分析</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公路营运期固体废物主要为公路沿线过往行人产生的垃圾以及公路养护、维修产生的土石或其它废旧材料。</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公路沿线过往行人产生的垃圾应进行分类收集，可以回收的进行回收利用，不能回收的由环卫部门统一收集后清运，进行无害化处理；维修过程中产生的土头或其它废旧材料应及时清理掉。如处理不当会破坏地貌和植被的优美形态，造成视觉污染，影响旅行的舒适性。因此，加强公路环保的宣传力度，增强司乘人员的环保意识，培养群众环境保护的主人翁责任感，对保护公路及其周边自然环境具有重要意义。</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运营期的固体废物影响时间长，为使固体废物可能对环境产生的影响消除或降到最低程度，必须采取一系列防治措施。</w:t>
            </w:r>
          </w:p>
          <w:p>
            <w:pPr>
              <w:pStyle w:val="4"/>
              <w:widowControl/>
              <w:numPr>
                <w:ilvl w:val="0"/>
                <w:numId w:val="0"/>
              </w:numPr>
              <w:suppressLineNumbers w:val="0"/>
              <w:shd w:val="clear"/>
              <w:bidi w:val="0"/>
              <w:spacing w:before="0" w:beforeAutospacing="0" w:after="0" w:afterAutospacing="0"/>
              <w:ind w:left="0" w:right="0" w:right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运营期环境风险评价</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5.1风险识别</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本项目全程位于山前水厂饮用水源保护区二级保护区陆域范围。</w:t>
            </w:r>
            <w:r>
              <w:rPr>
                <w:rFonts w:hint="default"/>
                <w:color w:val="000000" w:themeColor="text1"/>
                <w:highlight w:val="none"/>
                <w:lang w:val="en-US" w:eastAsia="zh-CN"/>
                <w14:textFill>
                  <w14:solidFill>
                    <w14:schemeClr w14:val="tx1"/>
                  </w14:solidFill>
                </w14:textFill>
              </w:rPr>
              <w:t>根据《福建省水污染防治条例》</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2021年11月1日起施行</w:t>
            </w:r>
            <w:r>
              <w:rPr>
                <w:rFonts w:hint="eastAsia"/>
                <w:color w:val="000000" w:themeColor="text1"/>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中</w:t>
            </w:r>
            <w:r>
              <w:rPr>
                <w:rFonts w:hint="eastAsia" w:ascii="宋体w.." w:hAnsi="宋体w.." w:eastAsia="宋体w.."/>
                <w:color w:val="000000" w:themeColor="text1"/>
                <w:sz w:val="24"/>
                <w:szCs w:val="24"/>
                <w:highlight w:val="none"/>
                <w14:textFill>
                  <w14:solidFill>
                    <w14:schemeClr w14:val="tx1"/>
                  </w14:solidFill>
                </w14:textFill>
              </w:rPr>
              <w:t>第四十三条</w:t>
            </w:r>
            <w:r>
              <w:rPr>
                <w:rFonts w:hint="eastAsia" w:ascii="宋体w.." w:hAnsi="宋体w.." w:eastAsia="宋体w.."/>
                <w:color w:val="000000" w:themeColor="text1"/>
                <w:sz w:val="24"/>
                <w:szCs w:val="24"/>
                <w:highlight w:val="none"/>
                <w:lang w:eastAsia="zh-CN"/>
                <w14:textFill>
                  <w14:solidFill>
                    <w14:schemeClr w14:val="tx1"/>
                  </w14:solidFill>
                </w14:textFill>
              </w:rPr>
              <w:t>：“县级以上地方人民政府应当根据保护集中式饮用水水源地的需要，在与饮用水水源保护区相邻或者穿越的公路、桥梁、航道采取防护设施，防止运输油类、危险化学品的车辆或者船舶发生事故污染饮用水水源。有条件的地区，还应当在集中式饮用水水源地保护区周边道路的重要路口设置监控设备，加大安全监管力度。</w:t>
            </w:r>
            <w:r>
              <w:rPr>
                <w:rFonts w:hint="default"/>
                <w:color w:val="000000" w:themeColor="text1"/>
                <w:highlight w:val="none"/>
                <w:lang w:val="en-US" w:eastAsia="zh-CN"/>
                <w14:textFill>
                  <w14:solidFill>
                    <w14:schemeClr w14:val="tx1"/>
                  </w14:solidFill>
                </w14:textFill>
              </w:rPr>
              <w:t>公安机关应当将依法划定的饮用水水源保护区列入危险化学品运输车辆限制通行区域，并设置明显的标志；未经批准，运输危险化学品的车辆不得进入</w:t>
            </w:r>
            <w:r>
              <w:rPr>
                <w:rFonts w:hint="eastAsia" w:ascii="宋体w.." w:hAnsi="宋体w.." w:eastAsia="宋体w.."/>
                <w:color w:val="000000" w:themeColor="text1"/>
                <w:sz w:val="23"/>
                <w:szCs w:val="24"/>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。本线路</w:t>
            </w:r>
            <w:r>
              <w:rPr>
                <w:rFonts w:hint="eastAsia"/>
                <w:color w:val="000000" w:themeColor="text1"/>
                <w:highlight w:val="none"/>
                <w:lang w:val="en-US" w:eastAsia="zh-CN"/>
                <w14:textFill>
                  <w14:solidFill>
                    <w14:schemeClr w14:val="tx1"/>
                  </w14:solidFill>
                </w14:textFill>
              </w:rPr>
              <w:t>全路段</w:t>
            </w:r>
            <w:r>
              <w:rPr>
                <w:rFonts w:hint="default"/>
                <w:color w:val="000000" w:themeColor="text1"/>
                <w:highlight w:val="none"/>
                <w:lang w:val="en-US" w:eastAsia="zh-CN"/>
                <w14:textFill>
                  <w14:solidFill>
                    <w14:schemeClr w14:val="tx1"/>
                  </w14:solidFill>
                </w14:textFill>
              </w:rPr>
              <w:t>禁止运输危险化学品及其他危险品的车辆通行，拟建公路若有运输危险化学品的车辆进入且发生危险化学品运输交通事故时，产生的有毒物质有可能进入</w:t>
            </w:r>
            <w:r>
              <w:rPr>
                <w:rFonts w:hint="eastAsia"/>
                <w:color w:val="000000" w:themeColor="text1"/>
                <w:highlight w:val="none"/>
                <w:lang w:val="en-US" w:eastAsia="zh-CN"/>
                <w14:textFill>
                  <w14:solidFill>
                    <w14:schemeClr w14:val="tx1"/>
                  </w14:solidFill>
                </w14:textFill>
              </w:rPr>
              <w:t>溪底溪。</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根据风险产生的成因及沿线环境状况分析，本项目环境风险源主要来自两个方面：</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公路营运期，运输的车辆坠入地表水中或发生泄漏，对水环境造成的影响，尤其是对沿线水系的影响。</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公路营运期，运输车辆事故泄漏对沿线敏感点的影响。</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存在的环境风险因素，主要为人为因素。主要体现在管理人员和驾驶人员没有遵守相关规章制度，如：①对运输危险品车辆没有实行申报管理；②运输车辆没有经车道疏导员对证、单验并经安全检查后放行；③驾驶人员疲劳驾驶、超载、酒后驾驶、超速、无证驾驶等主观因素。除了上述的主观因素外还存在很多客观因素，如遭遇违章车辆或躲避穿越公路的行人等，这些都是诱发风险事故的因素。</w:t>
            </w:r>
          </w:p>
          <w:p>
            <w:pPr>
              <w:pStyle w:val="5"/>
              <w:suppressLineNumbers w:val="0"/>
              <w:shd w:val="clear"/>
              <w:bidi w:val="0"/>
              <w:spacing w:before="0" w:beforeAutospacing="0" w:after="0" w:afterAutospacing="0"/>
              <w:ind w:right="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5.2事故风险</w:t>
            </w:r>
            <w:r>
              <w:rPr>
                <w:rFonts w:hint="eastAsia"/>
                <w:color w:val="000000" w:themeColor="text1"/>
                <w:highlight w:val="none"/>
                <w14:textFill>
                  <w14:solidFill>
                    <w14:schemeClr w14:val="tx1"/>
                  </w14:solidFill>
                </w14:textFill>
              </w:rPr>
              <w:t>分析</w:t>
            </w:r>
          </w:p>
          <w:p>
            <w:pPr>
              <w:pStyle w:val="6"/>
              <w:widowControl/>
              <w:suppressLineNumbers w:val="0"/>
              <w:shd w:val="clear"/>
              <w:bidi w:val="0"/>
              <w:ind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5.2.1事故风险概率估算</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TimesNewRomanPSMT" w:hAnsi="TimesNewRomanPSMT" w:eastAsia="TimesNewRomanPSMT"/>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运输车辆交通事故概率计算</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计算公式</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该公路建成后，输车辆交通事故概率主要根据项目交通量、交通事故概率、从事运输车辆比例、预测年交通量和考核段长度等参数进行计算。在拟建公路上某预测年全路段运输车辆可能发生交通事故次数，污染事故风险概率采用如下经验公式估算：</w:t>
            </w:r>
          </w:p>
          <w:p>
            <w:pPr>
              <w:pStyle w:val="21"/>
              <w:shd w:val="clear"/>
              <w:bidi w:val="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Q1·Q2·Q3·Q4·Q5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/Q6</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式中：P—预测年考核路段的运输化学危险品发生污染事故的风险概率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次/年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Q1—交通事故发生率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次/百万辆·km</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Q2—从事运输车辆所占比重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Q3—预测年拟建项目的交通量</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百万辆/年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Q4—考核路段长度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km</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Q5—可比条件下，由于路网的修通，可能降低交通事故的比重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Q6—危险品货物运输车辆交通安全系数。</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各预测参数的确定</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 基年交通事故率</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Q1</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参照福建省相关交通事故调查统计资料，取0.38 次/</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百万辆·km</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 运输车辆的比重</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Q2</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根据相关资料和现场观测，公路运输车辆在总车流量所占比重为0.5%。</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 预测年的交通量</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Q3</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④ 考核路段长度</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Q4</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⑤ 可比条件下，由于路网的修通，可能降低交通事故的比重</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Q5</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可比条件下，由于路网的修通，可能降低交通事故的比重</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，按0.5%估算。</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⑥ 货物运输车辆交通安全系数</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Q6</w:t>
            </w:r>
            <w:r>
              <w:rPr>
                <w:rFonts w:hint="eastAsia"/>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该系数指由于从事</w:t>
            </w:r>
            <w:r>
              <w:rPr>
                <w:rFonts w:hint="eastAsia"/>
                <w:color w:val="000000" w:themeColor="text1"/>
                <w:highlight w:val="none"/>
                <w:lang w:val="en-US" w:eastAsia="zh-CN"/>
                <w14:textFill>
                  <w14:solidFill>
                    <w14:schemeClr w14:val="tx1"/>
                  </w14:solidFill>
                </w14:textFill>
              </w:rPr>
              <w:t>运输</w:t>
            </w:r>
            <w:r>
              <w:rPr>
                <w:rFonts w:hint="default"/>
                <w:color w:val="000000" w:themeColor="text1"/>
                <w:highlight w:val="none"/>
                <w:lang w:val="en-US" w:eastAsia="zh-CN"/>
                <w14:textFill>
                  <w14:solidFill>
                    <w14:schemeClr w14:val="tx1"/>
                  </w14:solidFill>
                </w14:textFill>
              </w:rPr>
              <w:t>的车辆，无论从驾驶员的安全意识，还是从车辆本身有特殊标志等，比一般运行车辆发生交通事故的可能来得小，但由于没有确切的统计资料，故采用经验系数1.5。</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事故风险概率估算结果</w:t>
            </w:r>
          </w:p>
          <w:p>
            <w:pPr>
              <w:pStyle w:val="21"/>
              <w:shd w:val="clea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事故概率估算结果见</w:t>
            </w:r>
            <w:r>
              <w:rPr>
                <w:rFonts w:hint="eastAsia"/>
                <w:color w:val="000000" w:themeColor="text1"/>
                <w:highlight w:val="none"/>
                <w:lang w:val="en-US" w:eastAsia="zh-CN"/>
                <w14:textFill>
                  <w14:solidFill>
                    <w14:schemeClr w14:val="tx1"/>
                  </w14:solidFill>
                </w14:textFill>
              </w:rPr>
              <w:t>下表。</w:t>
            </w:r>
          </w:p>
          <w:p>
            <w:pPr>
              <w:pStyle w:val="18"/>
              <w:keepNext w:val="0"/>
              <w:keepLines w:val="0"/>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bookmarkStart w:id="18" w:name="_Ref11470"/>
            <w:r>
              <w:rPr>
                <w:rFonts w:hint="eastAsia"/>
                <w:color w:val="000000" w:themeColor="text1"/>
                <w:highlight w:val="none"/>
                <w:lang w:val="en-US" w:eastAsia="zh-CN"/>
                <w14:textFill>
                  <w14:solidFill>
                    <w14:schemeClr w14:val="tx1"/>
                  </w14:solidFill>
                </w14:textFill>
              </w:rPr>
              <w:t>运输车辆事故概率</w:t>
            </w:r>
            <w:bookmarkEnd w:id="18"/>
          </w:p>
          <w:tbl>
            <w:tblPr>
              <w:tblStyle w:val="14"/>
              <w:tblW w:w="4999" w:type="pct"/>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552"/>
              <w:gridCol w:w="1553"/>
              <w:gridCol w:w="1553"/>
              <w:gridCol w:w="155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Merge w:val="restart"/>
                  <w:tcBorders>
                    <w:top w:val="single" w:color="auto" w:sz="12" w:space="0"/>
                  </w:tcBorders>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预测路段</w:t>
                  </w:r>
                </w:p>
              </w:tc>
              <w:tc>
                <w:tcPr>
                  <w:tcW w:w="999" w:type="pct"/>
                  <w:vMerge w:val="restart"/>
                  <w:tcBorders>
                    <w:top w:val="single" w:color="auto" w:sz="12" w:space="0"/>
                  </w:tcBorders>
                  <w:vAlign w:val="center"/>
                </w:tcPr>
                <w:p>
                  <w:pPr>
                    <w:pStyle w:val="19"/>
                    <w:keepNext w:val="0"/>
                    <w:keepLines w:val="0"/>
                    <w:widowControl/>
                    <w:suppressLineNumbers w:val="0"/>
                    <w:shd w:val="clear"/>
                    <w:bidi w:val="0"/>
                    <w:spacing w:before="0" w:beforeAutospacing="0" w:after="0" w:afterAutospacing="0"/>
                    <w:ind w:left="0" w:right="0"/>
                    <w:rPr>
                      <w:rFonts w:hint="eastAsia" w:eastAsia="宋体"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预测路段长度(km)</w:t>
                  </w:r>
                </w:p>
              </w:tc>
              <w:tc>
                <w:tcPr>
                  <w:tcW w:w="3000" w:type="pct"/>
                  <w:gridSpan w:val="3"/>
                  <w:tcBorders>
                    <w:top w:val="single" w:color="auto" w:sz="12" w:space="0"/>
                    <w:right w:val="nil"/>
                  </w:tcBorders>
                  <w:vAlign w:val="center"/>
                </w:tcPr>
                <w:p>
                  <w:pPr>
                    <w:pStyle w:val="19"/>
                    <w:keepNext w:val="0"/>
                    <w:keepLines w:val="0"/>
                    <w:widowControl/>
                    <w:suppressLineNumbers w:val="0"/>
                    <w:shd w:val="clear"/>
                    <w:bidi w:val="0"/>
                    <w:spacing w:before="0" w:beforeAutospacing="0" w:after="0" w:afterAutospacing="0"/>
                    <w:ind w:left="0" w:right="0"/>
                    <w:rPr>
                      <w:rFonts w:hint="eastAsia" w:eastAsia="宋体"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运输事故概率(起/年)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Merge w:val="continue"/>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p>
              </w:tc>
              <w:tc>
                <w:tcPr>
                  <w:tcW w:w="999" w:type="pct"/>
                  <w:vMerge w:val="continue"/>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p>
              </w:tc>
              <w:tc>
                <w:tcPr>
                  <w:tcW w:w="1000" w:type="pct"/>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2023 年</w:t>
                  </w:r>
                </w:p>
              </w:tc>
              <w:tc>
                <w:tcPr>
                  <w:tcW w:w="1000" w:type="pct"/>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2029 年</w:t>
                  </w:r>
                </w:p>
              </w:tc>
              <w:tc>
                <w:tcPr>
                  <w:tcW w:w="1000" w:type="pct"/>
                  <w:tcBorders>
                    <w:right w:val="nil"/>
                  </w:tcBorders>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2037 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bottom w:val="single" w:color="auto" w:sz="12" w:space="0"/>
                  </w:tcBorders>
                  <w:vAlign w:val="center"/>
                </w:tcPr>
                <w:p>
                  <w:pPr>
                    <w:pStyle w:val="19"/>
                    <w:keepNext w:val="0"/>
                    <w:keepLines w:val="0"/>
                    <w:widowControl/>
                    <w:suppressLineNumbers w:val="0"/>
                    <w:shd w:val="clear"/>
                    <w:bidi w:val="0"/>
                    <w:spacing w:before="0" w:beforeAutospacing="0" w:after="0" w:afterAutospacing="0"/>
                    <w:ind w:left="0" w:right="0"/>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全路段</w:t>
                  </w:r>
                </w:p>
              </w:tc>
              <w:tc>
                <w:tcPr>
                  <w:tcW w:w="999" w:type="pct"/>
                  <w:tcBorders>
                    <w:bottom w:val="single" w:color="auto" w:sz="12" w:space="0"/>
                  </w:tcBorders>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2.948</w:t>
                  </w:r>
                </w:p>
              </w:tc>
              <w:tc>
                <w:tcPr>
                  <w:tcW w:w="1562" w:type="dxa"/>
                  <w:tcBorders>
                    <w:bottom w:val="single" w:color="auto" w:sz="12" w:space="0"/>
                  </w:tcBorders>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6.32E-9</w:t>
                  </w:r>
                </w:p>
              </w:tc>
              <w:tc>
                <w:tcPr>
                  <w:tcW w:w="1562" w:type="dxa"/>
                  <w:tcBorders>
                    <w:bottom w:val="single" w:color="auto" w:sz="12" w:space="0"/>
                  </w:tcBorders>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8.27E-9</w:t>
                  </w:r>
                </w:p>
              </w:tc>
              <w:tc>
                <w:tcPr>
                  <w:tcW w:w="1563" w:type="dxa"/>
                  <w:tcBorders>
                    <w:bottom w:val="single" w:color="auto" w:sz="12" w:space="0"/>
                    <w:right w:val="nil"/>
                  </w:tcBorders>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1.31E-08</w:t>
                  </w:r>
                </w:p>
              </w:tc>
            </w:tr>
          </w:tbl>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上表结果表明，运输车辆发生事故的概率低，且由于公路改扩建后，沿线道路条件变好，在水源保护区发生事故的风险概率也大幅减少，但一旦发生重大交通事故导致货物燃爆，则将可能对周边环境造成严重危害。</w:t>
            </w:r>
          </w:p>
          <w:p>
            <w:pPr>
              <w:pStyle w:val="6"/>
              <w:widowControl/>
              <w:suppressLineNumbers w:val="0"/>
              <w:shd w:val="clear"/>
              <w:bidi w:val="0"/>
              <w:ind w:right="0"/>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5.2.2</w:t>
            </w:r>
            <w:r>
              <w:rPr>
                <w:rFonts w:hint="eastAsia" w:cs="Times New Roman"/>
                <w:color w:val="000000" w:themeColor="text1"/>
                <w:szCs w:val="20"/>
                <w:highlight w:val="none"/>
                <w14:textFill>
                  <w14:solidFill>
                    <w14:schemeClr w14:val="tx1"/>
                  </w14:solidFill>
                </w14:textFill>
              </w:rPr>
              <w:t>污染事故风险分析</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w:t>
            </w:r>
            <w:r>
              <w:rPr>
                <w:rFonts w:hint="eastAsia"/>
                <w:color w:val="000000" w:themeColor="text1"/>
                <w:highlight w:val="none"/>
                <w:lang w:val="en-US" w:eastAsia="zh-CN"/>
                <w14:textFill>
                  <w14:solidFill>
                    <w14:schemeClr w14:val="tx1"/>
                  </w14:solidFill>
                </w14:textFill>
              </w:rPr>
              <w:t>表41</w:t>
            </w:r>
            <w:r>
              <w:rPr>
                <w:rFonts w:hint="eastAsia"/>
                <w:color w:val="000000" w:themeColor="text1"/>
                <w:highlight w:val="none"/>
                <w14:textFill>
                  <w14:solidFill>
                    <w14:schemeClr w14:val="tx1"/>
                  </w14:solidFill>
                </w14:textFill>
              </w:rPr>
              <w:t>可以看出，当拟建道路通车后，全路段营运各特征年的运输事故概率为均小于1.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1×10</w:t>
            </w:r>
            <w:r>
              <w:rPr>
                <w:rFonts w:hint="eastAsia"/>
                <w:color w:val="000000" w:themeColor="text1"/>
                <w:highlight w:val="none"/>
                <w:vertAlign w:val="superscript"/>
                <w14:textFill>
                  <w14:solidFill>
                    <w14:schemeClr w14:val="tx1"/>
                  </w14:solidFill>
                </w14:textFill>
              </w:rPr>
              <w:t>-</w:t>
            </w:r>
            <w:r>
              <w:rPr>
                <w:rFonts w:hint="eastAsia"/>
                <w:color w:val="000000" w:themeColor="text1"/>
                <w:highlight w:val="none"/>
                <w:vertAlign w:val="superscript"/>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起/年。交通事故的严重和危害程度差别很大，一般来说，交通事故中的一般事故和轻微事故所占比重较大，重大和特大恶性事故所占比重很小。因此，由于货物运输的交通事故而引起的爆炸、火灾以及泄漏等严重事故，在</w:t>
            </w:r>
            <w:r>
              <w:rPr>
                <w:rFonts w:hint="eastAsia"/>
                <w:color w:val="000000" w:themeColor="text1"/>
                <w:highlight w:val="none"/>
                <w:lang w:val="en-US" w:eastAsia="zh-CN"/>
                <w14:textFill>
                  <w14:solidFill>
                    <w14:schemeClr w14:val="tx1"/>
                  </w14:solidFill>
                </w14:textFill>
              </w:rPr>
              <w:t>沿线</w:t>
            </w:r>
            <w:r>
              <w:rPr>
                <w:rFonts w:hint="eastAsia"/>
                <w:color w:val="000000" w:themeColor="text1"/>
                <w:highlight w:val="none"/>
                <w14:textFill>
                  <w14:solidFill>
                    <w14:schemeClr w14:val="tx1"/>
                  </w14:solidFill>
                </w14:textFill>
              </w:rPr>
              <w:t>路段发生的概率甚小，运输车辆脱离路面而掉入水系中的可能性更低。总之，从事货物运输，车辆在拟建公路上一旦出现交通事故而给公路沿线，特别是水系环境造成严重污染的可能性很小。</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计算结果表明，运输车辆发生交通事故的概率不为零，所以不能排除重大事故等交通意外的发生，亦即运输车辆拟在公路上万一出现交通事故而严重污染环境，应引起足够的重视。</w:t>
            </w:r>
          </w:p>
          <w:p>
            <w:pPr>
              <w:pStyle w:val="6"/>
              <w:widowControl/>
              <w:suppressLineNumbers w:val="0"/>
              <w:shd w:val="clear"/>
              <w:bidi w:val="0"/>
              <w:ind w:right="0"/>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5.2.3 危险化学品运输对山前水厂水源保护区影响分析</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线路全程</w:t>
            </w:r>
            <w:r>
              <w:rPr>
                <w:rFonts w:hint="default"/>
                <w:color w:val="000000" w:themeColor="text1"/>
                <w:highlight w:val="none"/>
                <w:lang w:val="en-US" w:eastAsia="zh-CN"/>
                <w14:textFill>
                  <w14:solidFill>
                    <w14:schemeClr w14:val="tx1"/>
                  </w14:solidFill>
                </w14:textFill>
              </w:rPr>
              <w:t>禁止运输危险化学品及其他危险品的车辆通行，拟建公路若有运输危险化学品的车辆进入且发生危险化学品运输交通事故时，产生的有毒物质有可能进入</w:t>
            </w:r>
            <w:r>
              <w:rPr>
                <w:rFonts w:hint="eastAsia"/>
                <w:color w:val="000000" w:themeColor="text1"/>
                <w:highlight w:val="none"/>
                <w:lang w:val="en-US" w:eastAsia="zh-CN"/>
                <w14:textFill>
                  <w14:solidFill>
                    <w14:schemeClr w14:val="tx1"/>
                  </w14:solidFill>
                </w14:textFill>
              </w:rPr>
              <w:t>溪底溪，</w:t>
            </w:r>
            <w:r>
              <w:rPr>
                <w:rFonts w:hint="default"/>
                <w:color w:val="000000" w:themeColor="text1"/>
                <w:highlight w:val="none"/>
                <w:lang w:val="en-US" w:eastAsia="zh-CN"/>
                <w14:textFill>
                  <w14:solidFill>
                    <w14:schemeClr w14:val="tx1"/>
                  </w14:solidFill>
                </w14:textFill>
              </w:rPr>
              <w:t>最终汇入</w:t>
            </w:r>
            <w:r>
              <w:rPr>
                <w:rFonts w:hint="eastAsia"/>
                <w:color w:val="000000" w:themeColor="text1"/>
                <w:highlight w:val="none"/>
                <w:lang w:val="en-US" w:eastAsia="zh-CN"/>
                <w14:textFill>
                  <w14:solidFill>
                    <w14:schemeClr w14:val="tx1"/>
                  </w14:solidFill>
                </w14:textFill>
              </w:rPr>
              <w:t>水北溪</w:t>
            </w:r>
            <w:r>
              <w:rPr>
                <w:rFonts w:hint="default"/>
                <w:color w:val="000000" w:themeColor="text1"/>
                <w:highlight w:val="none"/>
                <w:lang w:val="en-US" w:eastAsia="zh-CN"/>
                <w14:textFill>
                  <w14:solidFill>
                    <w14:schemeClr w14:val="tx1"/>
                  </w14:solidFill>
                </w14:textFill>
              </w:rPr>
              <w:t>。本工程</w:t>
            </w:r>
            <w:r>
              <w:rPr>
                <w:rFonts w:hint="eastAsia"/>
                <w:color w:val="000000" w:themeColor="text1"/>
                <w:highlight w:val="none"/>
                <w:lang w:val="en-US" w:eastAsia="zh-CN"/>
                <w14:textFill>
                  <w14:solidFill>
                    <w14:schemeClr w14:val="tx1"/>
                  </w14:solidFill>
                </w14:textFill>
              </w:rPr>
              <w:t>全程位于山前水厂二级水源保护区陆域范围内，道路红线距一级水源保护区最近距离约为3.2km，距取水点最近距离约3.4km。正常情况下河流的流量流速较稳定，有较大的稀释能力，因此，可以认为路面径流对水体水质的影响不大。但是，一旦运输车辆在跨河桥梁路段或临河段发生泄漏事故，就会对水质造成污染影响。因此，为了路段发生运输事故泄漏时对水体水质造成污染，对于沿山前水厂二级水源保护区陆域的边界路段外侧边缘采用加强型密闭型防撞砼护栏，同时设置路面径流系统(横向泄水沟、导流排水沟)及应急池(起点两侧各5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该应急池兼有沉淀、隔油和蓄毒作用，可将事故径流和初期雨水截留，避免事故下直接对山前水厂水源保护区饮用水水质造成不良影响。应急池应安装切换装置。正常情况下，临水源保护区路段路面径流收集的雨水经收集沉淀处理后经导流管排至保护区外排放，事故情况下的冲洗水或初期雨水收集至应急池后再用槽车外运处理，收集的危险化学品污水必须委托有资质的单位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358" w:type="pct"/>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cs="宋体"/>
                <w:bCs/>
                <w:color w:val="000000" w:themeColor="text1"/>
                <w:kern w:val="2"/>
                <w:sz w:val="21"/>
                <w:szCs w:val="21"/>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选址选线环境合理性分析</w:t>
            </w:r>
          </w:p>
        </w:tc>
        <w:tc>
          <w:tcPr>
            <w:tcW w:w="4641" w:type="pct"/>
            <w:noWrap w:val="0"/>
            <w:vAlign w:val="top"/>
          </w:tcPr>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用地符合性分析</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根据《限制用地项目目录（2012 年本）》，本工程属于</w:t>
            </w:r>
            <w:r>
              <w:rPr>
                <w:rFonts w:hint="eastAsia"/>
                <w:color w:val="000000" w:themeColor="text1"/>
                <w:highlight w:val="none"/>
                <w:lang w:val="en-US" w:eastAsia="zh-CN"/>
                <w14:textFill>
                  <w14:solidFill>
                    <w14:schemeClr w14:val="tx1"/>
                  </w14:solidFill>
                </w14:textFill>
              </w:rPr>
              <w:t>乡村公路改扩建项目</w:t>
            </w:r>
            <w:r>
              <w:rPr>
                <w:rFonts w:hint="eastAsia"/>
                <w:color w:val="000000" w:themeColor="text1"/>
                <w:highlight w:val="none"/>
                <w14:textFill>
                  <w14:solidFill>
                    <w14:schemeClr w14:val="tx1"/>
                  </w14:solidFill>
                </w14:textFill>
              </w:rPr>
              <w:t>，不属于《限制用地项目目录（2012 年本）》和《禁止用地项目目录（2012 年本）》中所列的限制类和禁止类用地项目，因此本项目符合用地要求。</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（2）选线环境合理性</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透溪线现有道路位于山前水厂二级饮用水源陆域范围，为3.5m单车道，水泥砼路面，路面整体使用状况较好，但部分出现龟裂不规则横向裂缝等问题，存在行车安全隐患。同时，现状道路东侧（靠溪流侧）未设置封闭式防撞栏，也无路面径流收集系统、事故应急池等环境风险防范措施，无可保障水源地水质的安全体现，道路路面径流、交通事故废液、消防废水、危化品等可直接流入水源保护区，对水质安全造成极大的隐患。因此，对现有道路进行提标改造，增加行车安全性及舒适性，提高环境风险防控能力，保障饮用水水源地的安全，是非常必要的。</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本</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项目在选线过程中除充分考虑线路布置的地质条件、造价、安全性及后期维护等因素条件外，同时还考虑了施工对线路周围的影响，尽量选取路线短、占地少、土石方开挖量小及施工影响较小的路线方案。从环保角度分析，设计方案本着“利用与改造相结合”的原则，按四级公路技术指标，合理、充分地利用原有工程，对原有桥涵等重要构造物进行加固、加宽和改建，充分利用原线路，在局部困难段重新布线，该方案占用的土地少，拆迁量较小，挖方、弃方少，对水土保持设施的损坏面积少</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同时可避免深挖造成边坡不稳定带来次生地质灾害。</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位于</w:t>
            </w:r>
            <w:r>
              <w:rPr>
                <w:rFonts w:hint="eastAsia" w:cs="Times New Roman"/>
                <w:color w:val="000000" w:themeColor="text1"/>
                <w:kern w:val="0"/>
                <w:sz w:val="24"/>
                <w:highlight w:val="none"/>
                <w:lang w:val="en-US" w:eastAsia="zh-CN"/>
                <w14:textFill>
                  <w14:solidFill>
                    <w14:schemeClr w14:val="tx1"/>
                  </w14:solidFill>
                </w14:textFill>
              </w:rPr>
              <w:t>山前</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水厂二级保护区陆域范围内，但不涉及一级保护区</w:t>
            </w:r>
            <w:r>
              <w:rPr>
                <w:rFonts w:hint="eastAsia" w:cs="Times New Roman"/>
                <w:color w:val="000000" w:themeColor="text1"/>
                <w:kern w:val="0"/>
                <w:sz w:val="24"/>
                <w:highlight w:val="none"/>
                <w:lang w:val="en-US" w:eastAsia="zh-CN"/>
                <w14:textFill>
                  <w14:solidFill>
                    <w14:schemeClr w14:val="tx1"/>
                  </w14:solidFill>
                </w14:textFill>
              </w:rPr>
              <w:t>。</w:t>
            </w:r>
            <w:r>
              <w:rPr>
                <w:rStyle w:val="24"/>
                <w:rFonts w:hint="eastAsia"/>
                <w:color w:val="000000" w:themeColor="text1"/>
                <w:highlight w:val="none"/>
                <w:lang w:val="en-US" w:eastAsia="zh-CN"/>
                <w14:textFill>
                  <w14:solidFill>
                    <w14:schemeClr w14:val="tx1"/>
                  </w14:solidFill>
                </w14:textFill>
              </w:rPr>
              <w:t>根据上文</w:t>
            </w:r>
            <w:r>
              <w:rPr>
                <w:rStyle w:val="24"/>
                <w:rFonts w:hint="eastAsia"/>
                <w:color w:val="000000" w:themeColor="text1"/>
                <w:highlight w:val="none"/>
                <w:lang w:val="en-US" w:eastAsia="zh-CN"/>
                <w14:textFill>
                  <w14:solidFill>
                    <w14:schemeClr w14:val="tx1"/>
                  </w14:solidFill>
                </w14:textFill>
              </w:rPr>
              <w:fldChar w:fldCharType="begin"/>
            </w:r>
            <w:r>
              <w:rPr>
                <w:rStyle w:val="24"/>
                <w:rFonts w:hint="eastAsia"/>
                <w:color w:val="000000" w:themeColor="text1"/>
                <w:highlight w:val="none"/>
                <w:lang w:val="en-US" w:eastAsia="zh-CN"/>
                <w14:textFill>
                  <w14:solidFill>
                    <w14:schemeClr w14:val="tx1"/>
                  </w14:solidFill>
                </w14:textFill>
              </w:rPr>
              <w:instrText xml:space="preserve"> REF _Ref5023 \n \h </w:instrText>
            </w:r>
            <w:r>
              <w:rPr>
                <w:rStyle w:val="24"/>
                <w:rFonts w:hint="eastAsia"/>
                <w:color w:val="000000" w:themeColor="text1"/>
                <w:highlight w:val="none"/>
                <w:lang w:val="en-US" w:eastAsia="zh-CN"/>
                <w14:textFill>
                  <w14:solidFill>
                    <w14:schemeClr w14:val="tx1"/>
                  </w14:solidFill>
                </w14:textFill>
              </w:rPr>
              <w:fldChar w:fldCharType="separate"/>
            </w:r>
            <w:r>
              <w:rPr>
                <w:rStyle w:val="24"/>
                <w:rFonts w:hint="eastAsia"/>
                <w:color w:val="000000" w:themeColor="text1"/>
                <w:highlight w:val="none"/>
                <w:lang w:val="en-US" w:eastAsia="zh-CN"/>
                <w14:textFill>
                  <w14:solidFill>
                    <w14:schemeClr w14:val="tx1"/>
                  </w14:solidFill>
                </w14:textFill>
              </w:rPr>
              <w:t>表14</w:t>
            </w:r>
            <w:r>
              <w:rPr>
                <w:rStyle w:val="24"/>
                <w:rFonts w:hint="eastAsia"/>
                <w:color w:val="000000" w:themeColor="text1"/>
                <w:highlight w:val="none"/>
                <w:lang w:val="en-US" w:eastAsia="zh-CN"/>
                <w14:textFill>
                  <w14:solidFill>
                    <w14:schemeClr w14:val="tx1"/>
                  </w14:solidFill>
                </w14:textFill>
              </w:rPr>
              <w:fldChar w:fldCharType="end"/>
            </w:r>
            <w:r>
              <w:rPr>
                <w:rStyle w:val="24"/>
                <w:rFonts w:hint="eastAsia"/>
                <w:color w:val="000000" w:themeColor="text1"/>
                <w:highlight w:val="none"/>
                <w:lang w:val="en-US" w:eastAsia="zh-CN"/>
                <w14:textFill>
                  <w14:solidFill>
                    <w14:schemeClr w14:val="tx1"/>
                  </w14:solidFill>
                </w14:textFill>
              </w:rPr>
              <w:t>线路选线比较方案，本项目穿越山前水长二级保护区陆域范围是无法避让的。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为了保护饮用水源的水质，本环评提出不在饮用水源保护区内设置施工场地、施工营地、施工生活区等任何施工活动场所；严禁将砂土等建材随意堆置在水源保护区内，在靠近水源的一侧进行必要的围挡，防止施工时渣土及杂物落入水中；防止各类机械在施工期间油污的泄漏，避免污染水体。采取上述措施后可减轻</w:t>
            </w:r>
            <w:r>
              <w:rPr>
                <w:rFonts w:hint="eastAsia" w:cs="Times New Roman"/>
                <w:color w:val="000000" w:themeColor="text1"/>
                <w:kern w:val="0"/>
                <w:sz w:val="24"/>
                <w:highlight w:val="none"/>
                <w:lang w:val="en-US" w:eastAsia="zh-CN"/>
                <w14:textFill>
                  <w14:solidFill>
                    <w14:schemeClr w14:val="tx1"/>
                  </w14:solidFill>
                </w14:textFill>
              </w:rPr>
              <w:t>施工期</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对</w:t>
            </w:r>
            <w:r>
              <w:rPr>
                <w:rFonts w:hint="eastAsia" w:cs="Times New Roman"/>
                <w:color w:val="000000" w:themeColor="text1"/>
                <w:kern w:val="0"/>
                <w:sz w:val="24"/>
                <w:highlight w:val="none"/>
                <w:lang w:val="en-US" w:eastAsia="zh-CN"/>
                <w14:textFill>
                  <w14:solidFill>
                    <w14:schemeClr w14:val="tx1"/>
                  </w14:solidFill>
                </w14:textFill>
              </w:rPr>
              <w:t>山前</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水厂水源保护区的影响。</w:t>
            </w:r>
            <w:r>
              <w:rPr>
                <w:rStyle w:val="24"/>
                <w:rFonts w:hint="eastAsia"/>
                <w:color w:val="000000" w:themeColor="text1"/>
                <w:highlight w:val="none"/>
                <w:lang w:val="en-US" w:eastAsia="zh-CN"/>
                <w14:textFill>
                  <w14:solidFill>
                    <w14:schemeClr w14:val="tx1"/>
                  </w14:solidFill>
                </w14:textFill>
              </w:rPr>
              <w:t>同时，本项目通过配套“减速行驶、安全驾驶”的警示标志或醒目的多条警示标线的设施；将本项目全程路段列入危化品运输车辆禁行区；全程路段防撞护拦进行强化、加固设计；设置路面径流收集系统、事故应急池；建设基于视频监控的环境风险设施远程自动化控制系统，针对水源地编制专项环境风险应急预案等环境风险防范措施，提高运营期山前水厂饮用水源保障能力。</w:t>
            </w:r>
          </w:p>
          <w:p>
            <w:pPr>
              <w:keepNext w:val="0"/>
              <w:keepLines w:val="0"/>
              <w:suppressLineNumbers w:val="0"/>
              <w:shd w:val="clear"/>
              <w:spacing w:before="0" w:beforeAutospacing="0" w:after="0" w:afterAutospacing="0" w:line="360" w:lineRule="auto"/>
              <w:ind w:left="0" w:right="0" w:firstLine="480" w:firstLineChars="200"/>
              <w:rPr>
                <w:rFonts w:hint="default"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综上所述，本项目的选线是合理的。</w:t>
            </w:r>
          </w:p>
        </w:tc>
      </w:tr>
    </w:tbl>
    <w:p>
      <w:pPr>
        <w:shd w:val="clear"/>
        <w:jc w:val="center"/>
        <w:rPr>
          <w:rFonts w:ascii="黑体" w:hAnsi="黑体" w:eastAsia="黑体"/>
          <w:snapToGrid w:val="0"/>
          <w:color w:val="000000" w:themeColor="text1"/>
          <w:sz w:val="36"/>
          <w:szCs w:val="36"/>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shd w:val="clear"/>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五、主要生态环境保护措施</w:t>
      </w:r>
    </w:p>
    <w:tbl>
      <w:tblPr>
        <w:tblStyle w:val="1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noWrap w:val="0"/>
            <w:tcMar>
              <w:left w:w="28" w:type="dxa"/>
              <w:right w:w="28"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bCs/>
                <w:color w:val="000000" w:themeColor="text1"/>
                <w:szCs w:val="21"/>
                <w:highlight w:val="none"/>
                <w14:textFill>
                  <w14:solidFill>
                    <w14:schemeClr w14:val="tx1"/>
                  </w14:solidFill>
                </w14:textFill>
              </w:rPr>
            </w:pPr>
            <w:r>
              <w:rPr>
                <w:rFonts w:hint="eastAsia" w:ascii="宋体" w:hAnsi="宋体" w:cs="宋体"/>
                <w:bCs/>
                <w:color w:val="000000" w:themeColor="text1"/>
                <w:spacing w:val="10"/>
                <w:sz w:val="24"/>
                <w:szCs w:val="24"/>
                <w:highlight w:val="none"/>
                <w14:textFill>
                  <w14:solidFill>
                    <w14:schemeClr w14:val="tx1"/>
                  </w14:solidFill>
                </w14:textFill>
              </w:rPr>
              <w:t>施工期生态环境保护措施</w:t>
            </w:r>
          </w:p>
        </w:tc>
        <w:tc>
          <w:tcPr>
            <w:tcW w:w="8457" w:type="dxa"/>
            <w:noWrap w:val="0"/>
            <w:vAlign w:val="top"/>
          </w:tcPr>
          <w:p>
            <w:pPr>
              <w:keepNext w:val="0"/>
              <w:keepLines w:val="0"/>
              <w:numPr>
                <w:ilvl w:val="0"/>
                <w:numId w:val="10"/>
              </w:numPr>
              <w:suppressLineNumbers w:val="0"/>
              <w:shd w:val="clear"/>
              <w:adjustRightInd w:val="0"/>
              <w:snapToGrid w:val="0"/>
              <w:spacing w:before="0" w:beforeAutospacing="0" w:after="0" w:afterAutospacing="0" w:line="360" w:lineRule="auto"/>
              <w:ind w:left="0" w:right="0"/>
              <w:rPr>
                <w:rFonts w:hint="eastAsia"/>
                <w:b/>
                <w:bCs/>
                <w:color w:val="000000" w:themeColor="text1"/>
                <w:sz w:val="28"/>
                <w:szCs w:val="28"/>
                <w:highlight w:val="none"/>
                <w:lang w:val="en-US" w:eastAsia="zh-CN"/>
                <w14:textFill>
                  <w14:solidFill>
                    <w14:schemeClr w14:val="tx1"/>
                  </w14:solidFill>
                </w14:textFill>
              </w:rPr>
            </w:pPr>
            <w:r>
              <w:rPr>
                <w:rFonts w:hint="eastAsia"/>
                <w:b/>
                <w:bCs/>
                <w:color w:val="000000" w:themeColor="text1"/>
                <w:sz w:val="28"/>
                <w:szCs w:val="28"/>
                <w:highlight w:val="none"/>
                <w:lang w:val="en-US" w:eastAsia="zh-CN"/>
                <w14:textFill>
                  <w14:solidFill>
                    <w14:schemeClr w14:val="tx1"/>
                  </w14:solidFill>
                </w14:textFill>
              </w:rPr>
              <w:t>施工期水污染防治措施</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1.1施工期生活污水</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本项目不设施工生活区，施工人员生活依托沿线村庄，产生的生活污水可依托当地村庄的公厕等得以处置，不会对水体造成较大影响。</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1.2施工废水的控制</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①施工开挖应尽量避开雨水期，避免多雨季节雨水冲刷引起混浊污水污染地表水体，同时对施工场地内临时堆放的土石方和建筑材料进行必要的遮盖，避免被雨水冲刷，建筑材料采用仓库堆存。</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②工程承包合同中应明确筑路材料(如油料、化学品等)的运输过程中防止撒漏，堆放场地不得设在沿线水体附近，以免随雨水进入水体造成污染。</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③施工材料如油料、化学品等有害物质堆放场地应设蓬盖，以减少雨水冲刷造成污染。</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施工场地应根据现场条件和废水产生情况修建若干隔油沉淀池(作防渗处理)，集中收集各类施工废水，施工废水经隔油沉淀处理后，循环用于施工场地抑尘洒水、混凝土路面养护用水，不外排。施工废水不得直接排入溪底溪，禁止任何污水排</w:t>
            </w:r>
            <w:r>
              <w:rPr>
                <w:rFonts w:hint="eastAsia" w:ascii="宋体" w:hAnsi="宋体" w:eastAsia="宋体"/>
                <w:color w:val="000000" w:themeColor="text1"/>
                <w:sz w:val="24"/>
                <w:szCs w:val="24"/>
                <w:highlight w:val="none"/>
                <w14:textFill>
                  <w14:solidFill>
                    <w14:schemeClr w14:val="tx1"/>
                  </w14:solidFill>
                </w14:textFill>
              </w:rPr>
              <w:t>入河流水体。</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1.3建筑材料运输与堆放</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①筑路材料(如油料、化学品等)的运输过程中应防止撒漏；施工现场内筑路材料应集中堆放并尽可能库存。</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②施工材料如油料、化学品物质等在堆放期间采取库存或加盖篷布、彩布条等措施，妥善保管，防止被暴雨冲刷进入水体引起水体污染。</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优先选用先进的设备、机械，以有效地减少跑、冒、滴、漏的数量及机械维修次数，从而减少含油污水的产生量。</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1.4含油污水的控制</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①采用施工过程控制、清洁生产的方案进行含油污水的控制。</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②机械油料的泄漏，或废油料的倾倒进入水体后将会引起水污染，所以应加强环境管理，开展环保教育，防患于未然。</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③尽量选用先进的设备、机械，以有效地减少跑、冒、滴、漏的数量及机械维修次数，从而减少含油污水的生产量。</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在不可避免跑、冒、滴、漏的施工过程中尽量采用固态吸油材料(如棉纱、木屑等)将废油收集转化到固态物质中，避免产生过多的含油废水。对渗漏到土壤的油污应及时采用刮削装置收集封存，运至垃圾场集中处理。</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⑤机械、设备及运输车辆的维修保养不得在饮用水源保护区内进行。</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⑥在施工场地设平流式沉淀池，含油污水由沉淀池收集，经酸碱中和、沉淀、隔油、除渣等简单处理后，油类等其它污染物浓度减小，施工结束将沉淀池覆土掩埋。</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栈桥</w:t>
            </w:r>
            <w:r>
              <w:rPr>
                <w:rFonts w:hint="eastAsia"/>
                <w:color w:val="000000" w:themeColor="text1"/>
                <w:highlight w:val="none"/>
                <w:lang w:val="en-US" w:eastAsia="zh-CN"/>
                <w14:textFill>
                  <w14:solidFill>
                    <w14:schemeClr w14:val="tx1"/>
                  </w14:solidFill>
                </w14:textFill>
              </w:rPr>
              <w:t>施工水污染控制措施</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①</w:t>
            </w:r>
            <w:r>
              <w:rPr>
                <w:rFonts w:hint="eastAsia"/>
                <w:color w:val="000000" w:themeColor="text1"/>
                <w:highlight w:val="none"/>
                <w14:textFill>
                  <w14:solidFill>
                    <w14:schemeClr w14:val="tx1"/>
                  </w14:solidFill>
                </w14:textFill>
              </w:rPr>
              <w:t>栈桥</w:t>
            </w:r>
            <w:r>
              <w:rPr>
                <w:rFonts w:hint="eastAsia" w:ascii="宋体" w:hAnsi="宋体" w:eastAsia="宋体"/>
                <w:color w:val="000000" w:themeColor="text1"/>
                <w:sz w:val="24"/>
                <w:szCs w:val="24"/>
                <w:highlight w:val="none"/>
                <w14:textFill>
                  <w14:solidFill>
                    <w14:schemeClr w14:val="tx1"/>
                  </w14:solidFill>
                </w14:textFill>
              </w:rPr>
              <w:t>桩基础工程应尽量安排在枯水期施工。</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olor w:val="000000" w:themeColor="text1"/>
                <w:highlight w:val="none"/>
                <w14:textFill>
                  <w14:solidFill>
                    <w14:schemeClr w14:val="tx1"/>
                  </w14:solidFill>
                </w14:textFill>
              </w:rPr>
              <w:t>项目在钻孔灌注桩基础施工时需在桩位四周挖设排水沟，并在</w:t>
            </w:r>
            <w:r>
              <w:rPr>
                <w:rFonts w:hint="eastAsia"/>
                <w:color w:val="000000" w:themeColor="text1"/>
                <w:highlight w:val="none"/>
                <w:lang w:val="en-US" w:eastAsia="zh-CN"/>
                <w14:textFill>
                  <w14:solidFill>
                    <w14:schemeClr w14:val="tx1"/>
                  </w14:solidFill>
                </w14:textFill>
              </w:rPr>
              <w:t>立柱</w:t>
            </w:r>
            <w:r>
              <w:rPr>
                <w:rFonts w:hint="eastAsia"/>
                <w:color w:val="000000" w:themeColor="text1"/>
                <w:highlight w:val="none"/>
                <w14:textFill>
                  <w14:solidFill>
                    <w14:schemeClr w14:val="tx1"/>
                  </w14:solidFill>
                </w14:textFill>
              </w:rPr>
              <w:t>附近挖设泥浆池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沉淀池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，泥浆池尺寸为3×3m，深2m，用循环槽与孔位连接，采用旱地泥浆循环、净化方法，栈桥钻渣经沉淀池沉淀、固化后运往弃渣场堆置。</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1.6山前水厂水源保护区保护措施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①合理安排工期，跨水体和临水作业尽量避免雨季施工，以减少雨水径流进入水体对水环境的影响。</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②应在雨季到来之前完成相应的拦截措施(可用块石及围挡拦挡)。要特别注意施工期的防护问题，施工期尽量避开雨季，公路溪底溪一侧施工范围外1m 处修筑挡水坝、浆砌石截水沟(排水沟)，截水沟过水断面尺寸0.5m*0.5m，矩形断面，浆砌石砌筑，并在截水沟末端设置沉淀池，每个沉淀池独立收集截水沟来水，经沉淀后将清水用于道路养护或抑尘洒水。排水沟要及时维修和清淤，保持其完好状态，使水流畅通不产生冲刷和淤塞，防止降雨冲蚀。</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还应强化管理措施，施工过程中施工人员及其他施工活动尽量减少与河水接触，禁止在河流内清洗施工机械及其他施工用具，避免将机械油污等带入河水；禁止向水体倾倒废方；禁止向河里沟里随意丢弃废土、废石、废渣。废土、开挖路段进行开挖后应尽快将开挖方运至填方路段回填，将不能利用的弃渣运至弃渣临时堆放区进行集中堆放；公路沿线水体附近尽可能避免临时堆放施工材料和废弃的土石方料，如因施工需要临时堆放时，临时堆土堆料必须采取有效的拦挡和遮盖措施，防止施工材料和废弃的土石方料被雨水冲刷后进入水体。</w:t>
            </w:r>
          </w:p>
          <w:p>
            <w:pPr>
              <w:pStyle w:val="4"/>
              <w:suppressLineNumbers w:val="0"/>
              <w:shd w:val="clear"/>
              <w:bidi w:val="0"/>
              <w:spacing w:before="0" w:beforeAutospacing="0" w:after="0" w:afterAutospacing="0"/>
              <w:ind w:left="0" w:right="0"/>
              <w:rPr>
                <w:rFonts w:hint="default"/>
                <w:b/>
                <w:bCs/>
                <w:color w:val="000000" w:themeColor="text1"/>
                <w:kern w:val="0"/>
                <w:sz w:val="24"/>
                <w:highlight w:val="none"/>
                <w:lang w:bidi="ar"/>
                <w14:textFill>
                  <w14:solidFill>
                    <w14:schemeClr w14:val="tx1"/>
                  </w14:solidFill>
                </w14:textFill>
              </w:rPr>
            </w:pPr>
            <w:r>
              <w:rPr>
                <w:rFonts w:hint="default"/>
                <w:b/>
                <w:bCs/>
                <w:color w:val="000000" w:themeColor="text1"/>
                <w:kern w:val="0"/>
                <w:sz w:val="28"/>
                <w:szCs w:val="28"/>
                <w:highlight w:val="none"/>
                <w:lang w:bidi="ar"/>
                <w14:textFill>
                  <w14:solidFill>
                    <w14:schemeClr w14:val="tx1"/>
                  </w14:solidFill>
                </w14:textFill>
              </w:rPr>
              <w:t>2.施工期大气污染防治措施</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w:t>
            </w:r>
            <w:r>
              <w:rPr>
                <w:rFonts w:hint="default"/>
                <w:color w:val="000000" w:themeColor="text1"/>
                <w:highlight w:val="none"/>
                <w:lang w:val="en-US" w:eastAsia="zh-CN"/>
                <w14:textFill>
                  <w14:solidFill>
                    <w14:schemeClr w14:val="tx1"/>
                  </w14:solidFill>
                </w14:textFill>
              </w:rPr>
              <w:t>运输扬尘控制措施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①运输车辆行至人口分布较为集中的路段时，应低速行驶或限速行驶，以减少扬尘产生量，同时对这些路段应定时进行路面洒水。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运输车辆的载重应符合有关规定，防止超载。运送土石方和建筑材料的车辆应按规定配置防洒装备，装载不宜过满，实行密闭运输，装载的物料、渣土高度不得超过车辆槽帮上沿，避免在运输过程中发生遗撒或泄漏。对不慎洒落地面的建筑材料，应及时进行清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14:textFill>
                  <w14:solidFill>
                    <w14:schemeClr w14:val="tx1"/>
                  </w14:solidFill>
                </w14:textFill>
              </w:rPr>
              <w:t>加强施工管理，坚持文明装卸，避免袋装材料散包。合理安排施工车辆行驶路线，尽量避开居民集中区，控制施工车辆行驶速度，路经居民区集中区域应尽量减缓行驶车速。</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w:t>
            </w:r>
            <w:r>
              <w:rPr>
                <w:rFonts w:hint="default"/>
                <w:color w:val="000000" w:themeColor="text1"/>
                <w:highlight w:val="none"/>
                <w:lang w:val="en-US" w:eastAsia="zh-CN"/>
                <w14:textFill>
                  <w14:solidFill>
                    <w14:schemeClr w14:val="tx1"/>
                  </w14:solidFill>
                </w14:textFill>
              </w:rPr>
              <w:t>施工扬尘控制措施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①工程建设期间，施工场地内车行路径应铺设钢板、混凝土或其他功能相当的材料，出口处硬化路面不小于出口宽度，防止机动车扬尘。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②施工场内的混凝土拌和站设置须符合卫生要求，并在施工时选择合适的风向。水泥、混凝土等散体建筑材料采用仓库、封闭堆场、储藏罐等形式堆放，避免作业起尘和风蚀起尘。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③工程开挖土方及时回填，减小扬尘影响时间。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④开挖过程中，洒水作业保持一定的湿度；对施工场地内松散、干涸的表土，也应该经常洒水防治粉尘；回填土方时，在表层土质干燥时应适当洒水，防止粉尘飞扬。</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⑤加强回填土方堆放场的管理，采取土方表面压实、定期喷水、覆盖等措施。不需要的建筑材料等应及时运走，不宜长时间堆积。</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=6\*GB3\*MERGEFORMAT</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⑥</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施工过程应设置密目网，防止和减少物料、渣土和垃圾外溢；物料和垃圾应密闭运输，严禁凌空抛散、野蛮装卸；施工土方和水泥、石灰等易产生扬尘污染的料堆应严密遮盖或在库房内存放；工地应设立临时密闭式垃圾堆，堆放不能及时清运的垃圾、渣土；一次性浇注混凝土量在30m³以上的工程应使用预拌混凝土，现场搅拌设备应采取有效防尘措施。</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w:t>
            </w:r>
            <w:r>
              <w:rPr>
                <w:rFonts w:hint="default"/>
                <w:color w:val="000000" w:themeColor="text1"/>
                <w:highlight w:val="none"/>
                <w:lang w:val="en-US" w:eastAsia="zh-CN"/>
                <w14:textFill>
                  <w14:solidFill>
                    <w14:schemeClr w14:val="tx1"/>
                  </w14:solidFill>
                </w14:textFill>
              </w:rPr>
              <w:t>堆场扬尘控制措施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若在工地内露天堆置砂石，应采取覆盖防尘布、防尘网等措施，必要时进行喷淋，防止风蚀起尘。临时材料堆放应尽量不靠近水环境等敏感目标，并防止物料散漏污染。仓库四周应有疏水沟系，防止雨水浸湿，水流引起物料流失。</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施工单位应加强施工区的规划管理，施工材料</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水泥、砂石骨料等</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的堆场应定点定位，缩小粉尘影响范围。</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r>
              <w:rPr>
                <w:rFonts w:hint="default"/>
                <w:color w:val="000000" w:themeColor="text1"/>
                <w:highlight w:val="none"/>
                <w:lang w:val="en-US" w:eastAsia="zh-CN"/>
                <w14:textFill>
                  <w14:solidFill>
                    <w14:schemeClr w14:val="tx1"/>
                  </w14:solidFill>
                </w14:textFill>
              </w:rPr>
              <w:t>其他废气控制措施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选用环保型施工机械、运输车辆，并选用质量较好的燃油，建议在排放口安装合适的尾气吸收装置，减少燃油废气排放。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②加强对施工机械、运输车辆的维修保养。禁止不符合国家废气排放标准的机械和车辆进入工区，禁止以柴油为燃料的施工机械超负荷工作，减少烟尘和颗粒物排放。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③配合有关部门</w:t>
            </w:r>
            <w:r>
              <w:rPr>
                <w:rFonts w:hint="eastAsia" w:cs="Times New Roman"/>
                <w:color w:val="000000" w:themeColor="text1"/>
                <w:sz w:val="24"/>
                <w:szCs w:val="24"/>
                <w:highlight w:val="none"/>
                <w:lang w:eastAsia="zh-CN"/>
                <w14:textFill>
                  <w14:solidFill>
                    <w14:schemeClr w14:val="tx1"/>
                  </w14:solidFill>
                </w14:textFill>
              </w:rPr>
              <w:t>做好</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施工期间周边道路的交通组织，避免因施工而造成交通堵塞，减少因此而产生的怠速废气排放。</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r>
              <w:rPr>
                <w:rFonts w:hint="default"/>
                <w:color w:val="000000" w:themeColor="text1"/>
                <w:highlight w:val="none"/>
                <w:lang w:val="en-US" w:eastAsia="zh-CN"/>
                <w14:textFill>
                  <w14:solidFill>
                    <w14:schemeClr w14:val="tx1"/>
                  </w14:solidFill>
                </w14:textFill>
              </w:rPr>
              <w:t>人员防护措施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粉尘、扬尘、燃油产生的污染物对人体健康有害，对受影响的施工人员应做好劳动保护，如佩戴防尘口罩、面罩。必要时可在施工区周围设立简易隔离围屏，将施工区与外环境隔离，减少施工废气对外环境的不利影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②加强对施工人员的环保教育，提高全体施工人员的环保意识，坚持文明施工、科学施工，减少施工期的空气污染。</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③主要工程施工区在非雨日应进行洒水降尘，缩小粉尘影响时间和范围，保障施工人员及村民的身体健康。</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④其它保护措施。垃圾中可燃物，如废纸、废木料、废包装袋等，禁止就地焚烧处理。</w:t>
            </w:r>
          </w:p>
          <w:p>
            <w:pPr>
              <w:pStyle w:val="4"/>
              <w:suppressLineNumbers w:val="0"/>
              <w:shd w:val="clear"/>
              <w:bidi w:val="0"/>
              <w:spacing w:before="0" w:beforeAutospacing="0" w:after="0" w:afterAutospacing="0"/>
              <w:ind w:left="0" w:right="0"/>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cs="Times New Roman"/>
                <w:b/>
                <w:bCs/>
                <w:color w:val="000000" w:themeColor="text1"/>
                <w:kern w:val="0"/>
                <w:sz w:val="28"/>
                <w:szCs w:val="28"/>
                <w:highlight w:val="none"/>
                <w:lang w:val="en-US" w:eastAsia="zh-CN" w:bidi="ar"/>
                <w14:textFill>
                  <w14:solidFill>
                    <w14:schemeClr w14:val="tx1"/>
                  </w14:solidFill>
                </w14:textFill>
              </w:rPr>
              <w:t>3.</w:t>
            </w:r>
            <w:r>
              <w:rPr>
                <w:rFonts w:hint="default" w:ascii="Times New Roman" w:hAnsi="Times New Roman" w:cs="Times New Roman"/>
                <w:b/>
                <w:bCs/>
                <w:color w:val="000000" w:themeColor="text1"/>
                <w:kern w:val="0"/>
                <w:sz w:val="28"/>
                <w:szCs w:val="28"/>
                <w:highlight w:val="none"/>
                <w:lang w:bidi="ar"/>
                <w14:textFill>
                  <w14:solidFill>
                    <w14:schemeClr w14:val="tx1"/>
                  </w14:solidFill>
                </w14:textFill>
              </w:rPr>
              <w:t>施工期</w:t>
            </w:r>
            <w:r>
              <w:rPr>
                <w:rFonts w:hint="eastAsia" w:ascii="宋体" w:hAnsi="宋体" w:cs="宋体"/>
                <w:b/>
                <w:bCs/>
                <w:color w:val="000000" w:themeColor="text1"/>
                <w:kern w:val="0"/>
                <w:sz w:val="28"/>
                <w:szCs w:val="28"/>
                <w:highlight w:val="none"/>
                <w:lang w:bidi="ar"/>
                <w14:textFill>
                  <w14:solidFill>
                    <w14:schemeClr w14:val="tx1"/>
                  </w14:solidFill>
                </w14:textFill>
              </w:rPr>
              <w:t>噪声污染防治措施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施工单位应选择低噪声作业机械，从根本上降低噪声源强。</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加强施工设备的维护保养，发生故障应及时维修，保持润滑，紧固各部件，减少运行振动噪声；改进施工机械，整体设备应安放稳固，并与地面保持良好接触，有条件的应使用减振机座。加强施工管理、文明施工，杜绝施工机械在运行过程中因维护不当而产生的其他噪声。</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合理安排施工车辆行驶线路和时间，注意限速行驶、禁止高音鸣号，以减小地区交通噪声。施工单位要加强施工作业管理，在噪声敏感地段，禁止上课期间、午休时间及夜间</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22：00至次日6：00</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进行噪声较大的施工作业。</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单位应合理安排工作人员轮流操作产生高强噪声的施工机械，减少接触高噪声的时间，或穿插安排高噪声和低噪声的工作。加强对施工人员的个人防护，对高噪声设备附近工作的施工人员，可采取配备、使用耳塞、耳机、防声头盔等防噪用具。</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5</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加强对设备的维护和管理，减少设备非正常运行所产生的噪声对周边环境的影响。同时避免因工作人员操作不当、或者对某些故障的处理不当而导致设备噪声提高。</w:t>
            </w:r>
          </w:p>
          <w:p>
            <w:pPr>
              <w:keepNext w:val="0"/>
              <w:keepLines w:val="0"/>
              <w:widowControl/>
              <w:numPr>
                <w:ilvl w:val="0"/>
                <w:numId w:val="0"/>
              </w:numPr>
              <w:suppressLineNumbers w:val="0"/>
              <w:shd w:val="clear"/>
              <w:spacing w:before="120" w:beforeLines="50" w:beforeAutospacing="0" w:after="120" w:afterLines="50" w:afterAutospacing="0" w:line="360" w:lineRule="auto"/>
              <w:ind w:left="0" w:right="0"/>
              <w:jc w:val="left"/>
              <w:rPr>
                <w:rFonts w:hint="eastAsia" w:ascii="Times New Roman" w:hAnsi="Times New Roman" w:cs="Times New Roman"/>
                <w:b/>
                <w:bCs/>
                <w:color w:val="000000" w:themeColor="text1"/>
                <w:kern w:val="0"/>
                <w:sz w:val="28"/>
                <w:szCs w:val="28"/>
                <w:highlight w:val="none"/>
                <w:lang w:val="en-US" w:eastAsia="zh-CN" w:bidi="ar"/>
                <w14:textFill>
                  <w14:solidFill>
                    <w14:schemeClr w14:val="tx1"/>
                  </w14:solidFill>
                </w14:textFill>
              </w:rPr>
            </w:pPr>
            <w:r>
              <w:rPr>
                <w:rFonts w:hint="eastAsia" w:ascii="Times New Roman" w:hAnsi="Times New Roman" w:cs="Times New Roman"/>
                <w:b/>
                <w:bCs/>
                <w:color w:val="000000" w:themeColor="text1"/>
                <w:kern w:val="0"/>
                <w:sz w:val="28"/>
                <w:szCs w:val="28"/>
                <w:highlight w:val="none"/>
                <w:lang w:val="en-US" w:eastAsia="zh-CN" w:bidi="ar"/>
                <w14:textFill>
                  <w14:solidFill>
                    <w14:schemeClr w14:val="tx1"/>
                  </w14:solidFill>
                </w14:textFill>
              </w:rPr>
              <w:t>4.施工期固体废物污染控制措施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强化施工期的环境管理，倡导文明施工。施工期间产生的建筑、生活垃圾在分检回收可利用部分后，不得随意堆放和抛弃，应定点堆放收集、及时清运。禁止向岸边、沟道、农田、林地等随意倾倒垃圾和弃土、弃渣。</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(2)施工人员生活垃圾依托借用农户的垃圾处理方式一并处置，如集中收集后，委托环卫部门定期清运至当地垃圾填埋场作进一步处置。</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(3)按计划和施工的操作规程，严格控制并尽量减少余下的物料。一旦有余下的材料，将其有序地存放好，妥善保管，可供周边地区修补乡村道路或建筑使用。</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(4)项目在工程设计上应力求做到挖填方平衡，尽可能减少挖方量，减少对地表植被和山体的破坏，以避免增加原有水土流失量。挖填方时的运输应有遮盖或密闭措施，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减少砂石土途中的泄漏、尽量避免产生不必要的固废。施工材料的堆放应有遮挡物，避免风吹日晒和雨淋。施工场地内的杂草、灌木等植物残体、土壤表层熟土等，应集中放置妥善保存，以后可作为绿化用土，以充分利用土地资源。余下的建筑材料要有序的存放，供周边地区修补乡村道路或建筑使用。</w:t>
            </w:r>
          </w:p>
          <w:p>
            <w:pPr>
              <w:pStyle w:val="4"/>
              <w:suppressLineNumbers w:val="0"/>
              <w:shd w:val="clear"/>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5.施工期生态环境保护措施</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5.1植被保护和恢复措施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(1)开工前，对施工范围内临时设施的规划用地要进行严格审查，少占林地，方便施工。</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(2)严格按照设计文件确定征占土地范围，进行地表植被的清理工作。</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(3)严格控制路基开挖施工作业面，避免超挖破坏周围植被。</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(4)工程施工过程中，不允许将工程废渣随处乱排，禁止排入河流。</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(5)如需搭建临时建筑，应尽可能采用成品或简易拼装方式，尽量减轻对土壤及植被的破坏。</w:t>
            </w:r>
          </w:p>
          <w:p>
            <w:pPr>
              <w:pStyle w:val="21"/>
              <w:shd w:val="clea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(6)应尽量收缩路基边坡，以减少占用林地，对于坡面工程及时采取工程或植物防护措施加以防护，以减少水土流失现象发生。 </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(7)凡因公路施工破坏植被而裸露的土地(包括路界内外)应在施工结束后立即整治利用，恢复植被。</w:t>
            </w:r>
          </w:p>
          <w:p>
            <w:pPr>
              <w:pStyle w:val="21"/>
              <w:shd w:val="clea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(8)本工程施工应严格遵守《中华人民共和国森林法》、《中华人民共和国野生植物保护条例》以及《福建省生态公</w:t>
            </w:r>
            <w:r>
              <w:rPr>
                <w:rFonts w:hint="eastAsia" w:ascii="Times New Roman" w:hAnsi="Times New Roman" w:cs="Times New Roman"/>
                <w:color w:val="000000" w:themeColor="text1"/>
                <w:highlight w:val="none"/>
                <w:lang w:val="en-US" w:eastAsia="zh-CN"/>
                <w14:textFill>
                  <w14:solidFill>
                    <w14:schemeClr w14:val="tx1"/>
                  </w14:solidFill>
                </w14:textFill>
              </w:rPr>
              <w:t>益林条例》要求，保护森林、野生植物和生态公益林资源。</w:t>
            </w:r>
          </w:p>
          <w:p>
            <w:pPr>
              <w:pStyle w:val="5"/>
              <w:suppressLineNumbers w:val="0"/>
              <w:shd w:val="clear"/>
              <w:bidi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5.2野生动植物保护措施</w:t>
            </w:r>
          </w:p>
          <w:p>
            <w:pPr>
              <w:keepNext w:val="0"/>
              <w:keepLines w:val="0"/>
              <w:widowControl/>
              <w:suppressLineNumbers w:val="0"/>
              <w:shd w:val="clear"/>
              <w:spacing w:before="0" w:beforeAutospacing="0" w:after="0" w:afterAutospacing="0" w:line="360" w:lineRule="auto"/>
              <w:ind w:left="0" w:right="0" w:firstLine="480" w:firstLineChars="20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建议施工单位与林业部门配合在施工营地内张贴项目区野生保护动植物宣传画及材料，禁止施工人员随意破坏植被和猎捕野生动物。</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按时施工，减少施</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工噪声对鸟类的惊扰。在林区边缘采用加密绿化带，防止灯光和噪声对动物的不利影响。及时恢复桥下植被，以便于动物适应新的生境。路基清表作业过程，对发现的珍稀野生植物应立即上报地方有关部门。</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5.3边坡防护及水土保持措施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路堤边坡防护及水土保持应采用工程措施和生态环境保护措施相结合的办法。水土保持措施应严格按照水土保持方案落实。 </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雨季施工措施水土流失主要发生在雨季为4～9月份这段时间，因而在施工过程中，为尽可能减少由于雨季的到来而引起水土流失，要确实做到以下几点： </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①施工单位应采取土料随挖、随运、随铺、随压的方法，以减少松散土存在。施工期间要随时和气象部门联系，事先了解降大、暴雨时间和特点，以便</w:t>
            </w:r>
            <w:r>
              <w:rPr>
                <w:rFonts w:hint="eastAsia" w:ascii="宋体" w:hAnsi="宋体" w:eastAsia="宋体" w:cs="宋体"/>
                <w:color w:val="000000" w:themeColor="text1"/>
                <w:kern w:val="0"/>
                <w:szCs w:val="24"/>
                <w:highlight w:val="none"/>
                <w:lang w:val="en-US" w:eastAsia="zh-CN" w:bidi="ar"/>
                <w14:textFill>
                  <w14:solidFill>
                    <w14:schemeClr w14:val="tx1"/>
                  </w14:solidFill>
                </w14:textFill>
              </w:rPr>
              <w:t>在</w:t>
            </w:r>
            <w:r>
              <w:rPr>
                <w:rFonts w:hint="eastAsia"/>
                <w:color w:val="000000" w:themeColor="text1"/>
                <w:highlight w:val="none"/>
                <w:lang w:val="en-US" w:eastAsia="zh-CN"/>
                <w14:textFill>
                  <w14:solidFill>
                    <w14:schemeClr w14:val="tx1"/>
                  </w14:solidFill>
                </w14:textFill>
              </w:rPr>
              <w:t>大、暴雨来临之前将填铺的松土压实。</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②雨季施工要做好场地排水工作。</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建议施工队伍在施工的过程中要准备一定数量防护物(塑料布、彩色蓬布等)，在得知暴雨来临之前，将易受侵蚀的裸露地面覆盖起来，以减少雨水对易受侵蚀的裸露地面的直接冲刷，降低水土流失。</w:t>
            </w:r>
          </w:p>
          <w:p>
            <w:pPr>
              <w:pStyle w:val="4"/>
              <w:suppressLineNumbers w:val="0"/>
              <w:shd w:val="clear"/>
              <w:bidi w:val="0"/>
              <w:spacing w:before="0" w:beforeAutospacing="0" w:after="0" w:afterAutospacing="0"/>
              <w:ind w:left="0" w:right="0"/>
              <w:rPr>
                <w:rFonts w:hint="default"/>
                <w:b/>
                <w:color w:val="000000" w:themeColor="text1"/>
                <w:spacing w:val="10"/>
                <w:sz w:val="28"/>
                <w:szCs w:val="28"/>
                <w:highlight w:val="none"/>
                <w14:textFill>
                  <w14:solidFill>
                    <w14:schemeClr w14:val="tx1"/>
                  </w14:solidFill>
                </w14:textFill>
              </w:rPr>
            </w:pPr>
            <w:r>
              <w:rPr>
                <w:rStyle w:val="20"/>
                <w:rFonts w:hint="eastAsia"/>
                <w:b/>
                <w:bCs/>
                <w:color w:val="000000" w:themeColor="text1"/>
                <w:highlight w:val="none"/>
                <w:lang w:val="en-US" w:eastAsia="zh-CN"/>
                <w14:textFill>
                  <w14:solidFill>
                    <w14:schemeClr w14:val="tx1"/>
                  </w14:solidFill>
                </w14:textFill>
              </w:rPr>
              <w:t>6.</w:t>
            </w:r>
            <w:r>
              <w:rPr>
                <w:rStyle w:val="20"/>
                <w:rFonts w:hint="default"/>
                <w:b/>
                <w:bCs/>
                <w:color w:val="000000" w:themeColor="text1"/>
                <w:highlight w:val="none"/>
                <w14:textFill>
                  <w14:solidFill>
                    <w14:schemeClr w14:val="tx1"/>
                  </w14:solidFill>
                </w14:textFill>
              </w:rPr>
              <w:t>环境</w:t>
            </w:r>
            <w:r>
              <w:rPr>
                <w:rStyle w:val="20"/>
                <w:rFonts w:hint="eastAsia"/>
                <w:b/>
                <w:bCs/>
                <w:color w:val="000000" w:themeColor="text1"/>
                <w:highlight w:val="none"/>
                <w:lang w:val="en-US" w:eastAsia="zh-CN"/>
                <w14:textFill>
                  <w14:solidFill>
                    <w14:schemeClr w14:val="tx1"/>
                  </w14:solidFill>
                </w14:textFill>
              </w:rPr>
              <w:t>管理与</w:t>
            </w:r>
            <w:r>
              <w:rPr>
                <w:rStyle w:val="20"/>
                <w:rFonts w:hint="default"/>
                <w:b/>
                <w:bCs/>
                <w:color w:val="000000" w:themeColor="text1"/>
                <w:highlight w:val="none"/>
                <w14:textFill>
                  <w14:solidFill>
                    <w14:schemeClr w14:val="tx1"/>
                  </w14:solidFill>
                </w14:textFill>
              </w:rPr>
              <w:t>监测计划</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6.1施工期环境管理</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施工期的环境管理，应坚持以防为主，以管促治，管治结合，并贯彻“谁污染、谁治理”的原则，将施工阶段的环境保护工作纳入环保管理部门、施工单位和建设单位的管理轨道之中。施工中的环境管理应着重监督检查的第一个重点，是防止水土流失。应把土石方工程列入重点检查对象，另一个重点，是防治施工中的水、气、声、渣的污染。检查的重点是施工高峰期和重点施工阶段。检查是否实施了有关的水、气、声、渣污染控制措施。对于违规施工的，应及时予以制止和警告。对于造成严重环境污染者应该给予处罚和追究责任。</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本项目建设期间，对周围环境会产生一定的影响，建设单位把水土保持、植被恢复、生态保护、污染防治作为施工期环境监理的主要内容并纳入工程监理合同，在施工期严格监理环境。施工单位应该尽可能通过加强管理、文明施工的手段来减少建设期间施工对周围环境的影响，从其他工地的经验来看，只要做好上述建议措施，是可以把建设期间对周围环境的影响减少到最低，做到发展与环境保护的协调。</w:t>
            </w:r>
          </w:p>
          <w:p>
            <w:pPr>
              <w:pStyle w:val="5"/>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.2 环境监测计划</w:t>
            </w:r>
          </w:p>
          <w:p>
            <w:pPr>
              <w:pStyle w:val="21"/>
              <w:shd w:val="clea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监测重点为环境噪声和环境空气，常规监测主要选取工程沿线敏感目标。项目施工期具体监测计划见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14:textFill>
                  <w14:solidFill>
                    <w14:schemeClr w14:val="tx1"/>
                  </w14:solidFill>
                </w14:textFill>
              </w:rPr>
              <w:t>。</w:t>
            </w: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21"/>
              <w:shd w:val="clear"/>
              <w:bidi w:val="0"/>
              <w:rPr>
                <w:rFonts w:hint="default"/>
                <w:color w:val="000000" w:themeColor="text1"/>
                <w:highlight w:val="none"/>
                <w14:textFill>
                  <w14:solidFill>
                    <w14:schemeClr w14:val="tx1"/>
                  </w14:solidFill>
                </w14:textFill>
              </w:rPr>
            </w:pPr>
          </w:p>
          <w:p>
            <w:pPr>
              <w:pStyle w:val="18"/>
              <w:keepNext w:val="0"/>
              <w:keepLines w:val="0"/>
              <w:suppressLineNumbers w:val="0"/>
              <w:shd w:val="clear"/>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环境噪监测计划</w:t>
            </w:r>
          </w:p>
          <w:tbl>
            <w:tblPr>
              <w:tblStyle w:val="1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531"/>
              <w:gridCol w:w="4801"/>
              <w:gridCol w:w="1187"/>
              <w:gridCol w:w="1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gridSpan w:val="2"/>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环境因子</w:t>
                  </w:r>
                </w:p>
              </w:tc>
              <w:tc>
                <w:tcPr>
                  <w:tcW w:w="2913"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监测内容</w:t>
                  </w:r>
                </w:p>
              </w:tc>
              <w:tc>
                <w:tcPr>
                  <w:tcW w:w="720"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实施机构</w:t>
                  </w:r>
                </w:p>
              </w:tc>
              <w:tc>
                <w:tcPr>
                  <w:tcW w:w="655"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负责机构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施工期</w:t>
                  </w:r>
                </w:p>
              </w:tc>
              <w:tc>
                <w:tcPr>
                  <w:tcW w:w="322"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大气</w:t>
                  </w:r>
                </w:p>
              </w:tc>
              <w:tc>
                <w:tcPr>
                  <w:tcW w:w="2913" w:type="pct"/>
                  <w:noWrap w:val="0"/>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①</w:t>
                  </w:r>
                  <w:r>
                    <w:rPr>
                      <w:rFonts w:hint="default" w:cs="Times New Roman"/>
                      <w:color w:val="000000" w:themeColor="text1"/>
                      <w:szCs w:val="20"/>
                      <w:highlight w:val="none"/>
                      <w:lang w:val="en-US" w:eastAsia="zh-CN"/>
                      <w14:textFill>
                        <w14:solidFill>
                          <w14:schemeClr w14:val="tx1"/>
                        </w14:solidFill>
                      </w14:textFill>
                    </w:rPr>
                    <w:t>监测项目：TSP</w:t>
                  </w:r>
                  <w:r>
                    <w:rPr>
                      <w:rFonts w:hint="eastAsia" w:cs="Times New Roman"/>
                      <w:color w:val="000000" w:themeColor="text1"/>
                      <w:szCs w:val="20"/>
                      <w:highlight w:val="none"/>
                      <w:lang w:val="en-US" w:eastAsia="zh-CN"/>
                      <w14:textFill>
                        <w14:solidFill>
                          <w14:schemeClr w14:val="tx1"/>
                        </w14:solidFill>
                      </w14:textFill>
                    </w:rPr>
                    <w:t>；</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②</w:t>
                  </w:r>
                  <w:r>
                    <w:rPr>
                      <w:rFonts w:hint="default" w:cs="Times New Roman"/>
                      <w:color w:val="000000" w:themeColor="text1"/>
                      <w:szCs w:val="20"/>
                      <w:highlight w:val="none"/>
                      <w:lang w:val="en-US" w:eastAsia="zh-CN"/>
                      <w14:textFill>
                        <w14:solidFill>
                          <w14:schemeClr w14:val="tx1"/>
                        </w14:solidFill>
                      </w14:textFill>
                    </w:rPr>
                    <w:t>监测频次：根据项目工期安排，拟定每季度做一次监测，必要时随机监测；</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③</w:t>
                  </w:r>
                  <w:r>
                    <w:rPr>
                      <w:rFonts w:hint="default" w:cs="Times New Roman"/>
                      <w:color w:val="000000" w:themeColor="text1"/>
                      <w:szCs w:val="20"/>
                      <w:highlight w:val="none"/>
                      <w:lang w:val="en-US" w:eastAsia="zh-CN"/>
                      <w14:textFill>
                        <w14:solidFill>
                          <w14:schemeClr w14:val="tx1"/>
                        </w14:solidFill>
                      </w14:textFill>
                    </w:rPr>
                    <w:t>监测时间：1 天</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④</w:t>
                  </w:r>
                  <w:r>
                    <w:rPr>
                      <w:rFonts w:hint="default" w:cs="Times New Roman"/>
                      <w:color w:val="000000" w:themeColor="text1"/>
                      <w:szCs w:val="20"/>
                      <w:highlight w:val="none"/>
                      <w:lang w:val="en-US" w:eastAsia="zh-CN"/>
                      <w14:textFill>
                        <w14:solidFill>
                          <w14:schemeClr w14:val="tx1"/>
                        </w14:solidFill>
                      </w14:textFill>
                    </w:rPr>
                    <w:t>监测点位：施工场地附近，设1 个点。</w:t>
                  </w:r>
                </w:p>
              </w:tc>
              <w:tc>
                <w:tcPr>
                  <w:tcW w:w="720"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委托有资质环境监测单位进行监测</w:t>
                  </w:r>
                </w:p>
              </w:tc>
              <w:tc>
                <w:tcPr>
                  <w:tcW w:w="655" w:type="pct"/>
                  <w:vMerge w:val="restar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建设单位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322"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地表水</w:t>
                  </w:r>
                </w:p>
              </w:tc>
              <w:tc>
                <w:tcPr>
                  <w:tcW w:w="2913" w:type="pct"/>
                  <w:noWrap w:val="0"/>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①</w:t>
                  </w:r>
                  <w:r>
                    <w:rPr>
                      <w:rFonts w:hint="default" w:cs="Times New Roman"/>
                      <w:color w:val="000000" w:themeColor="text1"/>
                      <w:szCs w:val="20"/>
                      <w:highlight w:val="none"/>
                      <w:lang w:val="en-US" w:eastAsia="zh-CN"/>
                      <w14:textFill>
                        <w14:solidFill>
                          <w14:schemeClr w14:val="tx1"/>
                        </w14:solidFill>
                      </w14:textFill>
                    </w:rPr>
                    <w:t>监测项目：</w:t>
                  </w:r>
                  <w:r>
                    <w:rPr>
                      <w:rFonts w:hint="eastAsia" w:cs="Times New Roman"/>
                      <w:color w:val="000000" w:themeColor="text1"/>
                      <w:szCs w:val="20"/>
                      <w:highlight w:val="none"/>
                      <w:lang w:val="en-US" w:eastAsia="zh-CN"/>
                      <w14:textFill>
                        <w14:solidFill>
                          <w14:schemeClr w14:val="tx1"/>
                        </w14:solidFill>
                      </w14:textFill>
                    </w:rPr>
                    <w:t>SS；</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②</w:t>
                  </w:r>
                  <w:r>
                    <w:rPr>
                      <w:rFonts w:hint="default" w:cs="Times New Roman"/>
                      <w:color w:val="000000" w:themeColor="text1"/>
                      <w:szCs w:val="20"/>
                      <w:highlight w:val="none"/>
                      <w:lang w:val="en-US" w:eastAsia="zh-CN"/>
                      <w14:textFill>
                        <w14:solidFill>
                          <w14:schemeClr w14:val="tx1"/>
                        </w14:solidFill>
                      </w14:textFill>
                    </w:rPr>
                    <w:t>监测频次：根据项目工期安排，拟定每季度做一次监测，必要时随机监测；</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③</w:t>
                  </w:r>
                  <w:r>
                    <w:rPr>
                      <w:rFonts w:hint="default" w:cs="Times New Roman"/>
                      <w:color w:val="000000" w:themeColor="text1"/>
                      <w:szCs w:val="20"/>
                      <w:highlight w:val="none"/>
                      <w:lang w:val="en-US" w:eastAsia="zh-CN"/>
                      <w14:textFill>
                        <w14:solidFill>
                          <w14:schemeClr w14:val="tx1"/>
                        </w14:solidFill>
                      </w14:textFill>
                    </w:rPr>
                    <w:t>监测时间：1 天</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④</w:t>
                  </w:r>
                  <w:r>
                    <w:rPr>
                      <w:rFonts w:hint="default" w:cs="Times New Roman"/>
                      <w:color w:val="000000" w:themeColor="text1"/>
                      <w:szCs w:val="20"/>
                      <w:highlight w:val="none"/>
                      <w:lang w:val="en-US" w:eastAsia="zh-CN"/>
                      <w14:textFill>
                        <w14:solidFill>
                          <w14:schemeClr w14:val="tx1"/>
                        </w14:solidFill>
                      </w14:textFill>
                    </w:rPr>
                    <w:t>监测点位：</w:t>
                  </w:r>
                  <w:r>
                    <w:rPr>
                      <w:rFonts w:hint="eastAsia" w:cs="Times New Roman"/>
                      <w:color w:val="000000" w:themeColor="text1"/>
                      <w:szCs w:val="20"/>
                      <w:highlight w:val="none"/>
                      <w:lang w:val="en-US" w:eastAsia="zh-CN"/>
                      <w14:textFill>
                        <w14:solidFill>
                          <w14:schemeClr w14:val="tx1"/>
                        </w14:solidFill>
                      </w14:textFill>
                    </w:rPr>
                    <w:t>道路起点（溪底溪下游）</w:t>
                  </w:r>
                  <w:r>
                    <w:rPr>
                      <w:rFonts w:hint="default" w:cs="Times New Roman"/>
                      <w:color w:val="000000" w:themeColor="text1"/>
                      <w:szCs w:val="20"/>
                      <w:highlight w:val="none"/>
                      <w:lang w:val="en-US" w:eastAsia="zh-CN"/>
                      <w14:textFill>
                        <w14:solidFill>
                          <w14:schemeClr w14:val="tx1"/>
                        </w14:solidFill>
                      </w14:textFill>
                    </w:rPr>
                    <w:t>，设1 个点</w:t>
                  </w:r>
                </w:p>
              </w:tc>
              <w:tc>
                <w:tcPr>
                  <w:tcW w:w="720"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655"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322" w:type="pct"/>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噪声</w:t>
                  </w:r>
                </w:p>
              </w:tc>
              <w:tc>
                <w:tcPr>
                  <w:tcW w:w="2913" w:type="pct"/>
                  <w:noWrap w:val="0"/>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①</w:t>
                  </w:r>
                  <w:r>
                    <w:rPr>
                      <w:rFonts w:hint="eastAsia" w:cs="Times New Roman"/>
                      <w:color w:val="000000" w:themeColor="text1"/>
                      <w:szCs w:val="20"/>
                      <w:highlight w:val="none"/>
                      <w14:textFill>
                        <w14:solidFill>
                          <w14:schemeClr w14:val="tx1"/>
                        </w14:solidFill>
                      </w14:textFill>
                    </w:rPr>
                    <w:t>监测项目：LAeq</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②</w:t>
                  </w:r>
                  <w:r>
                    <w:rPr>
                      <w:rFonts w:hint="eastAsia" w:cs="Times New Roman"/>
                      <w:color w:val="000000" w:themeColor="text1"/>
                      <w:szCs w:val="20"/>
                      <w:highlight w:val="none"/>
                      <w14:textFill>
                        <w14:solidFill>
                          <w14:schemeClr w14:val="tx1"/>
                        </w14:solidFill>
                      </w14:textFill>
                    </w:rPr>
                    <w:t>监测频次：根据项目工期安排，拟定每季度做一次监测，必要时随机监测；</w:t>
                  </w:r>
                </w:p>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③</w:t>
                  </w:r>
                  <w:r>
                    <w:rPr>
                      <w:rFonts w:hint="eastAsia" w:cs="Times New Roman"/>
                      <w:color w:val="000000" w:themeColor="text1"/>
                      <w:szCs w:val="20"/>
                      <w:highlight w:val="none"/>
                      <w14:textFill>
                        <w14:solidFill>
                          <w14:schemeClr w14:val="tx1"/>
                        </w14:solidFill>
                      </w14:textFill>
                    </w:rPr>
                    <w:t>监测点位：项目片区内，设1～2 个点。</w:t>
                  </w:r>
                </w:p>
              </w:tc>
              <w:tc>
                <w:tcPr>
                  <w:tcW w:w="720"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c>
                <w:tcPr>
                  <w:tcW w:w="655" w:type="pct"/>
                  <w:vMerge w:val="continue"/>
                  <w:noWrap w:val="0"/>
                  <w:vAlign w:val="center"/>
                </w:tcPr>
                <w:p>
                  <w:pPr>
                    <w:pStyle w:val="19"/>
                    <w:keepNext w:val="0"/>
                    <w:keepLines w:val="0"/>
                    <w:widowControl/>
                    <w:suppressLineNumbers w:val="0"/>
                    <w:shd w:val="clear"/>
                    <w:bidi w:val="0"/>
                    <w:spacing w:before="0" w:beforeAutospacing="0" w:after="0" w:afterAutospacing="0"/>
                    <w:ind w:left="0" w:right="0"/>
                    <w:rPr>
                      <w:rFonts w:hint="default" w:cs="Times New Roman"/>
                      <w:color w:val="000000" w:themeColor="text1"/>
                      <w:szCs w:val="20"/>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注：表中所列出的监测站点、采样时间和监测频次，可根据当地具体情况进行调整。根据监测结果，应适时采取相应环保措施</w:t>
                  </w:r>
                </w:p>
              </w:tc>
            </w:tr>
          </w:tbl>
          <w:p>
            <w:pPr>
              <w:keepNext w:val="0"/>
              <w:keepLines w:val="0"/>
              <w:suppressLineNumbers w:val="0"/>
              <w:shd w:val="clear"/>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noWrap w:val="0"/>
            <w:tcMar>
              <w:left w:w="28" w:type="dxa"/>
              <w:right w:w="28"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cs="宋体"/>
                <w:bCs/>
                <w:color w:val="000000" w:themeColor="text1"/>
                <w:spacing w:val="10"/>
                <w:szCs w:val="21"/>
                <w:highlight w:val="none"/>
                <w14:textFill>
                  <w14:solidFill>
                    <w14:schemeClr w14:val="tx1"/>
                  </w14:solidFill>
                </w14:textFill>
              </w:rPr>
            </w:pPr>
            <w:r>
              <w:rPr>
                <w:rFonts w:hint="eastAsia" w:ascii="宋体" w:hAnsi="宋体" w:cs="宋体"/>
                <w:bCs/>
                <w:color w:val="000000" w:themeColor="text1"/>
                <w:spacing w:val="10"/>
                <w:szCs w:val="21"/>
                <w:highlight w:val="none"/>
                <w14:textFill>
                  <w14:solidFill>
                    <w14:schemeClr w14:val="tx1"/>
                  </w14:solidFill>
                </w14:textFill>
              </w:rPr>
              <w:t>运营期生态环境保护措施</w:t>
            </w:r>
          </w:p>
        </w:tc>
        <w:tc>
          <w:tcPr>
            <w:tcW w:w="8457" w:type="dxa"/>
            <w:noWrap w:val="0"/>
            <w:vAlign w:val="top"/>
          </w:tcPr>
          <w:p>
            <w:pPr>
              <w:pStyle w:val="4"/>
              <w:widowControl/>
              <w:suppressLineNumbers w:val="0"/>
              <w:shd w:val="clear"/>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1.运营期水污染防治措施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(1)沿线设施废水污水污染防治措施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本工程沿线不设收费站、养护工区、路政中队、监控分中心和汽车维护中心等设施，因此营运期沿途不存在设施生活污水排放问题。</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(2)沿线道路排水设施污染防治措施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应加强公路排水设施的管理，维持经常性的巡查和养护，跨水路段要及时修复被毁坏的排水设施。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公路营运应制定相应的应急预案，在事故突发的初期，首先考虑对泄漏的液体物进行集中收集，避免因油料、有毒有害化学品等泄漏，导致受污染的水进入水体。</w:t>
            </w: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2.运营期大气污染治理措施</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严格执行汽车排放车检制度，对汽车排放状况进行抽查，限制尾气排放严重超标车辆上路。</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加强道路管理及路面养护，保持道路良好运营状态，减少塞车现象。</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加强运输水泥、砂石材料等车辆的管理，砂石材料运送需加盖蓬布。</w:t>
            </w: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3.运营期噪声污染治理措施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根据《地面交通噪声污染防治技术政策》</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环发[2010]7 号</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，地面交通噪声污染防治应遵循以下原则：</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①坚持预防为主原则，合理规划地面交通设施与邻近建筑物布局；</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②噪声源、传声途径、敏感建筑物三者的分层次控制与各负其责；</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③在技术经济可行条件下，优先考虑对噪声源和传声途径采取工程技术措施，实施噪声主动控制；</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④坚持以人为本原则，重点对噪声敏感建筑物进行保护。</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本项目为公路建设项目，结合本项目的实际情况，噪声污染防治原则如下：</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①项目建设在改善区域交通的同时，应切实关注交通噪声对道路两侧声环境的影响，做好统筹规划和合理安排；</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②在技术经济可行条件下，优先考虑对噪声源和传声途径采取工程技术措施，实施噪声主动控制。</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对于本项目背景噪声不超标的敏感点，采取措施后应满足相应的环境功能区质量标准或满足室内相应的使用功能要求。</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rFonts w:hint="default"/>
                <w:color w:val="000000" w:themeColor="text1"/>
                <w:highlight w:val="none"/>
                <w:lang w:val="en-US" w:eastAsia="zh-CN"/>
                <w14:textFill>
                  <w14:solidFill>
                    <w14:schemeClr w14:val="tx1"/>
                  </w14:solidFill>
                </w14:textFill>
              </w:rPr>
              <w:t>当敏感点距离线路比较近，居民比较集中，宜采用安装声屏障的降噪措施。如果安装声屏障后，声影区以外的敏感点仍然超标时，可以在声影区以外的敏感建筑采取安装通风隔声窗的措施</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前提是其现有维护结构有足够的隔声量</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rFonts w:hint="default"/>
                <w:color w:val="000000" w:themeColor="text1"/>
                <w:highlight w:val="none"/>
                <w:lang w:val="en-US" w:eastAsia="zh-CN"/>
                <w14:textFill>
                  <w14:solidFill>
                    <w14:schemeClr w14:val="tx1"/>
                  </w14:solidFill>
                </w14:textFill>
              </w:rPr>
              <w:t>加强交通管理，严格执行限速和禁止超载等交通规则，在通过人口密度较大的路段附近设置禁鸣标志，以减少交通噪声扰民问题。</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default"/>
                <w:color w:val="000000" w:themeColor="text1"/>
                <w:highlight w:val="none"/>
                <w:lang w:val="en-US" w:eastAsia="zh-CN"/>
                <w14:textFill>
                  <w14:solidFill>
                    <w14:schemeClr w14:val="tx1"/>
                  </w14:solidFill>
                </w14:textFill>
              </w:rPr>
              <w:t>作好路面的维修养护，以确保道路路面始终处于良好状况。</w:t>
            </w:r>
          </w:p>
          <w:p>
            <w:pPr>
              <w:pStyle w:val="4"/>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4.运营期生态保护措施</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(1)加强运营期管理，保证各项工程设施完好和确保安全生产是生态保护最基本的措施，建议开展相关环保培训，以提高环境管理水平，杜绝环境事故。 </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(2)强化公路沿线固体废弃物污染治理的监督工作，除向司乘人员加强宣传教育工作外，公路沿线的固体废弃物应按路段承包，每天进行清理。 </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(3)公路管理及养护部门应加强管理和宣传教育，确保公路周边林地不受破坏。</w:t>
            </w:r>
          </w:p>
          <w:p>
            <w:pPr>
              <w:pStyle w:val="4"/>
              <w:widowControl/>
              <w:numPr>
                <w:ilvl w:val="0"/>
                <w:numId w:val="0"/>
              </w:numPr>
              <w:suppressLineNumbers w:val="0"/>
              <w:shd w:val="clear"/>
              <w:bidi w:val="0"/>
              <w:spacing w:before="0" w:beforeAutospacing="0" w:after="0" w:afterAutospacing="0"/>
              <w:ind w:left="0" w:leftChars="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风险防范措施及应急预案</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1 预防管理措施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本工程位于</w:t>
            </w:r>
            <w:r>
              <w:rPr>
                <w:rFonts w:hint="eastAsia"/>
                <w:color w:val="000000" w:themeColor="text1"/>
                <w:highlight w:val="none"/>
                <w:lang w:val="en-US" w:eastAsia="zh-CN"/>
                <w14:textFill>
                  <w14:solidFill>
                    <w14:schemeClr w14:val="tx1"/>
                  </w14:solidFill>
                </w14:textFill>
              </w:rPr>
              <w:t>山前</w:t>
            </w:r>
            <w:r>
              <w:rPr>
                <w:rFonts w:hint="default"/>
                <w:color w:val="000000" w:themeColor="text1"/>
                <w:highlight w:val="none"/>
                <w:lang w:val="en-US" w:eastAsia="zh-CN"/>
                <w14:textFill>
                  <w14:solidFill>
                    <w14:schemeClr w14:val="tx1"/>
                  </w14:solidFill>
                </w14:textFill>
              </w:rPr>
              <w:t>水厂二级水源保护区陆域范围内，禁止运输危险化学品及其他危险品的车辆通行饮用水源保护区路段。</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为防范危险品运输风险事故的最主要的措施是要严格执行国家和行业部门颁布的危险货物运输相关法规。相关法规有：《危险化学品安全管理条例》、《道路危险货物运输管理规定》、《中华人民共和国民用爆炸物品管理条例》、《中华人民共和国放射性同位素与射线装置放射保护条例》、《福建省水污染防治条例》2021 年11 月1 日起施行等。结合公路运输实际，具体措施如下：</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①强化有关危险品运输法规的教育和培训</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对从事危险品运输的驾驶员和管理人员，应严格遵守有关危险品运输安全技术规定和操作规程，学习和掌握国家有关部门颁布实施的相关法规。</w:t>
            </w:r>
            <w:r>
              <w:rPr>
                <w:rFonts w:hint="eastAsia"/>
                <w:color w:val="000000" w:themeColor="text1"/>
                <w:highlight w:val="none"/>
                <w:lang w:val="en-US" w:eastAsia="zh-CN"/>
                <w14:textFill>
                  <w14:solidFill>
                    <w14:schemeClr w14:val="tx1"/>
                  </w14:solidFill>
                </w14:textFill>
              </w:rPr>
              <w:t>预防</w:t>
            </w:r>
            <w:r>
              <w:rPr>
                <w:rFonts w:hint="default"/>
                <w:color w:val="000000" w:themeColor="text1"/>
                <w:highlight w:val="none"/>
                <w:lang w:val="en-US" w:eastAsia="zh-CN"/>
                <w14:textFill>
                  <w14:solidFill>
                    <w14:schemeClr w14:val="tx1"/>
                  </w14:solidFill>
                </w14:textFill>
              </w:rPr>
              <w:t>从事危险品运输的驾驶员和管理人员</w:t>
            </w:r>
            <w:r>
              <w:rPr>
                <w:rFonts w:hint="eastAsia"/>
                <w:color w:val="000000" w:themeColor="text1"/>
                <w:highlight w:val="none"/>
                <w:lang w:val="en-US" w:eastAsia="zh-CN"/>
                <w14:textFill>
                  <w14:solidFill>
                    <w14:schemeClr w14:val="tx1"/>
                  </w14:solidFill>
                </w14:textFill>
              </w:rPr>
              <w:t>意识不够，让</w:t>
            </w:r>
            <w:r>
              <w:rPr>
                <w:rFonts w:hint="default"/>
                <w:color w:val="000000" w:themeColor="text1"/>
                <w:highlight w:val="none"/>
                <w:lang w:val="en-US" w:eastAsia="zh-CN"/>
                <w14:textFill>
                  <w14:solidFill>
                    <w14:schemeClr w14:val="tx1"/>
                  </w14:solidFill>
                </w14:textFill>
              </w:rPr>
              <w:t>危险品运输</w:t>
            </w:r>
            <w:r>
              <w:rPr>
                <w:rFonts w:hint="eastAsia"/>
                <w:color w:val="000000" w:themeColor="text1"/>
                <w:highlight w:val="none"/>
                <w:lang w:val="en-US" w:eastAsia="zh-CN"/>
                <w14:textFill>
                  <w14:solidFill>
                    <w14:schemeClr w14:val="tx1"/>
                  </w14:solidFill>
                </w14:textFill>
              </w:rPr>
              <w:t>车辆擅自上路，经过本项目路段，影响水源保护区水质安全</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②加强区域内危险品运输管理</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行政主管部门应按照我国制定的一系列法律法规严格审查经营户资质，规范危险货物准运证发放程序，加强危险品运输市场的管理。</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③为防止意外事故发生，公路管理部门应做好危险品运输车辆上路前检查，途中运输全程监控。</w:t>
            </w:r>
            <w:r>
              <w:rPr>
                <w:rFonts w:hint="eastAsia"/>
                <w:color w:val="000000" w:themeColor="text1"/>
                <w:highlight w:val="none"/>
                <w:lang w:val="en-US" w:eastAsia="zh-CN"/>
                <w14:textFill>
                  <w14:solidFill>
                    <w14:schemeClr w14:val="tx1"/>
                  </w14:solidFill>
                </w14:textFill>
              </w:rPr>
              <w:t>确认</w:t>
            </w:r>
            <w:r>
              <w:rPr>
                <w:rFonts w:hint="default"/>
                <w:color w:val="000000" w:themeColor="text1"/>
                <w:highlight w:val="none"/>
                <w:lang w:val="en-US" w:eastAsia="zh-CN"/>
                <w14:textFill>
                  <w14:solidFill>
                    <w14:schemeClr w14:val="tx1"/>
                  </w14:solidFill>
                </w14:textFill>
              </w:rPr>
              <w:t>危险品运输车辆</w:t>
            </w:r>
            <w:r>
              <w:rPr>
                <w:rFonts w:hint="eastAsia"/>
                <w:color w:val="000000" w:themeColor="text1"/>
                <w:highlight w:val="none"/>
                <w:lang w:val="en-US" w:eastAsia="zh-CN"/>
                <w14:textFill>
                  <w14:solidFill>
                    <w14:schemeClr w14:val="tx1"/>
                  </w14:solidFill>
                </w14:textFill>
              </w:rPr>
              <w:t>运输路线，如运输路线本项目路段，及时制止，并变更合理路线</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④</w:t>
            </w:r>
            <w:r>
              <w:rPr>
                <w:rFonts w:hint="eastAsia"/>
                <w:color w:val="000000" w:themeColor="text1"/>
                <w:highlight w:val="none"/>
                <w14:textFill>
                  <w14:solidFill>
                    <w14:schemeClr w14:val="tx1"/>
                  </w14:solidFill>
                </w14:textFill>
              </w:rPr>
              <w:t>配套“减速行驶、安全驾驶”的警示标志或醒目的多条警示标线的设施</w:t>
            </w:r>
            <w:r>
              <w:rPr>
                <w:rFonts w:hint="default"/>
                <w:color w:val="000000" w:themeColor="text1"/>
                <w:highlight w:val="none"/>
                <w:lang w:val="en-US" w:eastAsia="zh-CN"/>
                <w14:textFill>
                  <w14:solidFill>
                    <w14:schemeClr w14:val="tx1"/>
                  </w14:solidFill>
                </w14:textFill>
              </w:rPr>
              <w:t>。</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⑤公路日常巡逻、养护措施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依托交通局做好公路的管理、维护与维修，定期对路面做养护，如路面的维护，路面有缺损、颠簸不平、大坑凹和设施损坏时，应及时维修，否则应设立警示标志，磨损标线的重新漆画，两侧防护栏损坏的维护、更换，路侧隔离栅的维护，道路标志的维护等等。</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default"/>
                <w:color w:val="000000" w:themeColor="text1"/>
                <w:highlight w:val="none"/>
                <w:lang w:val="en-US" w:eastAsia="zh-CN"/>
                <w14:textFill>
                  <w14:solidFill>
                    <w14:schemeClr w14:val="tx1"/>
                  </w14:solidFill>
                </w14:textFill>
              </w:rPr>
              <w:t>特殊天气交通管制措施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在发生如台风、大雾等恶劣天气时，道路管理部门应采取措施，进行交通管制，必要时关闭交通，防止发生交通事故。</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⑦</w:t>
            </w:r>
            <w:r>
              <w:rPr>
                <w:rFonts w:hint="default"/>
                <w:color w:val="000000" w:themeColor="text1"/>
                <w:highlight w:val="none"/>
                <w:lang w:val="en-US" w:eastAsia="zh-CN"/>
                <w14:textFill>
                  <w14:solidFill>
                    <w14:schemeClr w14:val="tx1"/>
                  </w14:solidFill>
                </w14:textFill>
              </w:rPr>
              <w:t>限制危险品运输措施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为预防和减少危险化学品运输事故对周围饮用水水源的影响，保障饮用水水源的安全，应协同交通部门、公安部门制定危险化学品运输的管控制度，做好监督，确保水源保护区段禁行装载危险化学品的车辆。</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⑨公路管理部门应与公安、消防、环保等有关部门建立协作关系，争取各方力量。</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⑩公安机关</w:t>
            </w:r>
            <w:r>
              <w:rPr>
                <w:rFonts w:hint="eastAsia"/>
                <w:color w:val="000000" w:themeColor="text1"/>
                <w:highlight w:val="none"/>
                <w:lang w:val="en-US" w:eastAsia="zh-CN"/>
                <w14:textFill>
                  <w14:solidFill>
                    <w14:schemeClr w14:val="tx1"/>
                  </w14:solidFill>
                </w14:textFill>
              </w:rPr>
              <w:t>将本项目全程路段列入危化品运输车辆禁行区，</w:t>
            </w:r>
            <w:r>
              <w:rPr>
                <w:rFonts w:hint="default"/>
                <w:color w:val="000000" w:themeColor="text1"/>
                <w:highlight w:val="none"/>
                <w:lang w:val="en-US" w:eastAsia="zh-CN"/>
                <w14:textFill>
                  <w14:solidFill>
                    <w14:schemeClr w14:val="tx1"/>
                  </w14:solidFill>
                </w14:textFill>
              </w:rPr>
              <w:t>并设置明显的标志；运输危险化学品的车辆不得进入。</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.2 预防工程措施</w:t>
            </w:r>
          </w:p>
          <w:p>
            <w:pPr>
              <w:pStyle w:val="21"/>
              <w:shd w:val="clea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应加强桥梁的栏杆等结构强度设计，设置防撞栏，避免车辆翻入</w:t>
            </w:r>
            <w:r>
              <w:rPr>
                <w:rFonts w:hint="eastAsia"/>
                <w:color w:val="000000" w:themeColor="text1"/>
                <w:highlight w:val="none"/>
                <w:lang w:val="en-US" w:eastAsia="zh-CN"/>
                <w14:textFill>
                  <w14:solidFill>
                    <w14:schemeClr w14:val="tx1"/>
                  </w14:solidFill>
                </w14:textFill>
              </w:rPr>
              <w:t>溪底</w:t>
            </w:r>
            <w:r>
              <w:rPr>
                <w:rFonts w:hint="default"/>
                <w:color w:val="000000" w:themeColor="text1"/>
                <w:highlight w:val="none"/>
                <w:lang w:val="en-US" w:eastAsia="zh-CN"/>
                <w14:textFill>
                  <w14:solidFill>
                    <w14:schemeClr w14:val="tx1"/>
                  </w14:solidFill>
                </w14:textFill>
              </w:rPr>
              <w:t>溪中。同时应设置限速行驶标志牌以避免车速过快或超速行驶造成事故的隐患。</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项目在公路起点处(线路低点)设置两座各5m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应急池，该应急池兼有沉淀、隔油和蓄毒作用，可将事故径流和初期雨水截留，避免事故下直接对山前水厂水源保护区饮用水水质造成不良影响。应急池应安装切换装置。正常情况下，临水源保护区路段路面径流收集的雨水经收集沉淀处理后经导流管排至保护区外排放，事故情况下的冲洗水或初期雨水收集至应急池后再用槽车外运处理，收集的危险化学品污水必须委托有资质的单位统一处理。</w:t>
            </w:r>
          </w:p>
          <w:p>
            <w:pPr>
              <w:pStyle w:val="5"/>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w:t>
            </w:r>
            <w:r>
              <w:rPr>
                <w:rFonts w:hint="default"/>
                <w:color w:val="000000" w:themeColor="text1"/>
                <w:highlight w:val="none"/>
                <w:lang w:val="en-US" w:eastAsia="zh-CN"/>
                <w14:textFill>
                  <w14:solidFill>
                    <w14:schemeClr w14:val="tx1"/>
                  </w14:solidFill>
                </w14:textFill>
              </w:rPr>
              <w:t>环境风险应急管理和监测计划</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风险源管理。</w:t>
            </w:r>
            <w:r>
              <w:rPr>
                <w:rFonts w:hint="eastAsia"/>
                <w:color w:val="000000" w:themeColor="text1"/>
                <w:highlight w:val="none"/>
                <w:lang w:val="en-US" w:eastAsia="zh-CN"/>
                <w14:textFill>
                  <w14:solidFill>
                    <w14:schemeClr w14:val="tx1"/>
                  </w14:solidFill>
                </w14:textFill>
              </w:rPr>
              <w:t>禁止</w:t>
            </w:r>
            <w:r>
              <w:rPr>
                <w:rFonts w:hint="default"/>
                <w:color w:val="000000" w:themeColor="text1"/>
                <w:highlight w:val="none"/>
                <w:lang w:val="en-US" w:eastAsia="zh-CN"/>
                <w14:textFill>
                  <w14:solidFill>
                    <w14:schemeClr w14:val="tx1"/>
                  </w14:solidFill>
                </w14:textFill>
              </w:rPr>
              <w:t>运输危险化学品、危险废物及其他影响饮用水水源安全的车辆穿越水源保护区。</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针对水源地编制专项环境风险应急预案，应急预案应包括预案总则、应急组织指挥体系、配备应急物质、开展应急监测、应急处置等，使突发事件的危害降到最低。</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进行环境风险应急监测。根据事故情况进行应急检测，监测断面为</w:t>
            </w:r>
            <w:r>
              <w:rPr>
                <w:rFonts w:hint="eastAsia"/>
                <w:color w:val="000000" w:themeColor="text1"/>
                <w:highlight w:val="none"/>
                <w:lang w:val="en-US" w:eastAsia="zh-CN"/>
                <w14:textFill>
                  <w14:solidFill>
                    <w14:schemeClr w14:val="tx1"/>
                  </w14:solidFill>
                </w14:textFill>
              </w:rPr>
              <w:t>山前水厂</w:t>
            </w:r>
            <w:r>
              <w:rPr>
                <w:rFonts w:hint="default"/>
                <w:color w:val="000000" w:themeColor="text1"/>
                <w:highlight w:val="none"/>
                <w:lang w:val="en-US" w:eastAsia="zh-CN"/>
                <w14:textFill>
                  <w14:solidFill>
                    <w14:schemeClr w14:val="tx1"/>
                  </w14:solidFill>
                </w14:textFill>
              </w:rPr>
              <w:t>二级水源保护区、一级水源保护区取水口断面：监测项目为pH、COD、SS、石油类、氨氮及事故特征因子，监测时间和频次根据事故情况酌情实施，委托有资质的监测机构进行检测。</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加强工程水源保护区段的巡查和保护的宣传。</w:t>
            </w:r>
          </w:p>
          <w:p>
            <w:pPr>
              <w:pStyle w:val="4"/>
              <w:widowControl/>
              <w:suppressLineNumbers w:val="0"/>
              <w:shd w:val="clear"/>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对水源保护区的污染防治措施</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应加强桥梁的栏杆等结构强度设计，设置防撞栏，避免车辆翻入</w:t>
            </w:r>
            <w:r>
              <w:rPr>
                <w:rFonts w:hint="eastAsia"/>
                <w:color w:val="000000" w:themeColor="text1"/>
                <w:highlight w:val="none"/>
                <w:lang w:val="en-US" w:eastAsia="zh-CN"/>
                <w14:textFill>
                  <w14:solidFill>
                    <w14:schemeClr w14:val="tx1"/>
                  </w14:solidFill>
                </w14:textFill>
              </w:rPr>
              <w:t>溪底</w:t>
            </w:r>
            <w:r>
              <w:rPr>
                <w:rFonts w:hint="default"/>
                <w:color w:val="000000" w:themeColor="text1"/>
                <w:highlight w:val="none"/>
                <w:lang w:val="en-US" w:eastAsia="zh-CN"/>
                <w14:textFill>
                  <w14:solidFill>
                    <w14:schemeClr w14:val="tx1"/>
                  </w14:solidFill>
                </w14:textFill>
              </w:rPr>
              <w:t>溪中。同时应设置限速行驶标志牌以避免车速过快或超速行驶造成事故的隐患。</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设置路面径流的应急收集系统</w:t>
            </w:r>
          </w:p>
          <w:p>
            <w:pPr>
              <w:pStyle w:val="21"/>
              <w:shd w:val="clea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路面径流系统</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包括横向泄水沟、导流排水沟</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集水管</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及应急收集池</w:t>
            </w:r>
            <w:r>
              <w:rPr>
                <w:rFonts w:hint="eastAsia"/>
                <w:color w:val="000000" w:themeColor="text1"/>
                <w:highlight w:val="none"/>
                <w:lang w:val="en-US" w:eastAsia="zh-CN"/>
                <w14:textFill>
                  <w14:solidFill>
                    <w14:schemeClr w14:val="tx1"/>
                  </w14:solidFill>
                </w14:textFill>
              </w:rPr>
              <w:t>，在路面径流系统内还可以安置优质水泵，通过合理的方式，提高水泵在应急收集池排水应用过程中的自动化能力，保证桥面径流水都能够被及时排除。</w:t>
            </w:r>
          </w:p>
          <w:p>
            <w:pPr>
              <w:pStyle w:val="21"/>
              <w:shd w:val="clea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路面径流系统(包括横向泄水沟、导流排水沟)，应急收集池用铁板或钢筋混凝土板封顶，应急池应可容纳水源保护区路面径流，且须兼有沉淀、隔油和蓄毒作用，在事故情况下可将水源保护区路段事故径流和初期雨水截留。</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应急收集池应安装切换装置。正常情况下，路面径流收集的雨水经收集沉淀处理后经导流管排至保护区外排放，事故情况下的冲洗水或初期雨水收集至应急收集池后再用槽车外运处理，收集的危险化学品污水必须委托有资质的单位统一处理。避免事故下直接对山前水厂水源保护区饮用水水质造成不良影响。</w:t>
            </w:r>
          </w:p>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应急收集池应安装切换装置。正常情况下，二级保护区陆域范围路段路面径流水经收集沉淀处理后再排入保护区外排放，事故情况下的冲洗水或初期雨水收集至应急收集池后再用槽车外运处理。</w:t>
            </w:r>
          </w:p>
          <w:p>
            <w:pPr>
              <w:pStyle w:val="21"/>
              <w:shd w:val="clear"/>
              <w:bidi w:val="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lang w:eastAsia="zh-CN"/>
                <w14:textFill>
                  <w14:solidFill>
                    <w14:schemeClr w14:val="tx1"/>
                  </w14:solidFill>
                </w14:textFill>
              </w:rPr>
              <w:t>(</w:t>
            </w:r>
            <w:r>
              <w:rPr>
                <w:rFonts w:hint="eastAsia" w:ascii="TimesNewRomanPSMT" w:hAnsi="TimesNewRomanPSMT" w:eastAsia="宋体"/>
                <w:color w:val="000000" w:themeColor="text1"/>
                <w:sz w:val="24"/>
                <w:szCs w:val="24"/>
                <w:highlight w:val="none"/>
                <w:lang w:val="en-US" w:eastAsia="zh-CN"/>
                <w14:textFill>
                  <w14:solidFill>
                    <w14:schemeClr w14:val="tx1"/>
                  </w14:solidFill>
                </w14:textFill>
              </w:rPr>
              <w:t>4</w:t>
            </w:r>
            <w:r>
              <w:rPr>
                <w:rFonts w:hint="eastAsia" w:ascii="宋体" w:hAnsi="宋体" w:eastAsia="宋体"/>
                <w:color w:val="000000" w:themeColor="text1"/>
                <w:sz w:val="24"/>
                <w:szCs w:val="24"/>
                <w:highlight w:val="none"/>
                <w:lang w:eastAsia="zh-CN"/>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运输危险品的车辆禁止经过</w:t>
            </w:r>
            <w:r>
              <w:rPr>
                <w:rFonts w:hint="eastAsia" w:ascii="宋体" w:hAnsi="宋体" w:eastAsia="宋体"/>
                <w:color w:val="000000" w:themeColor="text1"/>
                <w:sz w:val="24"/>
                <w:szCs w:val="24"/>
                <w:highlight w:val="none"/>
                <w:lang w:val="en-US" w:eastAsia="zh-CN"/>
                <w14:textFill>
                  <w14:solidFill>
                    <w14:schemeClr w14:val="tx1"/>
                  </w14:solidFill>
                </w14:textFill>
              </w:rPr>
              <w:t>本路段</w:t>
            </w:r>
            <w:r>
              <w:rPr>
                <w:rFonts w:hint="eastAsia" w:ascii="宋体" w:hAnsi="宋体" w:eastAsia="宋体"/>
                <w:color w:val="000000" w:themeColor="text1"/>
                <w:sz w:val="24"/>
                <w:szCs w:val="24"/>
                <w:highlight w:val="none"/>
                <w14:textFill>
                  <w14:solidFill>
                    <w14:schemeClr w14:val="tx1"/>
                  </w14:solidFill>
                </w14:textFill>
              </w:rPr>
              <w:t>保护水域；装载煤、石灰、水泥、土方等易起尘的散货，必须加蓬覆盖后，才能上路行驶，防止撒落的材料经雨水冲刷后造成水体污染。如遇到大风、大雾等恶劣天气，则应关闭相应的路段，以降低交通事故的发生率。</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建议建设基于视频监控的环境风险设施远程自动化控制系统，即发生环境风险事故时，主监控画面自动提醒并给出应急处理程序，同时在监控中心可以实现环境风险设施的远程控制主要为启动或关闭阀门。</w:t>
            </w:r>
          </w:p>
          <w:p>
            <w:pPr>
              <w:pStyle w:val="21"/>
              <w:shd w:val="clea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设置交通警示牌、减速或限速、告示牌等标志，在敏感路段处设置交通警示牌和环境风险设施处设置应急联系告示牌。</w:t>
            </w:r>
          </w:p>
          <w:p>
            <w:pPr>
              <w:pStyle w:val="21"/>
              <w:shd w:val="clear"/>
              <w:bidi w:val="0"/>
              <w:rPr>
                <w:rFonts w:hint="default" w:ascii="宋体" w:hAnsi="宋体" w:eastAsia="宋体"/>
                <w:color w:val="000000" w:themeColor="text1"/>
                <w:szCs w:val="24"/>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相关部门应当加强公路配套建设的环境保护设施如路面径流系统、应急收集池等的管护和巡查，确保泄水管口无堵塞，集水管无破损、脱落。保证公路径流排水系统的畅通。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2" w:hRule="atLeast"/>
          <w:jc w:val="center"/>
        </w:trPr>
        <w:tc>
          <w:tcPr>
            <w:tcW w:w="753"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cs="宋体"/>
                <w:bCs/>
                <w:color w:val="000000" w:themeColor="text1"/>
                <w:spacing w:val="1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其他</w:t>
            </w:r>
          </w:p>
        </w:tc>
        <w:tc>
          <w:tcPr>
            <w:tcW w:w="8457"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宋体" w:hAnsi="宋体" w:cs="宋体"/>
                <w:bCs/>
                <w:color w:val="000000" w:themeColor="text1"/>
                <w:spacing w:val="1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环保投资</w:t>
            </w:r>
          </w:p>
        </w:tc>
        <w:tc>
          <w:tcPr>
            <w:tcW w:w="8457" w:type="dxa"/>
            <w:noWrap w:val="0"/>
            <w:vAlign w:val="top"/>
          </w:tcPr>
          <w:p>
            <w:pPr>
              <w:pStyle w:val="21"/>
              <w:shd w:val="clea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本项目环境保护投资包括：直接环境保护投资和兼顾环境保护作用的工程设施投资，具体见</w:t>
            </w:r>
            <w:r>
              <w:rPr>
                <w:rFonts w:hint="eastAsia"/>
                <w:color w:val="000000" w:themeColor="text1"/>
                <w:highlight w:val="none"/>
                <w:lang w:val="en-US" w:eastAsia="zh-CN"/>
                <w14:textFill>
                  <w14:solidFill>
                    <w14:schemeClr w14:val="tx1"/>
                  </w14:solidFill>
                </w14:textFill>
              </w:rPr>
              <w:t>下</w:t>
            </w:r>
            <w:r>
              <w:rPr>
                <w:rFonts w:hint="default"/>
                <w:color w:val="000000" w:themeColor="text1"/>
                <w:highlight w:val="none"/>
                <w:lang w:val="en-US" w:eastAsia="zh-CN"/>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w:t>
            </w:r>
          </w:p>
          <w:p>
            <w:pPr>
              <w:pStyle w:val="18"/>
              <w:keepNext w:val="0"/>
              <w:keepLines w:val="0"/>
              <w:suppressLineNumbers w:val="0"/>
              <w:shd w:val="clear"/>
              <w:bidi w:val="0"/>
              <w:spacing w:before="0" w:beforeAutospacing="0" w:after="0" w:afterAutospacing="0"/>
              <w:ind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环境保护投资一览表</w:t>
            </w:r>
          </w:p>
          <w:tbl>
            <w:tblPr>
              <w:tblStyle w:val="1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927"/>
              <w:gridCol w:w="4946"/>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gridSpan w:val="2"/>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项目</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措施内容</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生态环境保护措施</w:t>
                  </w: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施工期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雨季水土流失防护材料，塑料薄膜、草包等</w:t>
                  </w:r>
                  <w:r>
                    <w:rPr>
                      <w:rFonts w:hint="eastAsia" w:cs="Times New Roman"/>
                      <w:color w:val="000000" w:themeColor="text1"/>
                      <w:szCs w:val="20"/>
                      <w:highlight w:val="none"/>
                      <w:lang w:val="en-US" w:eastAsia="zh-CN" w:bidi="ar-SA"/>
                      <w14:textFill>
                        <w14:solidFill>
                          <w14:schemeClr w14:val="tx1"/>
                        </w14:solidFill>
                      </w14:textFill>
                    </w:rPr>
                    <w:t>；</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环境空气保护措施</w:t>
                  </w: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施工期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设置2 辆洒水车，每天洒水4~5 次；物料篷布遮盖</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水环境保护措施</w:t>
                  </w: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施工期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施工场地设置沉淀池，公路靠溪底溪一侧施工范围外1m 处修筑挡水坝、浆砌石截水沟(排水沟)，截水沟过水断面尺寸0.5m*0.5m，矩形断面，浆砌石砌筑，并在截水沟末端设置应急收集池</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Merge w:val="restar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声环境保护措施</w:t>
                  </w: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施工期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default" w:cs="Times New Roman"/>
                      <w:color w:val="000000" w:themeColor="text1"/>
                      <w:szCs w:val="20"/>
                      <w:highlight w:val="none"/>
                      <w:lang w:val="en-US" w:eastAsia="zh-CN" w:bidi="ar-SA"/>
                      <w14:textFill>
                        <w14:solidFill>
                          <w14:schemeClr w14:val="tx1"/>
                        </w14:solidFill>
                      </w14:textFill>
                    </w:rPr>
                    <w:t>选用低噪声设备、合理布局施工、并进行围挡，居民段禁鸣、限速标志</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Merge w:val="continue"/>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运营期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设置禁鸣、限速标志</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固体废物处置</w:t>
                  </w: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施工期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设置垃圾收集桶</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风险防范措施</w:t>
                  </w:r>
                </w:p>
              </w:tc>
              <w:tc>
                <w:tcPr>
                  <w:tcW w:w="561" w:type="pct"/>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运营期</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配套“减速行驶、安全驾驶”的警示标志或醒目的多条警示标线的设施；</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全程路段防撞护拦进行强化、加固设计；</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2个容积各5m</w:t>
                  </w:r>
                  <w:r>
                    <w:rPr>
                      <w:rFonts w:hint="eastAsia" w:cs="Times New Roman"/>
                      <w:color w:val="000000" w:themeColor="text1"/>
                      <w:szCs w:val="20"/>
                      <w:highlight w:val="none"/>
                      <w:vertAlign w:val="superscript"/>
                      <w:lang w:val="en-US" w:eastAsia="zh-CN" w:bidi="ar-SA"/>
                      <w14:textFill>
                        <w14:solidFill>
                          <w14:schemeClr w14:val="tx1"/>
                        </w14:solidFill>
                      </w14:textFill>
                    </w:rPr>
                    <w:t>3</w:t>
                  </w:r>
                  <w:r>
                    <w:rPr>
                      <w:rFonts w:hint="eastAsia" w:cs="Times New Roman"/>
                      <w:color w:val="000000" w:themeColor="text1"/>
                      <w:szCs w:val="20"/>
                      <w:highlight w:val="none"/>
                      <w:lang w:val="en-US" w:eastAsia="zh-CN" w:bidi="ar-SA"/>
                      <w14:textFill>
                        <w14:solidFill>
                          <w14:schemeClr w14:val="tx1"/>
                        </w14:solidFill>
                      </w14:textFill>
                    </w:rPr>
                    <w:t>的应急池，位于起点两侧；</w:t>
                  </w:r>
                </w:p>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建设基于视频监控的环境风险设施远程自动化控制系统。</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gridSpan w:val="2"/>
                  <w:vAlign w:val="center"/>
                </w:tcPr>
                <w:p>
                  <w:pPr>
                    <w:pStyle w:val="19"/>
                    <w:keepNext w:val="0"/>
                    <w:keepLines w:val="0"/>
                    <w:widowControl/>
                    <w:suppressLineNumbers w:val="0"/>
                    <w:shd w:val="clear"/>
                    <w:bidi w:val="0"/>
                    <w:spacing w:before="0" w:beforeAutospacing="0" w:after="0" w:afterAutospacing="0"/>
                    <w:ind w:left="0"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环境保护管理</w:t>
                  </w:r>
                </w:p>
              </w:tc>
              <w:tc>
                <w:tcPr>
                  <w:tcW w:w="3000" w:type="pct"/>
                  <w:vAlign w:val="center"/>
                </w:tcPr>
                <w:p>
                  <w:pPr>
                    <w:pStyle w:val="19"/>
                    <w:keepNext w:val="0"/>
                    <w:keepLines w:val="0"/>
                    <w:widowControl/>
                    <w:suppressLineNumbers w:val="0"/>
                    <w:shd w:val="clear"/>
                    <w:bidi w:val="0"/>
                    <w:spacing w:before="0" w:beforeAutospacing="0" w:after="0" w:afterAutospacing="0"/>
                    <w:ind w:left="0" w:right="0"/>
                    <w:jc w:val="left"/>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环境影响评价、环境监理、环境监测和环保验收等</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7" w:type="pct"/>
                  <w:gridSpan w:val="3"/>
                  <w:vAlign w:val="center"/>
                </w:tcPr>
                <w:p>
                  <w:pPr>
                    <w:pStyle w:val="19"/>
                    <w:keepNext w:val="0"/>
                    <w:keepLines w:val="0"/>
                    <w:widowControl/>
                    <w:suppressLineNumbers w:val="0"/>
                    <w:shd w:val="clear"/>
                    <w:bidi w:val="0"/>
                    <w:spacing w:before="0" w:beforeAutospacing="0" w:after="0" w:afterAutospacing="0"/>
                    <w:ind w:left="0" w:right="0"/>
                    <w:jc w:val="center"/>
                    <w:rPr>
                      <w:rFonts w:hint="eastAsia" w:eastAsia="宋体"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合计</w:t>
                  </w:r>
                </w:p>
              </w:tc>
              <w:tc>
                <w:tcPr>
                  <w:tcW w:w="752" w:type="pct"/>
                  <w:vAlign w:val="center"/>
                </w:tcPr>
                <w:p>
                  <w:pPr>
                    <w:pStyle w:val="19"/>
                    <w:keepNext w:val="0"/>
                    <w:keepLines w:val="0"/>
                    <w:widowControl/>
                    <w:suppressLineNumbers w:val="0"/>
                    <w:shd w:val="clear"/>
                    <w:bidi w:val="0"/>
                    <w:spacing w:before="0" w:beforeAutospacing="0" w:after="0" w:afterAutospacing="0"/>
                    <w:ind w:left="0"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82</w:t>
                  </w:r>
                </w:p>
              </w:tc>
            </w:tr>
          </w:tbl>
          <w:p>
            <w:pPr>
              <w:pStyle w:val="21"/>
              <w:shd w:val="clea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项目环保工程投资估算约为</w:t>
            </w:r>
            <w:r>
              <w:rPr>
                <w:rFonts w:hint="eastAsia"/>
                <w:color w:val="000000" w:themeColor="text1"/>
                <w:highlight w:val="none"/>
                <w:lang w:val="en-US" w:eastAsia="zh-CN"/>
                <w14:textFill>
                  <w14:solidFill>
                    <w14:schemeClr w14:val="tx1"/>
                  </w14:solidFill>
                </w14:textFill>
              </w:rPr>
              <w:t>82</w:t>
            </w:r>
            <w:r>
              <w:rPr>
                <w:rFonts w:hint="eastAsia"/>
                <w:color w:val="000000" w:themeColor="text1"/>
                <w:highlight w:val="none"/>
                <w14:textFill>
                  <w14:solidFill>
                    <w14:schemeClr w14:val="tx1"/>
                  </w14:solidFill>
                </w14:textFill>
              </w:rPr>
              <w:t>万元，占总投资额</w:t>
            </w:r>
            <w:r>
              <w:rPr>
                <w:rFonts w:hint="eastAsia"/>
                <w:color w:val="000000" w:themeColor="text1"/>
                <w:highlight w:val="none"/>
                <w:lang w:val="en-US" w:eastAsia="zh-CN"/>
                <w14:textFill>
                  <w14:solidFill>
                    <w14:schemeClr w14:val="tx1"/>
                  </w14:solidFill>
                </w14:textFill>
              </w:rPr>
              <w:t>955.8</w:t>
            </w:r>
            <w:r>
              <w:rPr>
                <w:rFonts w:hint="eastAsia"/>
                <w:color w:val="000000" w:themeColor="text1"/>
                <w:highlight w:val="none"/>
                <w14:textFill>
                  <w14:solidFill>
                    <w14:schemeClr w14:val="tx1"/>
                  </w14:solidFill>
                </w14:textFill>
              </w:rPr>
              <w:t>万元的</w:t>
            </w:r>
            <w:r>
              <w:rPr>
                <w:rFonts w:hint="eastAsia"/>
                <w:color w:val="000000" w:themeColor="text1"/>
                <w:highlight w:val="none"/>
                <w:lang w:val="en-US" w:eastAsia="zh-CN"/>
                <w14:textFill>
                  <w14:solidFill>
                    <w14:schemeClr w14:val="tx1"/>
                  </w14:solidFill>
                </w14:textFill>
              </w:rPr>
              <w:t>8.58</w:t>
            </w:r>
            <w:r>
              <w:rPr>
                <w:rFonts w:hint="eastAsia"/>
                <w:color w:val="000000" w:themeColor="text1"/>
                <w:highlight w:val="none"/>
                <w14:textFill>
                  <w14:solidFill>
                    <w14:schemeClr w14:val="tx1"/>
                  </w14:solidFill>
                </w14:textFill>
              </w:rPr>
              <w:t>%。投资比例相对比较合理，项目环保措施选取是可行的。</w:t>
            </w:r>
          </w:p>
          <w:p>
            <w:pPr>
              <w:keepNext w:val="0"/>
              <w:keepLines w:val="0"/>
              <w:suppressLineNumbers w:val="0"/>
              <w:shd w:val="clear"/>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tc>
      </w:tr>
    </w:tbl>
    <w:p>
      <w:pPr>
        <w:shd w:val="clear"/>
        <w:rPr>
          <w:color w:val="000000" w:themeColor="text1"/>
          <w:highlight w:val="none"/>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3"/>
        <w:numPr>
          <w:ilvl w:val="0"/>
          <w:numId w:val="0"/>
        </w:numPr>
        <w:shd w:val="clear"/>
        <w:bidi w:val="0"/>
        <w:ind w:leftChars="0"/>
        <w:jc w:val="center"/>
        <w:rPr>
          <w:color w:val="000000" w:themeColor="text1"/>
          <w:highlight w:val="none"/>
          <w14:textFill>
            <w14:solidFill>
              <w14:schemeClr w14:val="tx1"/>
            </w14:solidFill>
          </w14:textFill>
        </w:rPr>
      </w:pPr>
      <w:bookmarkStart w:id="19" w:name="_Toc25098"/>
      <w:bookmarkStart w:id="20" w:name="_Toc29065_WPSOffice_Level1"/>
      <w:r>
        <w:rPr>
          <w:color w:val="000000" w:themeColor="text1"/>
          <w:highlight w:val="none"/>
          <w14:textFill>
            <w14:solidFill>
              <w14:schemeClr w14:val="tx1"/>
            </w14:solidFill>
          </w14:textFill>
        </w:rPr>
        <w:t>六、生态环境保护措施监督检查清单</w:t>
      </w:r>
      <w:bookmarkEnd w:id="19"/>
      <w:bookmarkEnd w:id="20"/>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6214"/>
        <w:gridCol w:w="1693"/>
        <w:gridCol w:w="3602"/>
        <w:gridCol w:w="14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tcBorders>
              <w:tl2br w:val="single" w:color="auto" w:sz="4" w:space="0"/>
            </w:tcBorders>
            <w:noWrap w:val="0"/>
            <w:vAlign w:val="top"/>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21" w:name="_Toc11605"/>
            <w:bookmarkStart w:id="22" w:name="_Toc14270"/>
            <w:bookmarkStart w:id="23" w:name="_Toc6744"/>
            <w:bookmarkStart w:id="24" w:name="_Toc21515"/>
            <w:bookmarkStart w:id="25" w:name="_Toc79765420"/>
            <w:bookmarkStart w:id="26" w:name="_Toc3450"/>
            <w:r>
              <w:rPr>
                <w:rFonts w:hint="default" w:cs="Times New Roman"/>
                <w:color w:val="000000" w:themeColor="text1"/>
                <w:szCs w:val="20"/>
                <w:highlight w:val="none"/>
                <w14:textFill>
                  <w14:solidFill>
                    <w14:schemeClr w14:val="tx1"/>
                  </w14:solidFill>
                </w14:textFill>
              </w:rPr>
              <w:t>内容</w:t>
            </w:r>
            <w:bookmarkEnd w:id="21"/>
            <w:bookmarkEnd w:id="22"/>
            <w:bookmarkEnd w:id="23"/>
            <w:bookmarkEnd w:id="24"/>
            <w:bookmarkEnd w:id="25"/>
            <w:bookmarkEnd w:id="26"/>
          </w:p>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27" w:name="_Toc11394"/>
            <w:bookmarkStart w:id="28" w:name="_Toc8611"/>
            <w:bookmarkStart w:id="29" w:name="_Toc2114"/>
            <w:bookmarkStart w:id="30" w:name="_Toc29119"/>
            <w:bookmarkStart w:id="31" w:name="_Toc79765421"/>
            <w:bookmarkStart w:id="32" w:name="_Toc14573"/>
            <w:r>
              <w:rPr>
                <w:rFonts w:hint="default" w:cs="Times New Roman"/>
                <w:color w:val="000000" w:themeColor="text1"/>
                <w:szCs w:val="20"/>
                <w:highlight w:val="none"/>
                <w14:textFill>
                  <w14:solidFill>
                    <w14:schemeClr w14:val="tx1"/>
                  </w14:solidFill>
                </w14:textFill>
              </w:rPr>
              <w:t>要素</w:t>
            </w:r>
            <w:bookmarkEnd w:id="27"/>
            <w:bookmarkEnd w:id="28"/>
            <w:bookmarkEnd w:id="29"/>
            <w:bookmarkEnd w:id="30"/>
            <w:bookmarkEnd w:id="31"/>
            <w:bookmarkEnd w:id="32"/>
          </w:p>
        </w:tc>
        <w:tc>
          <w:tcPr>
            <w:tcW w:w="2789" w:type="pct"/>
            <w:gridSpan w:val="2"/>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33" w:name="_Toc79765422"/>
            <w:bookmarkStart w:id="34" w:name="_Toc10206"/>
            <w:bookmarkStart w:id="35" w:name="_Toc10169"/>
            <w:bookmarkStart w:id="36" w:name="_Toc14846"/>
            <w:bookmarkStart w:id="37" w:name="_Toc12049"/>
            <w:bookmarkStart w:id="38" w:name="_Toc18435"/>
            <w:r>
              <w:rPr>
                <w:rFonts w:hint="default" w:cs="Times New Roman"/>
                <w:color w:val="000000" w:themeColor="text1"/>
                <w:szCs w:val="20"/>
                <w:highlight w:val="none"/>
                <w14:textFill>
                  <w14:solidFill>
                    <w14:schemeClr w14:val="tx1"/>
                  </w14:solidFill>
                </w14:textFill>
              </w:rPr>
              <w:t>施工期</w:t>
            </w:r>
            <w:bookmarkEnd w:id="33"/>
            <w:bookmarkEnd w:id="34"/>
            <w:bookmarkEnd w:id="35"/>
            <w:bookmarkEnd w:id="36"/>
            <w:bookmarkEnd w:id="37"/>
            <w:bookmarkEnd w:id="38"/>
          </w:p>
        </w:tc>
        <w:tc>
          <w:tcPr>
            <w:tcW w:w="1799" w:type="pct"/>
            <w:gridSpan w:val="2"/>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39" w:name="_Toc79765423"/>
            <w:bookmarkStart w:id="40" w:name="_Toc11076"/>
            <w:bookmarkStart w:id="41" w:name="_Toc17267"/>
            <w:bookmarkStart w:id="42" w:name="_Toc31782"/>
            <w:bookmarkStart w:id="43" w:name="_Toc14284"/>
            <w:bookmarkStart w:id="44" w:name="_Toc167"/>
            <w:r>
              <w:rPr>
                <w:rFonts w:hint="default" w:cs="Times New Roman"/>
                <w:color w:val="000000" w:themeColor="text1"/>
                <w:szCs w:val="20"/>
                <w:highlight w:val="none"/>
                <w14:textFill>
                  <w14:solidFill>
                    <w14:schemeClr w14:val="tx1"/>
                  </w14:solidFill>
                </w14:textFill>
              </w:rPr>
              <w:t>运营期</w:t>
            </w:r>
            <w:bookmarkEnd w:id="39"/>
            <w:bookmarkEnd w:id="40"/>
            <w:bookmarkEnd w:id="41"/>
            <w:bookmarkEnd w:id="42"/>
            <w:bookmarkEnd w:id="43"/>
            <w:bookmarkEnd w:id="4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noWrap w:val="0"/>
            <w:vAlign w:val="top"/>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45" w:name="_Toc13288"/>
            <w:bookmarkStart w:id="46" w:name="_Toc24036"/>
            <w:bookmarkStart w:id="47" w:name="_Toc5750"/>
            <w:bookmarkStart w:id="48" w:name="_Toc32412"/>
            <w:bookmarkStart w:id="49" w:name="_Toc79765424"/>
            <w:bookmarkStart w:id="50" w:name="_Toc11248"/>
            <w:r>
              <w:rPr>
                <w:rFonts w:hint="default" w:cs="Times New Roman"/>
                <w:color w:val="000000" w:themeColor="text1"/>
                <w:szCs w:val="20"/>
                <w:highlight w:val="none"/>
                <w14:textFill>
                  <w14:solidFill>
                    <w14:schemeClr w14:val="tx1"/>
                  </w14:solidFill>
                </w14:textFill>
              </w:rPr>
              <w:t>环境保护措施</w:t>
            </w:r>
            <w:bookmarkEnd w:id="45"/>
            <w:bookmarkEnd w:id="46"/>
            <w:bookmarkEnd w:id="47"/>
            <w:bookmarkEnd w:id="48"/>
            <w:bookmarkEnd w:id="49"/>
            <w:bookmarkEnd w:id="50"/>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51" w:name="_Toc79765425"/>
            <w:bookmarkStart w:id="52" w:name="_Toc21069"/>
            <w:bookmarkStart w:id="53" w:name="_Toc24519"/>
            <w:bookmarkStart w:id="54" w:name="_Toc9471"/>
            <w:bookmarkStart w:id="55" w:name="_Toc12869"/>
            <w:bookmarkStart w:id="56" w:name="_Toc16801"/>
            <w:r>
              <w:rPr>
                <w:rFonts w:hint="default" w:cs="Times New Roman"/>
                <w:color w:val="000000" w:themeColor="text1"/>
                <w:szCs w:val="20"/>
                <w:highlight w:val="none"/>
                <w14:textFill>
                  <w14:solidFill>
                    <w14:schemeClr w14:val="tx1"/>
                  </w14:solidFill>
                </w14:textFill>
              </w:rPr>
              <w:t>验收要求</w:t>
            </w:r>
            <w:bookmarkEnd w:id="51"/>
            <w:bookmarkEnd w:id="52"/>
            <w:bookmarkEnd w:id="53"/>
            <w:bookmarkEnd w:id="54"/>
            <w:bookmarkEnd w:id="55"/>
            <w:bookmarkEnd w:id="56"/>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57" w:name="_Toc16667"/>
            <w:bookmarkStart w:id="58" w:name="_Toc7933"/>
            <w:bookmarkStart w:id="59" w:name="_Toc79765426"/>
            <w:bookmarkStart w:id="60" w:name="_Toc2914"/>
            <w:bookmarkStart w:id="61" w:name="_Toc2664"/>
            <w:bookmarkStart w:id="62" w:name="_Toc12757"/>
            <w:r>
              <w:rPr>
                <w:rFonts w:hint="default" w:cs="Times New Roman"/>
                <w:color w:val="000000" w:themeColor="text1"/>
                <w:szCs w:val="20"/>
                <w:highlight w:val="none"/>
                <w14:textFill>
                  <w14:solidFill>
                    <w14:schemeClr w14:val="tx1"/>
                  </w14:solidFill>
                </w14:textFill>
              </w:rPr>
              <w:t>环境保护措施</w:t>
            </w:r>
            <w:bookmarkEnd w:id="57"/>
            <w:bookmarkEnd w:id="58"/>
            <w:bookmarkEnd w:id="59"/>
            <w:bookmarkEnd w:id="60"/>
            <w:bookmarkEnd w:id="61"/>
            <w:bookmarkEnd w:id="62"/>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bookmarkStart w:id="63" w:name="_Toc14872"/>
            <w:bookmarkStart w:id="64" w:name="_Toc13189"/>
            <w:bookmarkStart w:id="65" w:name="_Toc14061"/>
            <w:bookmarkStart w:id="66" w:name="_Toc17975"/>
            <w:bookmarkStart w:id="67" w:name="_Toc2918"/>
            <w:bookmarkStart w:id="68" w:name="_Toc79765427"/>
            <w:r>
              <w:rPr>
                <w:rFonts w:hint="default" w:cs="Times New Roman"/>
                <w:color w:val="000000" w:themeColor="text1"/>
                <w:szCs w:val="20"/>
                <w:highlight w:val="none"/>
                <w14:textFill>
                  <w14:solidFill>
                    <w14:schemeClr w14:val="tx1"/>
                  </w14:solidFill>
                </w14:textFill>
              </w:rPr>
              <w:t>验收要求</w:t>
            </w:r>
            <w:bookmarkEnd w:id="63"/>
            <w:bookmarkEnd w:id="64"/>
            <w:bookmarkEnd w:id="65"/>
            <w:bookmarkEnd w:id="66"/>
            <w:bookmarkEnd w:id="67"/>
            <w:bookmarkEnd w:id="6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陆生生态</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r>
              <w:rPr>
                <w:rFonts w:hint="default" w:cs="Times New Roman"/>
                <w:color w:val="000000" w:themeColor="text1"/>
                <w:szCs w:val="20"/>
                <w:highlight w:val="none"/>
                <w:lang w:val="en-US" w:eastAsia="zh-CN"/>
                <w14:textFill>
                  <w14:solidFill>
                    <w14:schemeClr w14:val="tx1"/>
                  </w14:solidFill>
                </w14:textFill>
              </w:rPr>
              <w:t>工程施工期，应采取有效措施如洒水、覆盖等措施减少场地施工扬尘、粉尘及水土流失对区域内绿化植被生态影响。</w:t>
            </w:r>
            <w:r>
              <w:rPr>
                <w:rFonts w:hint="eastAsia" w:cs="Times New Roman"/>
                <w:color w:val="000000" w:themeColor="text1"/>
                <w:szCs w:val="20"/>
                <w:highlight w:val="none"/>
                <w:lang w:val="en-US" w:eastAsia="zh-CN"/>
                <w14:textFill>
                  <w14:solidFill>
                    <w14:schemeClr w14:val="tx1"/>
                  </w14:solidFill>
                </w14:textFill>
              </w:rPr>
              <w:t>(2)</w:t>
            </w:r>
            <w:r>
              <w:rPr>
                <w:rFonts w:hint="default" w:cs="Times New Roman"/>
                <w:color w:val="000000" w:themeColor="text1"/>
                <w:szCs w:val="20"/>
                <w:highlight w:val="none"/>
                <w:lang w:val="en-US" w:eastAsia="zh-CN"/>
                <w14:textFill>
                  <w14:solidFill>
                    <w14:schemeClr w14:val="tx1"/>
                  </w14:solidFill>
                </w14:textFill>
              </w:rPr>
              <w:t>禁止砍伐不位于征地范围内的林木，禁止有侵占项目用地外农田。</w:t>
            </w:r>
            <w:r>
              <w:rPr>
                <w:rFonts w:hint="eastAsia" w:cs="Times New Roman"/>
                <w:color w:val="000000" w:themeColor="text1"/>
                <w:szCs w:val="20"/>
                <w:highlight w:val="none"/>
                <w:lang w:val="en-US" w:eastAsia="zh-CN"/>
                <w14:textFill>
                  <w14:solidFill>
                    <w14:schemeClr w14:val="tx1"/>
                  </w14:solidFill>
                </w14:textFill>
              </w:rPr>
              <w:t>(3)</w:t>
            </w:r>
            <w:r>
              <w:rPr>
                <w:rFonts w:hint="default" w:cs="Times New Roman"/>
                <w:color w:val="000000" w:themeColor="text1"/>
                <w:szCs w:val="20"/>
                <w:highlight w:val="none"/>
                <w:lang w:val="en-US" w:eastAsia="zh-CN"/>
                <w14:textFill>
                  <w14:solidFill>
                    <w14:schemeClr w14:val="tx1"/>
                  </w14:solidFill>
                </w14:textFill>
              </w:rPr>
              <w:t>严格落实边坡防护与绿化等生态环境保护措施。</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检查措施落实情况</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施工单位应做好照片证据记录</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水生生态</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地表水环境</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1</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施工人员生活污水依托周边生活污水处理系统，不外排。</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2</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临时施工场地地面进行硬化，碎石料等原料堆放场加盖彩钢防雨棚；</w:t>
            </w:r>
            <w:r>
              <w:rPr>
                <w:rFonts w:hint="eastAsia" w:cs="Times New Roman"/>
                <w:color w:val="000000" w:themeColor="text1"/>
                <w:szCs w:val="20"/>
                <w:highlight w:val="none"/>
                <w:lang w:val="en-US" w:eastAsia="zh-CN"/>
                <w14:textFill>
                  <w14:solidFill>
                    <w14:schemeClr w14:val="tx1"/>
                  </w14:solidFill>
                </w14:textFill>
              </w:rPr>
              <w:t>施工废水经</w:t>
            </w:r>
            <w:r>
              <w:rPr>
                <w:rFonts w:hint="default" w:cs="Times New Roman"/>
                <w:color w:val="000000" w:themeColor="text1"/>
                <w:szCs w:val="20"/>
                <w:highlight w:val="none"/>
                <w:lang w:val="en-US" w:eastAsia="zh-CN"/>
                <w14:textFill>
                  <w14:solidFill>
                    <w14:schemeClr w14:val="tx1"/>
                  </w14:solidFill>
                </w14:textFill>
              </w:rPr>
              <w:t>沉淀池处理后作为用于场地内的洒水抑尘，不外排</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3</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栈桥桥桩基础工程应尽量安排晴天施工；项目在钻孔灌注桩基础施工时需在桩位四周挖设排水沟。</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4</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避免雨季开挖作业；混凝土养护时采用覆盖塑料膜或稻草的方式进行截留。</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5</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施工设备、运输车辆等进场前检查设备车辆是否有漏油等情况，严禁漏油设备、车辆进入。</w:t>
            </w:r>
            <w:r>
              <w:rPr>
                <w:rFonts w:hint="eastAsia" w:cs="Times New Roman"/>
                <w:color w:val="000000" w:themeColor="text1"/>
                <w:szCs w:val="20"/>
                <w:highlight w:val="none"/>
                <w:lang w:val="en-US" w:eastAsia="zh-CN"/>
                <w14:textFill>
                  <w14:solidFill>
                    <w14:schemeClr w14:val="tx1"/>
                  </w14:solidFill>
                </w14:textFill>
              </w:rPr>
              <w:t>(4)</w:t>
            </w:r>
            <w:r>
              <w:rPr>
                <w:rFonts w:hint="eastAsia" w:cs="Times New Roman"/>
                <w:color w:val="000000" w:themeColor="text1"/>
                <w:szCs w:val="20"/>
                <w:highlight w:val="none"/>
                <w14:textFill>
                  <w14:solidFill>
                    <w14:schemeClr w14:val="tx1"/>
                  </w14:solidFill>
                </w14:textFill>
              </w:rPr>
              <w:t>设立标志牌，提醒对饮用水源保护区的环境保护</w:t>
            </w:r>
            <w:r>
              <w:rPr>
                <w:rFonts w:hint="eastAsia" w:cs="Times New Roman"/>
                <w:color w:val="000000" w:themeColor="text1"/>
                <w:szCs w:val="20"/>
                <w:highlight w:val="none"/>
                <w:lang w:eastAsia="zh-CN"/>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检查措施落实情况</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施工单位提供施工过程中环保措施落实情况的证明和照片证据</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设置路面径流应急收集系统(具体内容详见环境风险措施)</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检查措施落实情况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地下水及土壤环境</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声环境</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(1)</w:t>
            </w:r>
            <w:r>
              <w:rPr>
                <w:rFonts w:hint="default" w:cs="Times New Roman"/>
                <w:color w:val="000000" w:themeColor="text1"/>
                <w:szCs w:val="20"/>
                <w:highlight w:val="none"/>
                <w:lang w:val="en-US" w:eastAsia="zh-CN"/>
                <w14:textFill>
                  <w14:solidFill>
                    <w14:schemeClr w14:val="tx1"/>
                  </w14:solidFill>
                </w14:textFill>
              </w:rPr>
              <w:t>选用低噪声的施工机械和工艺，加强各类施工设备的维护和保养。</w:t>
            </w:r>
            <w:r>
              <w:rPr>
                <w:rFonts w:hint="eastAsia" w:cs="Times New Roman"/>
                <w:color w:val="000000" w:themeColor="text1"/>
                <w:szCs w:val="20"/>
                <w:highlight w:val="none"/>
                <w:lang w:val="en-US" w:eastAsia="zh-CN"/>
                <w14:textFill>
                  <w14:solidFill>
                    <w14:schemeClr w14:val="tx1"/>
                  </w14:solidFill>
                </w14:textFill>
              </w:rPr>
              <w:t>(2)</w:t>
            </w:r>
            <w:r>
              <w:rPr>
                <w:rFonts w:hint="default" w:cs="Times New Roman"/>
                <w:color w:val="000000" w:themeColor="text1"/>
                <w:szCs w:val="20"/>
                <w:highlight w:val="none"/>
                <w:lang w:val="en-US" w:eastAsia="zh-CN"/>
                <w14:textFill>
                  <w14:solidFill>
                    <w14:schemeClr w14:val="tx1"/>
                  </w14:solidFill>
                </w14:textFill>
              </w:rPr>
              <w:t>合理安排施工时间，在临近村庄的路段禁止在午间</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12:00-14:30</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和夜间</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22:00～次日06:00</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eastAsia="zh-CN"/>
                <w14:textFill>
                  <w14:solidFill>
                    <w14:schemeClr w14:val="tx1"/>
                  </w14:solidFill>
                </w14:textFill>
              </w:rPr>
              <w:t>进行施工。</w:t>
            </w:r>
            <w:r>
              <w:rPr>
                <w:rFonts w:hint="eastAsia" w:cs="Times New Roman"/>
                <w:color w:val="000000" w:themeColor="text1"/>
                <w:szCs w:val="20"/>
                <w:highlight w:val="none"/>
                <w:lang w:val="en-US" w:eastAsia="zh-CN"/>
                <w14:textFill>
                  <w14:solidFill>
                    <w14:schemeClr w14:val="tx1"/>
                  </w14:solidFill>
                </w14:textFill>
              </w:rPr>
              <w:t>(3)</w:t>
            </w:r>
            <w:r>
              <w:rPr>
                <w:rFonts w:hint="default" w:cs="Times New Roman"/>
                <w:color w:val="000000" w:themeColor="text1"/>
                <w:szCs w:val="20"/>
                <w:highlight w:val="none"/>
                <w:lang w:val="en-US" w:eastAsia="zh-CN"/>
                <w14:textFill>
                  <w14:solidFill>
                    <w14:schemeClr w14:val="tx1"/>
                  </w14:solidFill>
                </w14:textFill>
              </w:rPr>
              <w:t>在居民集中区等环境敏感点200m 内施工时，应设置临时隔声围护。</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施工噪声执行《建筑施工场界环境噪声排放标准》(GB12523-2011)</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1</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加强交通管理，结合公路实际情况设置合理的减速带或限速措施，严格执行限速与禁鸣。</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2</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加强公路车辆管理；加强路面的维修保养。</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执行《声环境质量标准》</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GB3096-2008</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中2类区标准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振动</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大气环境</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eastAsia="宋体"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14:textFill>
                  <w14:solidFill>
                    <w14:schemeClr w14:val="tx1"/>
                  </w14:solidFill>
                </w14:textFill>
              </w:rPr>
              <w:t>1</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14:textFill>
                  <w14:solidFill>
                    <w14:schemeClr w14:val="tx1"/>
                  </w14:solidFill>
                </w14:textFill>
              </w:rPr>
              <w:t>临时施工场地实行围挡封闭施工，围挡高度不低于1.8m，且安装围挡喷淋雾化系统进行降尘；敏感点施工采用临时围挡。</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14:textFill>
                  <w14:solidFill>
                    <w14:schemeClr w14:val="tx1"/>
                  </w14:solidFill>
                </w14:textFill>
              </w:rPr>
              <w:t>2</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14:textFill>
                  <w14:solidFill>
                    <w14:schemeClr w14:val="tx1"/>
                  </w14:solidFill>
                </w14:textFill>
              </w:rPr>
              <w:t>粉状材料采取罐装运输，渣土采取密闭运输；临时施工场地地面硬化；筑路材料堆放场加盖彩钢防雨棚，在顶棚设置喷淋洒水装置。</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14:textFill>
                  <w14:solidFill>
                    <w14:schemeClr w14:val="tx1"/>
                  </w14:solidFill>
                </w14:textFill>
              </w:rPr>
              <w:t>3</w:t>
            </w:r>
            <w:r>
              <w:rPr>
                <w:rFonts w:hint="eastAsia" w:cs="Times New Roman"/>
                <w:color w:val="000000" w:themeColor="text1"/>
                <w:szCs w:val="20"/>
                <w:highlight w:val="none"/>
                <w:lang w:val="en-US" w:eastAsia="zh-CN"/>
                <w14:textFill>
                  <w14:solidFill>
                    <w14:schemeClr w14:val="tx1"/>
                  </w14:solidFill>
                </w14:textFill>
              </w:rPr>
              <w:t>)</w:t>
            </w:r>
            <w:r>
              <w:rPr>
                <w:rFonts w:hint="default" w:cs="Times New Roman"/>
                <w:color w:val="000000" w:themeColor="text1"/>
                <w:szCs w:val="20"/>
                <w:highlight w:val="none"/>
                <w:lang w:val="en-US"/>
                <w14:textFill>
                  <w14:solidFill>
                    <w14:schemeClr w14:val="tx1"/>
                  </w14:solidFill>
                </w14:textFill>
              </w:rPr>
              <w:t>定期对运输道路采取洒水措施；在临时施工区出入口设置轮胎清洗池；</w:t>
            </w:r>
            <w:r>
              <w:rPr>
                <w:rFonts w:hint="eastAsia" w:cs="Times New Roman"/>
                <w:color w:val="000000" w:themeColor="text1"/>
                <w:szCs w:val="20"/>
                <w:highlight w:val="none"/>
                <w:lang w:val="en-US" w:eastAsia="zh-CN"/>
                <w14:textFill>
                  <w14:solidFill>
                    <w14:schemeClr w14:val="tx1"/>
                  </w14:solidFill>
                </w14:textFill>
              </w:rPr>
              <w:t>(4)</w:t>
            </w:r>
            <w:r>
              <w:rPr>
                <w:rFonts w:hint="default" w:cs="Times New Roman"/>
                <w:color w:val="000000" w:themeColor="text1"/>
                <w:szCs w:val="20"/>
                <w:highlight w:val="none"/>
                <w:lang w:val="en-US"/>
                <w14:textFill>
                  <w14:solidFill>
                    <w14:schemeClr w14:val="tx1"/>
                  </w14:solidFill>
                </w14:textFill>
              </w:rPr>
              <w:t>5 级以上的大风天停止土方施工；在施工场地清理阶段，做到先洒水，后清扫，防止扬尘产生</w:t>
            </w:r>
            <w:r>
              <w:rPr>
                <w:rFonts w:hint="eastAsia" w:cs="Times New Roman"/>
                <w:color w:val="000000" w:themeColor="text1"/>
                <w:szCs w:val="20"/>
                <w:highlight w:val="none"/>
                <w:lang w:val="en-US" w:eastAsia="zh-CN"/>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施工扬尘排放执行《大气污染物综合排放标准》(GB16297-1996)中无组织排放监控浓度限值。</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实施上路车辆的达标管理制度。</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执行</w:t>
            </w:r>
            <w:r>
              <w:rPr>
                <w:rFonts w:hint="eastAsia" w:cs="Times New Roman"/>
                <w:color w:val="000000" w:themeColor="text1"/>
                <w:szCs w:val="20"/>
                <w:highlight w:val="none"/>
                <w14:textFill>
                  <w14:solidFill>
                    <w14:schemeClr w14:val="tx1"/>
                  </w14:solidFill>
                </w14:textFill>
              </w:rPr>
              <w:t>GB3095-2012《环境空气质量标准》二级标准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固体废物</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1</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施工人员生活垃圾部分依托当地的生活垃圾处理。</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2</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施工垃圾及其他废弃物等，可用的应尽量回收综合利用，不能利用的应送至当地市政建筑垃圾指定的处置地点。</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3</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施工应严格按规范执行，将施工开挖出的渣土及时运至指定的地点，不在路边堆放。</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落实情况</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①环卫部门负责路面清洁；</w:t>
            </w:r>
          </w:p>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②加强司乘人员和行人宣传教育工作。</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检查措施落实情况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电磁环境</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环境风险</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1</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14:textFill>
                  <w14:solidFill>
                    <w14:schemeClr w14:val="tx1"/>
                  </w14:solidFill>
                </w14:textFill>
              </w:rPr>
              <w:t>配套“减速行驶、安全驾驶”的警示标志或醒目的多条警示标线的设施</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(2)将本项目全程路段列入危化品运输车辆禁行区；(3)全程</w:t>
            </w:r>
            <w:r>
              <w:rPr>
                <w:rFonts w:hint="eastAsia" w:cs="Times New Roman"/>
                <w:color w:val="000000" w:themeColor="text1"/>
                <w:szCs w:val="20"/>
                <w:highlight w:val="none"/>
                <w14:textFill>
                  <w14:solidFill>
                    <w14:schemeClr w14:val="tx1"/>
                  </w14:solidFill>
                </w14:textFill>
              </w:rPr>
              <w:t>路段防撞护拦进行强化、加固设计</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4</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2个容积各5m</w:t>
            </w:r>
            <w:r>
              <w:rPr>
                <w:rFonts w:hint="eastAsia" w:cs="Times New Roman"/>
                <w:color w:val="000000" w:themeColor="text1"/>
                <w:szCs w:val="20"/>
                <w:highlight w:val="none"/>
                <w:vertAlign w:val="superscript"/>
                <w:lang w:val="en-US" w:eastAsia="zh-CN"/>
                <w14:textFill>
                  <w14:solidFill>
                    <w14:schemeClr w14:val="tx1"/>
                  </w14:solidFill>
                </w14:textFill>
              </w:rPr>
              <w:t>3</w:t>
            </w:r>
            <w:r>
              <w:rPr>
                <w:rFonts w:hint="eastAsia" w:cs="Times New Roman"/>
                <w:color w:val="000000" w:themeColor="text1"/>
                <w:szCs w:val="20"/>
                <w:highlight w:val="none"/>
                <w:lang w:val="en-US" w:eastAsia="zh-CN"/>
                <w14:textFill>
                  <w14:solidFill>
                    <w14:schemeClr w14:val="tx1"/>
                  </w14:solidFill>
                </w14:textFill>
              </w:rPr>
              <w:t>的应急池，位于起点两侧；</w:t>
            </w:r>
            <w:r>
              <w:rPr>
                <w:rFonts w:hint="eastAsia" w:cs="Times New Roman"/>
                <w:color w:val="000000" w:themeColor="text1"/>
                <w:szCs w:val="20"/>
                <w:highlight w:val="none"/>
                <w:lang w:eastAsia="zh-CN"/>
                <w14:textFill>
                  <w14:solidFill>
                    <w14:schemeClr w14:val="tx1"/>
                  </w14:solidFill>
                </w14:textFill>
              </w:rPr>
              <w:t>(</w:t>
            </w:r>
            <w:r>
              <w:rPr>
                <w:rFonts w:hint="eastAsia" w:cs="Times New Roman"/>
                <w:color w:val="000000" w:themeColor="text1"/>
                <w:szCs w:val="20"/>
                <w:highlight w:val="none"/>
                <w:lang w:val="en-US" w:eastAsia="zh-CN"/>
                <w14:textFill>
                  <w14:solidFill>
                    <w14:schemeClr w14:val="tx1"/>
                  </w14:solidFill>
                </w14:textFill>
              </w:rPr>
              <w:t>5</w:t>
            </w:r>
            <w:r>
              <w:rPr>
                <w:rFonts w:hint="eastAsia" w:cs="Times New Roman"/>
                <w:color w:val="000000" w:themeColor="text1"/>
                <w:szCs w:val="20"/>
                <w:highlight w:val="none"/>
                <w:lang w:eastAsia="zh-CN"/>
                <w14:textFill>
                  <w14:solidFill>
                    <w14:schemeClr w14:val="tx1"/>
                  </w14:solidFill>
                </w14:textFill>
              </w:rPr>
              <w:t>)建设基于视频监控的环境风险设施远程自动化控制系统，</w:t>
            </w:r>
            <w:r>
              <w:rPr>
                <w:rFonts w:hint="default" w:cs="Times New Roman"/>
                <w:color w:val="000000" w:themeColor="text1"/>
                <w:szCs w:val="20"/>
                <w:highlight w:val="none"/>
                <w:lang w:val="en-US" w:eastAsia="zh-CN"/>
                <w14:textFill>
                  <w14:solidFill>
                    <w14:schemeClr w14:val="tx1"/>
                  </w14:solidFill>
                </w14:textFill>
              </w:rPr>
              <w:t>针对水源地编制专项环境风险应急预案</w:t>
            </w:r>
            <w:r>
              <w:rPr>
                <w:rFonts w:hint="eastAsia" w:cs="Times New Roman"/>
                <w:color w:val="000000" w:themeColor="text1"/>
                <w:szCs w:val="20"/>
                <w:highlight w:val="none"/>
                <w14:textFill>
                  <w14:solidFill>
                    <w14:schemeClr w14:val="tx1"/>
                  </w14:solidFill>
                </w14:textFill>
              </w:rPr>
              <w:t>。</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eastAsia" w:cs="Times New Roman"/>
                <w:color w:val="000000" w:themeColor="text1"/>
                <w:szCs w:val="20"/>
                <w:highlight w:val="none"/>
                <w14:textFill>
                  <w14:solidFill>
                    <w14:schemeClr w14:val="tx1"/>
                  </w14:solidFill>
                </w14:textFill>
              </w:rPr>
              <w:t>检查措施落实情况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环境监测</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按本报告中监测计划开展</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按计划开展</w:t>
            </w:r>
          </w:p>
        </w:tc>
        <w:tc>
          <w:tcPr>
            <w:tcW w:w="1270"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按本报告中监测计划开展</w:t>
            </w:r>
          </w:p>
        </w:tc>
        <w:tc>
          <w:tcPr>
            <w:tcW w:w="528"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lang w:val="en-US" w:eastAsia="zh-CN"/>
                <w14:textFill>
                  <w14:solidFill>
                    <w14:schemeClr w14:val="tx1"/>
                  </w14:solidFill>
                </w14:textFill>
              </w:rPr>
              <w:t>按计划开展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其他</w:t>
            </w:r>
          </w:p>
        </w:tc>
        <w:tc>
          <w:tcPr>
            <w:tcW w:w="2192"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s="Times New Roman"/>
                <w:color w:val="000000" w:themeColor="text1"/>
                <w:szCs w:val="20"/>
                <w:highlight w:val="none"/>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按水土保持方案认真组织实施。</w:t>
            </w:r>
          </w:p>
        </w:tc>
        <w:tc>
          <w:tcPr>
            <w:tcW w:w="597" w:type="pct"/>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default" w:cs="Times New Roman"/>
                <w:color w:val="000000" w:themeColor="text1"/>
                <w:szCs w:val="20"/>
                <w:highlight w:val="none"/>
                <w14:textFill>
                  <w14:solidFill>
                    <w14:schemeClr w14:val="tx1"/>
                  </w14:solidFill>
                </w14:textFill>
              </w:rPr>
              <w:t>符合“水保法”的要求。“三同时”要求并与景观环境相协调。</w:t>
            </w:r>
          </w:p>
        </w:tc>
        <w:tc>
          <w:tcPr>
            <w:tcW w:w="1799" w:type="pct"/>
            <w:gridSpan w:val="2"/>
            <w:noWrap w:val="0"/>
            <w:vAlign w:val="center"/>
          </w:tcPr>
          <w:p>
            <w:pPr>
              <w:pStyle w:val="19"/>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cs="Times New Roman"/>
                <w:color w:val="000000" w:themeColor="text1"/>
                <w:szCs w:val="20"/>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w:t>
            </w:r>
          </w:p>
        </w:tc>
      </w:tr>
    </w:tbl>
    <w:p>
      <w:pPr>
        <w:shd w:val="clea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pPr>
        <w:shd w:val="clear"/>
        <w:spacing w:before="192" w:beforeLines="80" w:beforeAutospacing="0"/>
        <w:jc w:val="center"/>
        <w:outlineLvl w:val="0"/>
        <w:rPr>
          <w:rFonts w:ascii="Times New Roman" w:hAnsi="Times New Roman"/>
          <w:snapToGrid w:val="0"/>
          <w:color w:val="000000" w:themeColor="text1"/>
          <w:sz w:val="30"/>
          <w:szCs w:val="30"/>
          <w:highlight w:val="none"/>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bookmarkStart w:id="69" w:name="_Toc9599_WPSOffice_Level1"/>
      <w:bookmarkStart w:id="70" w:name="_Toc28202"/>
    </w:p>
    <w:p>
      <w:pPr>
        <w:shd w:val="clear"/>
        <w:spacing w:before="192" w:beforeLines="80" w:beforeAutospacing="0"/>
        <w:jc w:val="center"/>
        <w:outlineLvl w:val="0"/>
        <w:rPr>
          <w:rFonts w:ascii="Times New Roman" w:hAnsi="Times New Roman"/>
          <w:snapToGrid w:val="0"/>
          <w:color w:val="000000" w:themeColor="text1"/>
          <w:sz w:val="30"/>
          <w:szCs w:val="30"/>
          <w:highlight w:val="none"/>
          <w14:textFill>
            <w14:solidFill>
              <w14:schemeClr w14:val="tx1"/>
            </w14:solidFill>
          </w14:textFill>
        </w:rPr>
      </w:pPr>
      <w:r>
        <w:rPr>
          <w:rFonts w:ascii="Times New Roman" w:hAnsi="Times New Roman"/>
          <w:snapToGrid w:val="0"/>
          <w:color w:val="000000" w:themeColor="text1"/>
          <w:sz w:val="30"/>
          <w:szCs w:val="30"/>
          <w:highlight w:val="none"/>
          <w14:textFill>
            <w14:solidFill>
              <w14:schemeClr w14:val="tx1"/>
            </w14:solidFill>
          </w14:textFill>
        </w:rPr>
        <w:t>七、结论</w:t>
      </w:r>
      <w:bookmarkEnd w:id="69"/>
      <w:bookmarkEnd w:id="70"/>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top"/>
          </w:tcPr>
          <w:p>
            <w:pPr>
              <w:keepNext w:val="0"/>
              <w:keepLines w:val="0"/>
              <w:suppressLineNumbers w:val="0"/>
              <w:shd w:val="clear"/>
              <w:spacing w:before="0" w:beforeAutospacing="0" w:after="0" w:afterAutospacing="0" w:line="360" w:lineRule="auto"/>
              <w:ind w:left="0" w:right="0" w:firstLine="480"/>
              <w:rPr>
                <w:rFonts w:hint="eastAsia" w:hAnsi="仿宋"/>
                <w:color w:val="000000" w:themeColor="text1"/>
                <w:sz w:val="24"/>
                <w:szCs w:val="24"/>
                <w:highlight w:val="none"/>
                <w:lang w:val="en-US" w:eastAsia="zh-CN"/>
                <w14:textFill>
                  <w14:solidFill>
                    <w14:schemeClr w14:val="tx1"/>
                  </w14:solidFill>
                </w14:textFill>
              </w:rPr>
            </w:pPr>
            <w:r>
              <w:rPr>
                <w:rFonts w:hint="eastAsia" w:hAnsi="仿宋"/>
                <w:color w:val="000000" w:themeColor="text1"/>
                <w:sz w:val="24"/>
                <w:szCs w:val="24"/>
                <w:highlight w:val="none"/>
                <w:lang w:val="en-US" w:eastAsia="zh-CN"/>
                <w14:textFill>
                  <w14:solidFill>
                    <w14:schemeClr w14:val="tx1"/>
                  </w14:solidFill>
                </w14:textFill>
              </w:rPr>
              <w:t>本项目符合相关生态环境保护法律法规政策，符合《中华人民共和国水污染防治法》及《福建省水污染防治条例》中对饮用水源保护区相关要求。项目建设及运营将会对沿线两侧一定范围内的生态环境、声环境、水环境、环境空气、环境风险等产生一定的不利影响，但建设单位在切实落实本报告所提出的各项环保对策、措施，确保各项治理设施正常运转和污染物达标排放的前提下，项目建设对沿线环境的影响可接受。在上述前提下，从环境保护的角度分析，本项目的建设是可行的。</w:t>
            </w:r>
          </w:p>
          <w:p>
            <w:pPr>
              <w:pStyle w:val="3"/>
              <w:keepLines w:val="0"/>
              <w:numPr>
                <w:ilvl w:val="0"/>
                <w:numId w:val="0"/>
              </w:numPr>
              <w:suppressLineNumbers w:val="0"/>
              <w:shd w:val="clear"/>
              <w:spacing w:beforeAutospacing="0" w:afterAutospacing="0"/>
              <w:ind w:leftChars="0" w:right="0"/>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suppressLineNumbers w:val="0"/>
              <w:shd w:val="clear"/>
              <w:kinsoku/>
              <w:overflowPunct/>
              <w:topLinePunct w:val="0"/>
              <w:autoSpaceDE/>
              <w:autoSpaceDN/>
              <w:bidi w:val="0"/>
              <w:adjustRightInd/>
              <w:snapToGrid/>
              <w:spacing w:before="0" w:beforeAutospacing="0" w:after="0" w:afterAutospacing="0" w:line="480" w:lineRule="auto"/>
              <w:ind w:left="0" w:right="0"/>
              <w:jc w:val="right"/>
              <w:textAlignment w:val="auto"/>
              <w:rPr>
                <w:rFonts w:hint="default"/>
                <w:b/>
                <w:bCs/>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福建省闽创环保科技有限公司</w:t>
            </w:r>
          </w:p>
          <w:p>
            <w:pPr>
              <w:pStyle w:val="4"/>
              <w:widowControl/>
              <w:suppressLineNumbers w:val="0"/>
              <w:shd w:val="clear"/>
              <w:wordWrap w:val="0"/>
              <w:adjustRightInd/>
              <w:snapToGrid/>
              <w:spacing w:before="0" w:beforeAutospacing="0" w:after="0" w:afterAutospacing="0" w:line="480" w:lineRule="auto"/>
              <w:ind w:left="0" w:right="0"/>
              <w:jc w:val="right"/>
              <w:rPr>
                <w:rFonts w:hint="default" w:cs="Times New Roman"/>
                <w:color w:val="000000" w:themeColor="text1"/>
                <w:szCs w:val="21"/>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2022年7月</w:t>
            </w:r>
          </w:p>
        </w:tc>
      </w:tr>
    </w:tbl>
    <w:p>
      <w:pPr>
        <w:shd w:val="clear"/>
        <w:rPr>
          <w:rFonts w:hint="default"/>
          <w:color w:val="000000" w:themeColor="text1"/>
          <w:highlight w:val="none"/>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hd w:val="clear"/>
        <w:rPr>
          <w:rFonts w:hint="default"/>
          <w:color w:val="000000" w:themeColor="text1"/>
          <w:highlight w:val="none"/>
          <w:lang w:val="en-US" w:eastAsia="zh-CN"/>
          <w14:textFill>
            <w14:solidFill>
              <w14:schemeClr w14:val="tx1"/>
            </w14:solidFill>
          </w14:textFill>
        </w:rPr>
      </w:pP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宋">
    <w:altName w:val="宋体"/>
    <w:panose1 w:val="00000000000000000000"/>
    <w:charset w:val="00"/>
    <w:family w:val="auto"/>
    <w:pitch w:val="default"/>
    <w:sig w:usb0="00000000" w:usb1="00000000" w:usb2="00000000" w:usb3="00000000" w:csb0="00040001" w:csb1="00000000"/>
  </w:font>
  <w:font w:name="宋体w..">
    <w:altName w:val="宋体"/>
    <w:panose1 w:val="00000000000000000000"/>
    <w:charset w:val="86"/>
    <w:family w:val="roman"/>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tabs>
        <w:tab w:val="center" w:pos="4153"/>
        <w:tab w:val="right" w:pos="8306"/>
      </w:tabs>
    </w:pPr>
    <w:r>
      <w:fldChar w:fldCharType="begin"/>
    </w:r>
    <w:r>
      <w:instrText xml:space="preserve">PAGE  </w:instrText>
    </w:r>
    <w:r>
      <w:fldChar w:fldCharType="end"/>
    </w:r>
  </w:p>
  <w:p>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jc w:val="center"/>
                            <w:rPr>
                              <w:rFonts w:ascii="宋体" w:hAnsi="宋体"/>
                              <w:sz w:val="28"/>
                              <w:szCs w:val="28"/>
                            </w:rPr>
                          </w:pPr>
                          <w:r>
                            <w:rPr>
                              <w:rFonts w:hint="eastAsia" w:ascii="宋体" w:hAnsi="宋体"/>
                              <w:sz w:val="28"/>
                              <w:szCs w:val="28"/>
                            </w:rPr>
                            <w:t>—</w:t>
                          </w:r>
                          <w:r>
                            <w:rPr>
                              <w:rFonts w:hint="eastAsia" w:ascii="宋体" w:hAnsi="宋体"/>
                              <w:sz w:val="20"/>
                              <w:szCs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8</w:t>
                          </w:r>
                          <w:r>
                            <w:rPr>
                              <w:rFonts w:ascii="宋体" w:hAnsi="宋体"/>
                              <w:sz w:val="26"/>
                              <w:szCs w:val="26"/>
                            </w:rPr>
                            <w:fldChar w:fldCharType="end"/>
                          </w:r>
                          <w:r>
                            <w:rPr>
                              <w:rFonts w:hint="eastAsia" w:ascii="宋体" w:hAnsi="宋体"/>
                              <w:sz w:val="20"/>
                              <w:szCs w:val="20"/>
                            </w:rPr>
                            <w:t xml:space="preserve">  </w:t>
                          </w:r>
                          <w:r>
                            <w:rPr>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tabs>
                        <w:tab w:val="center" w:pos="4153"/>
                        <w:tab w:val="right" w:pos="8306"/>
                      </w:tabs>
                      <w:jc w:val="center"/>
                      <w:rPr>
                        <w:rFonts w:ascii="宋体" w:hAnsi="宋体"/>
                        <w:sz w:val="28"/>
                        <w:szCs w:val="28"/>
                      </w:rPr>
                    </w:pPr>
                    <w:r>
                      <w:rPr>
                        <w:rFonts w:hint="eastAsia" w:ascii="宋体" w:hAnsi="宋体"/>
                        <w:sz w:val="28"/>
                        <w:szCs w:val="28"/>
                      </w:rPr>
                      <w:t>—</w:t>
                    </w:r>
                    <w:r>
                      <w:rPr>
                        <w:rFonts w:hint="eastAsia" w:ascii="宋体" w:hAnsi="宋体"/>
                        <w:sz w:val="20"/>
                        <w:szCs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8</w:t>
                    </w:r>
                    <w:r>
                      <w:rPr>
                        <w:rFonts w:ascii="宋体" w:hAnsi="宋体"/>
                        <w:sz w:val="26"/>
                        <w:szCs w:val="26"/>
                      </w:rPr>
                      <w:fldChar w:fldCharType="end"/>
                    </w:r>
                    <w:r>
                      <w:rPr>
                        <w:rFonts w:hint="eastAsia" w:ascii="宋体" w:hAnsi="宋体"/>
                        <w:sz w:val="20"/>
                        <w:szCs w:val="20"/>
                      </w:rPr>
                      <w:t xml:space="preserve">  </w:t>
                    </w:r>
                    <w:r>
                      <w:rPr>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szCs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8</w:t>
                          </w:r>
                          <w:r>
                            <w:rPr>
                              <w:rFonts w:ascii="宋体" w:hAnsi="宋体"/>
                              <w:sz w:val="26"/>
                              <w:szCs w:val="26"/>
                            </w:rPr>
                            <w:fldChar w:fldCharType="end"/>
                          </w:r>
                          <w:r>
                            <w:rPr>
                              <w:rFonts w:hint="eastAsia" w:ascii="宋体" w:hAnsi="宋体"/>
                              <w:sz w:val="20"/>
                              <w:szCs w:val="20"/>
                            </w:rPr>
                            <w:t xml:space="preserve">  </w:t>
                          </w:r>
                          <w:r>
                            <w:rPr>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szCs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8</w:t>
                    </w:r>
                    <w:r>
                      <w:rPr>
                        <w:rFonts w:ascii="宋体" w:hAnsi="宋体"/>
                        <w:sz w:val="26"/>
                        <w:szCs w:val="26"/>
                      </w:rPr>
                      <w:fldChar w:fldCharType="end"/>
                    </w:r>
                    <w:r>
                      <w:rPr>
                        <w:rFonts w:hint="eastAsia" w:ascii="宋体" w:hAnsi="宋体"/>
                        <w:sz w:val="20"/>
                        <w:szCs w:val="20"/>
                      </w:rPr>
                      <w:t xml:space="preserve">  </w:t>
                    </w:r>
                    <w:r>
                      <w:rPr>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4B16E"/>
    <w:multiLevelType w:val="multilevel"/>
    <w:tmpl w:val="8104B16E"/>
    <w:lvl w:ilvl="0" w:tentative="0">
      <w:start w:val="1"/>
      <w:numFmt w:val="decimal"/>
      <w:pStyle w:val="3"/>
      <w:suff w:val="nothing"/>
      <w:lvlText w:val="%1、"/>
      <w:lvlJc w:val="left"/>
      <w:pPr>
        <w:tabs>
          <w:tab w:val="left" w:pos="0"/>
        </w:tabs>
        <w:ind w:left="432" w:hanging="432"/>
      </w:pPr>
      <w:rPr>
        <w:rFonts w:hint="default" w:ascii="宋体" w:hAnsi="宋体" w:eastAsia="宋体" w:cs="宋体"/>
        <w:b w:val="0"/>
        <w:bCs w:val="0"/>
        <w:sz w:val="30"/>
        <w:szCs w:val="32"/>
      </w:rPr>
    </w:lvl>
    <w:lvl w:ilvl="1" w:tentative="0">
      <w:start w:val="1"/>
      <w:numFmt w:val="decimal"/>
      <w:isLgl/>
      <w:suff w:val="space"/>
      <w:lvlText w:val="%2"/>
      <w:lvlJc w:val="left"/>
      <w:pPr>
        <w:tabs>
          <w:tab w:val="left" w:pos="420"/>
        </w:tabs>
        <w:ind w:left="1050" w:firstLine="0"/>
      </w:pPr>
      <w:rPr>
        <w:rFonts w:hint="default" w:ascii="宋体" w:hAnsi="宋体" w:eastAsia="宋体" w:cs="宋体"/>
        <w:b/>
        <w:bCs/>
        <w:sz w:val="28"/>
        <w:szCs w:val="30"/>
      </w:rPr>
    </w:lvl>
    <w:lvl w:ilvl="2" w:tentative="0">
      <w:start w:val="1"/>
      <w:numFmt w:val="decimal"/>
      <w:isLgl/>
      <w:suff w:val="space"/>
      <w:lvlText w:val="%2.%3"/>
      <w:lvlJc w:val="left"/>
      <w:pPr>
        <w:tabs>
          <w:tab w:val="left" w:pos="0"/>
        </w:tabs>
        <w:ind w:left="1560" w:hanging="720"/>
      </w:pPr>
      <w:rPr>
        <w:rFonts w:hint="default" w:ascii="宋体" w:hAnsi="宋体" w:eastAsia="宋体" w:cs="宋体"/>
        <w:b/>
        <w:bCs w:val="0"/>
        <w:i w:val="0"/>
        <w:sz w:val="28"/>
        <w:szCs w:val="28"/>
      </w:rPr>
    </w:lvl>
    <w:lvl w:ilvl="3" w:tentative="0">
      <w:start w:val="1"/>
      <w:numFmt w:val="decimal"/>
      <w:isLgl/>
      <w:suff w:val="space"/>
      <w:lvlText w:val="%2.%3.%4"/>
      <w:lvlJc w:val="left"/>
      <w:pPr>
        <w:tabs>
          <w:tab w:val="left" w:pos="0"/>
        </w:tabs>
        <w:ind w:left="3174" w:hanging="864"/>
      </w:pPr>
      <w:rPr>
        <w:rFonts w:hint="default" w:ascii="宋体" w:hAnsi="宋体" w:eastAsia="宋体" w:cs="宋体"/>
        <w:sz w:val="24"/>
        <w:szCs w:val="24"/>
      </w:rPr>
    </w:lvl>
    <w:lvl w:ilvl="4" w:tentative="0">
      <w:start w:val="1"/>
      <w:numFmt w:val="decimal"/>
      <w:isLgl/>
      <w:suff w:val="nothing"/>
      <w:lvlText w:val="   （%5）"/>
      <w:lvlJc w:val="left"/>
      <w:pPr>
        <w:tabs>
          <w:tab w:val="left" w:pos="420"/>
        </w:tabs>
        <w:ind w:left="0" w:firstLine="0"/>
      </w:pPr>
      <w:rPr>
        <w:rFonts w:hint="default"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left"/>
      <w:pPr>
        <w:tabs>
          <w:tab w:val="left" w:pos="420"/>
        </w:tabs>
        <w:ind w:left="1296" w:hanging="1296"/>
      </w:pPr>
      <w:rPr>
        <w:rFonts w:hint="default" w:ascii="宋体" w:hAnsi="宋体" w:eastAsia="宋体" w:cs="宋体"/>
      </w:rPr>
    </w:lvl>
    <w:lvl w:ilvl="7" w:tentative="0">
      <w:start w:val="1"/>
      <w:numFmt w:val="decimal"/>
      <w:lvlRestart w:val="0"/>
      <w:pStyle w:val="18"/>
      <w:suff w:val="space"/>
      <w:lvlText w:val="表%8"/>
      <w:lvlJc w:val="left"/>
      <w:pPr>
        <w:tabs>
          <w:tab w:val="left" w:pos="420"/>
        </w:tabs>
        <w:ind w:left="1440" w:hanging="1440"/>
      </w:pPr>
      <w:rPr>
        <w:rFonts w:hint="default" w:ascii="Times New Roman" w:hAnsi="Times New Roman" w:eastAsia="宋体" w:cs="Times New Roman"/>
        <w:sz w:val="24"/>
        <w:szCs w:val="24"/>
        <w:vertAlign w:val="baseline"/>
      </w:rPr>
    </w:lvl>
    <w:lvl w:ilvl="8" w:tentative="0">
      <w:start w:val="1"/>
      <w:numFmt w:val="decimal"/>
      <w:lvlRestart w:val="0"/>
      <w:isLgl/>
      <w:suff w:val="space"/>
      <w:lvlText w:val="图%9"/>
      <w:lvlJc w:val="left"/>
      <w:pPr>
        <w:tabs>
          <w:tab w:val="left" w:pos="0"/>
        </w:tabs>
        <w:ind w:left="1583" w:hanging="1583"/>
      </w:pPr>
      <w:rPr>
        <w:rFonts w:hint="eastAsia" w:ascii="Times New Roman" w:hAnsi="Times New Roman" w:eastAsia="宋体" w:cs="Arial"/>
        <w:sz w:val="24"/>
        <w:szCs w:val="24"/>
      </w:rPr>
    </w:lvl>
  </w:abstractNum>
  <w:abstractNum w:abstractNumId="1">
    <w:nsid w:val="A6E44AB7"/>
    <w:multiLevelType w:val="singleLevel"/>
    <w:tmpl w:val="A6E44AB7"/>
    <w:lvl w:ilvl="0" w:tentative="0">
      <w:start w:val="1"/>
      <w:numFmt w:val="decimal"/>
      <w:suff w:val="space"/>
      <w:lvlText w:val="%1."/>
      <w:lvlJc w:val="left"/>
    </w:lvl>
  </w:abstractNum>
  <w:abstractNum w:abstractNumId="2">
    <w:nsid w:val="ACD13950"/>
    <w:multiLevelType w:val="multilevel"/>
    <w:tmpl w:val="ACD13950"/>
    <w:lvl w:ilvl="0" w:tentative="0">
      <w:start w:val="1"/>
      <w:numFmt w:val="chineseCounting"/>
      <w:suff w:val="nothing"/>
      <w:lvlText w:val="%1、"/>
      <w:lvlJc w:val="left"/>
      <w:pPr>
        <w:tabs>
          <w:tab w:val="left" w:pos="420"/>
        </w:tabs>
        <w:ind w:left="432" w:hanging="432"/>
      </w:pPr>
      <w:rPr>
        <w:rFonts w:hint="eastAsia" w:ascii="Times New Roman" w:hAnsi="Times New Roman" w:eastAsia="黑体" w:cs="宋体"/>
        <w:b w:val="0"/>
        <w:bCs w:val="0"/>
        <w:sz w:val="30"/>
        <w:szCs w:val="32"/>
      </w:rPr>
    </w:lvl>
    <w:lvl w:ilvl="1" w:tentative="0">
      <w:start w:val="1"/>
      <w:numFmt w:val="decimal"/>
      <w:isLgl/>
      <w:suff w:val="space"/>
      <w:lvlText w:val="%2"/>
      <w:lvlJc w:val="left"/>
      <w:pPr>
        <w:tabs>
          <w:tab w:val="left" w:pos="420"/>
        </w:tabs>
        <w:ind w:left="0" w:firstLine="0"/>
      </w:pPr>
      <w:rPr>
        <w:rFonts w:hint="eastAsia" w:ascii="Times New Roman" w:hAnsi="Times New Roman" w:eastAsia="宋体" w:cs="宋体"/>
        <w:b/>
        <w:bCs/>
        <w:sz w:val="28"/>
        <w:szCs w:val="30"/>
      </w:rPr>
    </w:lvl>
    <w:lvl w:ilvl="2" w:tentative="0">
      <w:start w:val="1"/>
      <w:numFmt w:val="decimal"/>
      <w:isLgl/>
      <w:suff w:val="space"/>
      <w:lvlText w:val="%2.%3"/>
      <w:lvlJc w:val="left"/>
      <w:pPr>
        <w:tabs>
          <w:tab w:val="left" w:pos="0"/>
        </w:tabs>
        <w:ind w:left="720" w:hanging="720"/>
      </w:pPr>
      <w:rPr>
        <w:rFonts w:hint="eastAsia" w:ascii="Times New Roman" w:hAnsi="Times New Roman" w:eastAsia="宋体" w:cs="宋体"/>
        <w:b/>
        <w:bCs w:val="0"/>
        <w:i w:val="0"/>
        <w:sz w:val="24"/>
        <w:szCs w:val="24"/>
      </w:rPr>
    </w:lvl>
    <w:lvl w:ilvl="3" w:tentative="0">
      <w:start w:val="1"/>
      <w:numFmt w:val="decimal"/>
      <w:isLgl/>
      <w:suff w:val="space"/>
      <w:lvlText w:val="%2.%3.%4"/>
      <w:lvlJc w:val="left"/>
      <w:pPr>
        <w:tabs>
          <w:tab w:val="left" w:pos="0"/>
        </w:tabs>
        <w:ind w:left="3174" w:hanging="864"/>
      </w:pPr>
      <w:rPr>
        <w:rFonts w:hint="eastAsia" w:ascii="Times New Roman" w:hAnsi="Times New Roman" w:eastAsia="宋体" w:cs="宋体"/>
        <w:sz w:val="24"/>
        <w:szCs w:val="24"/>
      </w:rPr>
    </w:lvl>
    <w:lvl w:ilvl="4" w:tentative="0">
      <w:start w:val="1"/>
      <w:numFmt w:val="decimal"/>
      <w:isLgl/>
      <w:suff w:val="nothing"/>
      <w:lvlText w:val="   （%5）"/>
      <w:lvlJc w:val="left"/>
      <w:pPr>
        <w:tabs>
          <w:tab w:val="left" w:pos="420"/>
        </w:tabs>
        <w:ind w:left="0" w:firstLine="0"/>
      </w:pPr>
      <w:rPr>
        <w:rFonts w:hint="eastAsia" w:ascii="Times New Roman" w:hAnsi="Times New Roman"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left"/>
      <w:pPr>
        <w:tabs>
          <w:tab w:val="left" w:pos="420"/>
        </w:tabs>
        <w:ind w:left="1296" w:hanging="1296"/>
      </w:pPr>
      <w:rPr>
        <w:rFonts w:hint="eastAsia" w:ascii="Times New Roman" w:hAnsi="Times New Roman" w:eastAsia="宋体" w:cs="宋体"/>
      </w:rPr>
    </w:lvl>
    <w:lvl w:ilvl="7" w:tentative="0">
      <w:start w:val="1"/>
      <w:numFmt w:val="decimal"/>
      <w:lvlRestart w:val="0"/>
      <w:isLgl/>
      <w:suff w:val="space"/>
      <w:lvlText w:val="表%8"/>
      <w:lvlJc w:val="left"/>
      <w:pPr>
        <w:tabs>
          <w:tab w:val="left" w:pos="0"/>
        </w:tabs>
        <w:ind w:left="1440" w:hanging="1440"/>
      </w:pPr>
      <w:rPr>
        <w:rFonts w:hint="eastAsia" w:ascii="Times New Roman" w:hAnsi="Times New Roman" w:eastAsia="宋体" w:cs="宋体"/>
      </w:rPr>
    </w:lvl>
    <w:lvl w:ilvl="8" w:tentative="0">
      <w:start w:val="1"/>
      <w:numFmt w:val="decimal"/>
      <w:lvlRestart w:val="0"/>
      <w:pStyle w:val="22"/>
      <w:isLgl/>
      <w:suff w:val="space"/>
      <w:lvlText w:val="图%9"/>
      <w:lvlJc w:val="left"/>
      <w:pPr>
        <w:tabs>
          <w:tab w:val="left" w:pos="0"/>
        </w:tabs>
        <w:ind w:left="1583" w:hanging="1583"/>
      </w:pPr>
      <w:rPr>
        <w:rFonts w:hint="default" w:ascii="Times New Roman" w:hAnsi="Times New Roman" w:eastAsia="宋体" w:cs="Times New Roman"/>
        <w:sz w:val="24"/>
        <w:szCs w:val="24"/>
      </w:rPr>
    </w:lvl>
  </w:abstractNum>
  <w:abstractNum w:abstractNumId="3">
    <w:nsid w:val="C6A26ECA"/>
    <w:multiLevelType w:val="singleLevel"/>
    <w:tmpl w:val="C6A26ECA"/>
    <w:lvl w:ilvl="0" w:tentative="0">
      <w:start w:val="1"/>
      <w:numFmt w:val="decimal"/>
      <w:lvlText w:val="%1."/>
      <w:lvlJc w:val="left"/>
      <w:pPr>
        <w:tabs>
          <w:tab w:val="left" w:pos="312"/>
        </w:tabs>
      </w:pPr>
    </w:lvl>
  </w:abstractNum>
  <w:abstractNum w:abstractNumId="4">
    <w:nsid w:val="0995B4DB"/>
    <w:multiLevelType w:val="singleLevel"/>
    <w:tmpl w:val="0995B4DB"/>
    <w:lvl w:ilvl="0" w:tentative="0">
      <w:start w:val="1"/>
      <w:numFmt w:val="decimal"/>
      <w:lvlText w:val="%1."/>
      <w:lvlJc w:val="left"/>
      <w:pPr>
        <w:tabs>
          <w:tab w:val="left" w:pos="312"/>
        </w:tabs>
      </w:pPr>
    </w:lvl>
  </w:abstractNum>
  <w:abstractNum w:abstractNumId="5">
    <w:nsid w:val="0B57FCF1"/>
    <w:multiLevelType w:val="singleLevel"/>
    <w:tmpl w:val="0B57FCF1"/>
    <w:lvl w:ilvl="0" w:tentative="0">
      <w:start w:val="1"/>
      <w:numFmt w:val="decimal"/>
      <w:lvlText w:val="%1."/>
      <w:lvlJc w:val="left"/>
      <w:pPr>
        <w:tabs>
          <w:tab w:val="left" w:pos="312"/>
        </w:tabs>
      </w:pPr>
    </w:lvl>
  </w:abstractNum>
  <w:abstractNum w:abstractNumId="6">
    <w:nsid w:val="0D10382C"/>
    <w:multiLevelType w:val="singleLevel"/>
    <w:tmpl w:val="0D10382C"/>
    <w:lvl w:ilvl="0" w:tentative="0">
      <w:start w:val="1"/>
      <w:numFmt w:val="decimal"/>
      <w:suff w:val="space"/>
      <w:lvlText w:val="%1."/>
      <w:lvlJc w:val="left"/>
      <w:rPr>
        <w:rFonts w:hint="default"/>
        <w:b/>
        <w:bCs/>
        <w:sz w:val="28"/>
        <w:szCs w:val="28"/>
      </w:rPr>
    </w:lvl>
  </w:abstractNum>
  <w:abstractNum w:abstractNumId="7">
    <w:nsid w:val="414967E2"/>
    <w:multiLevelType w:val="multilevel"/>
    <w:tmpl w:val="414967E2"/>
    <w:lvl w:ilvl="0" w:tentative="0">
      <w:start w:val="5"/>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60BCDDA7"/>
    <w:multiLevelType w:val="singleLevel"/>
    <w:tmpl w:val="60BCDDA7"/>
    <w:lvl w:ilvl="0" w:tentative="0">
      <w:start w:val="1"/>
      <w:numFmt w:val="decimal"/>
      <w:lvlText w:val="%1."/>
      <w:lvlJc w:val="left"/>
      <w:pPr>
        <w:tabs>
          <w:tab w:val="left" w:pos="312"/>
        </w:tabs>
      </w:pPr>
    </w:lvl>
  </w:abstractNum>
  <w:abstractNum w:abstractNumId="9">
    <w:nsid w:val="7CD1386B"/>
    <w:multiLevelType w:val="singleLevel"/>
    <w:tmpl w:val="7CD1386B"/>
    <w:lvl w:ilvl="0" w:tentative="0">
      <w:start w:val="4"/>
      <w:numFmt w:val="decimal"/>
      <w:lvlText w:val="%1."/>
      <w:lvlJc w:val="left"/>
      <w:pPr>
        <w:tabs>
          <w:tab w:val="left" w:pos="312"/>
        </w:tabs>
      </w:pPr>
    </w:lvl>
  </w:abstractNum>
  <w:num w:numId="1">
    <w:abstractNumId w:val="0"/>
  </w:num>
  <w:num w:numId="2">
    <w:abstractNumId w:val="2"/>
  </w:num>
  <w:num w:numId="3">
    <w:abstractNumId w:val="1"/>
  </w:num>
  <w:num w:numId="4">
    <w:abstractNumId w:val="9"/>
  </w:num>
  <w:num w:numId="5">
    <w:abstractNumId w:val="6"/>
  </w:num>
  <w:num w:numId="6">
    <w:abstractNumId w:val="8"/>
  </w:num>
  <w:num w:numId="7">
    <w:abstractNumId w:val="7"/>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MDllYTAzYWU3MjFmMzBjMjk5MDBjMThjNTM2MjQifQ=="/>
  </w:docVars>
  <w:rsids>
    <w:rsidRoot w:val="00172A27"/>
    <w:rsid w:val="001A64C4"/>
    <w:rsid w:val="001D5FB4"/>
    <w:rsid w:val="003A0914"/>
    <w:rsid w:val="00A07C07"/>
    <w:rsid w:val="01255120"/>
    <w:rsid w:val="01487061"/>
    <w:rsid w:val="014B71D2"/>
    <w:rsid w:val="01573640"/>
    <w:rsid w:val="017B2F92"/>
    <w:rsid w:val="01B446F6"/>
    <w:rsid w:val="01DF25A3"/>
    <w:rsid w:val="01DF5C17"/>
    <w:rsid w:val="01F82835"/>
    <w:rsid w:val="02355837"/>
    <w:rsid w:val="02557C87"/>
    <w:rsid w:val="0261166C"/>
    <w:rsid w:val="0297204E"/>
    <w:rsid w:val="02CB1CF7"/>
    <w:rsid w:val="02D52B76"/>
    <w:rsid w:val="02DE7C7D"/>
    <w:rsid w:val="0317318F"/>
    <w:rsid w:val="031C131C"/>
    <w:rsid w:val="034010E1"/>
    <w:rsid w:val="034026E5"/>
    <w:rsid w:val="03597303"/>
    <w:rsid w:val="0363183E"/>
    <w:rsid w:val="03631E97"/>
    <w:rsid w:val="0381685A"/>
    <w:rsid w:val="03A32C74"/>
    <w:rsid w:val="03B22EB7"/>
    <w:rsid w:val="03BA7FBF"/>
    <w:rsid w:val="03CF3A69"/>
    <w:rsid w:val="03E5328D"/>
    <w:rsid w:val="042A4AF5"/>
    <w:rsid w:val="042C2C6A"/>
    <w:rsid w:val="043861CB"/>
    <w:rsid w:val="043B10FF"/>
    <w:rsid w:val="04406715"/>
    <w:rsid w:val="047563BF"/>
    <w:rsid w:val="048D195A"/>
    <w:rsid w:val="04912ACD"/>
    <w:rsid w:val="04B2197C"/>
    <w:rsid w:val="04DF4628"/>
    <w:rsid w:val="051161D8"/>
    <w:rsid w:val="05465FAD"/>
    <w:rsid w:val="05502988"/>
    <w:rsid w:val="057D245D"/>
    <w:rsid w:val="058A7C48"/>
    <w:rsid w:val="05940AC6"/>
    <w:rsid w:val="05940D78"/>
    <w:rsid w:val="05A056BD"/>
    <w:rsid w:val="05AA2098"/>
    <w:rsid w:val="05E4043A"/>
    <w:rsid w:val="060914B4"/>
    <w:rsid w:val="06135E8F"/>
    <w:rsid w:val="062260D2"/>
    <w:rsid w:val="062475CD"/>
    <w:rsid w:val="06361B7E"/>
    <w:rsid w:val="067A4160"/>
    <w:rsid w:val="067C0116"/>
    <w:rsid w:val="06AA53E6"/>
    <w:rsid w:val="06B56F46"/>
    <w:rsid w:val="06B86A37"/>
    <w:rsid w:val="06E41840"/>
    <w:rsid w:val="06E64CE0"/>
    <w:rsid w:val="0701218C"/>
    <w:rsid w:val="07157EE9"/>
    <w:rsid w:val="073A38EF"/>
    <w:rsid w:val="076B5857"/>
    <w:rsid w:val="078132CC"/>
    <w:rsid w:val="07A019A5"/>
    <w:rsid w:val="07A5520D"/>
    <w:rsid w:val="07AB0349"/>
    <w:rsid w:val="07B70A9C"/>
    <w:rsid w:val="07C136C9"/>
    <w:rsid w:val="08251EAA"/>
    <w:rsid w:val="08306D49"/>
    <w:rsid w:val="083A2346"/>
    <w:rsid w:val="084C38DA"/>
    <w:rsid w:val="085369E5"/>
    <w:rsid w:val="086814F0"/>
    <w:rsid w:val="088210AA"/>
    <w:rsid w:val="08A02300"/>
    <w:rsid w:val="08D12032"/>
    <w:rsid w:val="09115615"/>
    <w:rsid w:val="09167A44"/>
    <w:rsid w:val="092108C3"/>
    <w:rsid w:val="09237976"/>
    <w:rsid w:val="093C74AB"/>
    <w:rsid w:val="094840A2"/>
    <w:rsid w:val="094B3B92"/>
    <w:rsid w:val="094C3466"/>
    <w:rsid w:val="097A2630"/>
    <w:rsid w:val="097A7FD3"/>
    <w:rsid w:val="098036C1"/>
    <w:rsid w:val="0983157E"/>
    <w:rsid w:val="09857689"/>
    <w:rsid w:val="098D7D07"/>
    <w:rsid w:val="099C619C"/>
    <w:rsid w:val="09AD03A9"/>
    <w:rsid w:val="09BC05EC"/>
    <w:rsid w:val="09EF276F"/>
    <w:rsid w:val="0A061371"/>
    <w:rsid w:val="0A0F696E"/>
    <w:rsid w:val="0A323654"/>
    <w:rsid w:val="0A4505E1"/>
    <w:rsid w:val="0A516CBA"/>
    <w:rsid w:val="0A586566"/>
    <w:rsid w:val="0A621193"/>
    <w:rsid w:val="0A740EEE"/>
    <w:rsid w:val="0A742C74"/>
    <w:rsid w:val="0A7669ED"/>
    <w:rsid w:val="0A984BB5"/>
    <w:rsid w:val="0AA572D2"/>
    <w:rsid w:val="0AAD196A"/>
    <w:rsid w:val="0ADA5307"/>
    <w:rsid w:val="0ADD6A6C"/>
    <w:rsid w:val="0B3C19E4"/>
    <w:rsid w:val="0B410AAF"/>
    <w:rsid w:val="0B552AA6"/>
    <w:rsid w:val="0B853B49"/>
    <w:rsid w:val="0B890AEB"/>
    <w:rsid w:val="0B977645"/>
    <w:rsid w:val="0C0D68E2"/>
    <w:rsid w:val="0C686809"/>
    <w:rsid w:val="0CA35A93"/>
    <w:rsid w:val="0CD8573D"/>
    <w:rsid w:val="0CE642FD"/>
    <w:rsid w:val="0CF167FE"/>
    <w:rsid w:val="0D2C7836"/>
    <w:rsid w:val="0D4E59FF"/>
    <w:rsid w:val="0D896A37"/>
    <w:rsid w:val="0DDC590E"/>
    <w:rsid w:val="0DEB76F2"/>
    <w:rsid w:val="0E0E09E5"/>
    <w:rsid w:val="0E1A1D85"/>
    <w:rsid w:val="0E415563"/>
    <w:rsid w:val="0E6664EE"/>
    <w:rsid w:val="0E6A4ABA"/>
    <w:rsid w:val="0E741495"/>
    <w:rsid w:val="0E87566C"/>
    <w:rsid w:val="0EAE5AAF"/>
    <w:rsid w:val="0ECF398B"/>
    <w:rsid w:val="0ED63EFE"/>
    <w:rsid w:val="0EDD34DE"/>
    <w:rsid w:val="0EE24416"/>
    <w:rsid w:val="0EEC5AAF"/>
    <w:rsid w:val="0EFF53C5"/>
    <w:rsid w:val="0F0C791F"/>
    <w:rsid w:val="0F113188"/>
    <w:rsid w:val="0F152C78"/>
    <w:rsid w:val="0F1B5DB5"/>
    <w:rsid w:val="0F3550C8"/>
    <w:rsid w:val="0F4E6873"/>
    <w:rsid w:val="0F542BF2"/>
    <w:rsid w:val="0F622A18"/>
    <w:rsid w:val="0F64150A"/>
    <w:rsid w:val="0F871C80"/>
    <w:rsid w:val="0FA638D0"/>
    <w:rsid w:val="0FD06B9F"/>
    <w:rsid w:val="10036F74"/>
    <w:rsid w:val="101E5B5C"/>
    <w:rsid w:val="10242D17"/>
    <w:rsid w:val="10282537"/>
    <w:rsid w:val="10284C2D"/>
    <w:rsid w:val="1031492B"/>
    <w:rsid w:val="104430E9"/>
    <w:rsid w:val="1045758D"/>
    <w:rsid w:val="10501705"/>
    <w:rsid w:val="10596B94"/>
    <w:rsid w:val="105B5F09"/>
    <w:rsid w:val="1077526D"/>
    <w:rsid w:val="107E2A9F"/>
    <w:rsid w:val="10860885"/>
    <w:rsid w:val="1090632E"/>
    <w:rsid w:val="10B22749"/>
    <w:rsid w:val="10F93ED3"/>
    <w:rsid w:val="11082369"/>
    <w:rsid w:val="11141B6B"/>
    <w:rsid w:val="11194576"/>
    <w:rsid w:val="117A14B8"/>
    <w:rsid w:val="11B36486"/>
    <w:rsid w:val="11BE692F"/>
    <w:rsid w:val="11CD0BE3"/>
    <w:rsid w:val="11DD5EC3"/>
    <w:rsid w:val="12720D8D"/>
    <w:rsid w:val="128F2D41"/>
    <w:rsid w:val="129B7938"/>
    <w:rsid w:val="12B75DF4"/>
    <w:rsid w:val="12B94BBB"/>
    <w:rsid w:val="12C94E12"/>
    <w:rsid w:val="12DB4B97"/>
    <w:rsid w:val="13141499"/>
    <w:rsid w:val="1347361C"/>
    <w:rsid w:val="13482EF0"/>
    <w:rsid w:val="13517FF7"/>
    <w:rsid w:val="13561AB1"/>
    <w:rsid w:val="135F0966"/>
    <w:rsid w:val="136E0BA9"/>
    <w:rsid w:val="13BD568C"/>
    <w:rsid w:val="13C46A1B"/>
    <w:rsid w:val="13C7650B"/>
    <w:rsid w:val="13CE1647"/>
    <w:rsid w:val="13E65893"/>
    <w:rsid w:val="140B3F57"/>
    <w:rsid w:val="14140583"/>
    <w:rsid w:val="14193801"/>
    <w:rsid w:val="141B018E"/>
    <w:rsid w:val="1443191E"/>
    <w:rsid w:val="14860174"/>
    <w:rsid w:val="149D101A"/>
    <w:rsid w:val="14BF5434"/>
    <w:rsid w:val="14E135FC"/>
    <w:rsid w:val="14FB7287"/>
    <w:rsid w:val="151C6F74"/>
    <w:rsid w:val="151D2886"/>
    <w:rsid w:val="152139F9"/>
    <w:rsid w:val="15227E9D"/>
    <w:rsid w:val="15453B8B"/>
    <w:rsid w:val="156009C5"/>
    <w:rsid w:val="15657D89"/>
    <w:rsid w:val="159806EF"/>
    <w:rsid w:val="15982C0F"/>
    <w:rsid w:val="15A365E6"/>
    <w:rsid w:val="15C56A7A"/>
    <w:rsid w:val="15DF3AD4"/>
    <w:rsid w:val="160268A7"/>
    <w:rsid w:val="161A27B7"/>
    <w:rsid w:val="166444E5"/>
    <w:rsid w:val="16674698"/>
    <w:rsid w:val="16970417"/>
    <w:rsid w:val="169E258B"/>
    <w:rsid w:val="16BF171B"/>
    <w:rsid w:val="16BF20BF"/>
    <w:rsid w:val="16D023B8"/>
    <w:rsid w:val="16E96798"/>
    <w:rsid w:val="16EF0253"/>
    <w:rsid w:val="17287DA5"/>
    <w:rsid w:val="174F2A9F"/>
    <w:rsid w:val="174F6F43"/>
    <w:rsid w:val="175B1444"/>
    <w:rsid w:val="17795D6E"/>
    <w:rsid w:val="177B5642"/>
    <w:rsid w:val="17AA4179"/>
    <w:rsid w:val="17AC7EF2"/>
    <w:rsid w:val="17C8206D"/>
    <w:rsid w:val="17D905BB"/>
    <w:rsid w:val="18027B12"/>
    <w:rsid w:val="18167A61"/>
    <w:rsid w:val="182C1032"/>
    <w:rsid w:val="183200C2"/>
    <w:rsid w:val="183F48C2"/>
    <w:rsid w:val="185540E5"/>
    <w:rsid w:val="185F4F64"/>
    <w:rsid w:val="18616F2E"/>
    <w:rsid w:val="18634F80"/>
    <w:rsid w:val="186A2DD3"/>
    <w:rsid w:val="187D188E"/>
    <w:rsid w:val="188624F1"/>
    <w:rsid w:val="18910E95"/>
    <w:rsid w:val="189B2715"/>
    <w:rsid w:val="18A468F0"/>
    <w:rsid w:val="18CB25F9"/>
    <w:rsid w:val="18D05E62"/>
    <w:rsid w:val="19436634"/>
    <w:rsid w:val="19616ABA"/>
    <w:rsid w:val="19644D7E"/>
    <w:rsid w:val="196640D0"/>
    <w:rsid w:val="19704F4F"/>
    <w:rsid w:val="197C1B46"/>
    <w:rsid w:val="197E02BB"/>
    <w:rsid w:val="198D5B01"/>
    <w:rsid w:val="199D3F96"/>
    <w:rsid w:val="19A35324"/>
    <w:rsid w:val="19A55F7E"/>
    <w:rsid w:val="19A90B8D"/>
    <w:rsid w:val="19AB6517"/>
    <w:rsid w:val="19D159ED"/>
    <w:rsid w:val="19E742AD"/>
    <w:rsid w:val="1A441232"/>
    <w:rsid w:val="1A7171D0"/>
    <w:rsid w:val="1ACB0B4A"/>
    <w:rsid w:val="1AF818B3"/>
    <w:rsid w:val="1AF97567"/>
    <w:rsid w:val="1B6C00C4"/>
    <w:rsid w:val="1B9269D1"/>
    <w:rsid w:val="1B9657A4"/>
    <w:rsid w:val="1BBC447B"/>
    <w:rsid w:val="1BC872C4"/>
    <w:rsid w:val="1BD23C9F"/>
    <w:rsid w:val="1BE55780"/>
    <w:rsid w:val="1C3D380E"/>
    <w:rsid w:val="1C4758AB"/>
    <w:rsid w:val="1C782A98"/>
    <w:rsid w:val="1C7F5BD5"/>
    <w:rsid w:val="1C8B27CB"/>
    <w:rsid w:val="1CB6536F"/>
    <w:rsid w:val="1CB959AD"/>
    <w:rsid w:val="1CD06430"/>
    <w:rsid w:val="1CDD6D9F"/>
    <w:rsid w:val="1CFA7F66"/>
    <w:rsid w:val="1D293D92"/>
    <w:rsid w:val="1D4B5AB7"/>
    <w:rsid w:val="1D5E2CBE"/>
    <w:rsid w:val="1D752B34"/>
    <w:rsid w:val="1D7C2114"/>
    <w:rsid w:val="1D8B05A9"/>
    <w:rsid w:val="1D8D04FA"/>
    <w:rsid w:val="1D994A74"/>
    <w:rsid w:val="1DB775F0"/>
    <w:rsid w:val="1DC6749B"/>
    <w:rsid w:val="1DDC2BB3"/>
    <w:rsid w:val="1DF223D6"/>
    <w:rsid w:val="1DFD14A7"/>
    <w:rsid w:val="1E3B5B2B"/>
    <w:rsid w:val="1E454BFC"/>
    <w:rsid w:val="1E85149C"/>
    <w:rsid w:val="1E8A260F"/>
    <w:rsid w:val="1E9516DF"/>
    <w:rsid w:val="1E967206"/>
    <w:rsid w:val="1EBF675C"/>
    <w:rsid w:val="1EE61F3B"/>
    <w:rsid w:val="1EF02DBA"/>
    <w:rsid w:val="1F0625DD"/>
    <w:rsid w:val="1F38650F"/>
    <w:rsid w:val="1F422EEA"/>
    <w:rsid w:val="1F46434D"/>
    <w:rsid w:val="1F494278"/>
    <w:rsid w:val="1F63358C"/>
    <w:rsid w:val="1F686DF4"/>
    <w:rsid w:val="1FCD4EA9"/>
    <w:rsid w:val="1FE3647B"/>
    <w:rsid w:val="20080A48"/>
    <w:rsid w:val="200B777F"/>
    <w:rsid w:val="202200A7"/>
    <w:rsid w:val="202B61B9"/>
    <w:rsid w:val="2039253E"/>
    <w:rsid w:val="203E1903"/>
    <w:rsid w:val="20473874"/>
    <w:rsid w:val="206D13A2"/>
    <w:rsid w:val="207E61A3"/>
    <w:rsid w:val="20857532"/>
    <w:rsid w:val="20915ED7"/>
    <w:rsid w:val="20940599"/>
    <w:rsid w:val="20B9542D"/>
    <w:rsid w:val="20C067BC"/>
    <w:rsid w:val="20D71077"/>
    <w:rsid w:val="20ED66BA"/>
    <w:rsid w:val="2110329F"/>
    <w:rsid w:val="21290299"/>
    <w:rsid w:val="212D7486"/>
    <w:rsid w:val="213056EF"/>
    <w:rsid w:val="21366A7E"/>
    <w:rsid w:val="214B077B"/>
    <w:rsid w:val="21701F90"/>
    <w:rsid w:val="21A24C6C"/>
    <w:rsid w:val="21D73DBD"/>
    <w:rsid w:val="21F25740"/>
    <w:rsid w:val="22372AAE"/>
    <w:rsid w:val="224C47AB"/>
    <w:rsid w:val="22635651"/>
    <w:rsid w:val="228E23D5"/>
    <w:rsid w:val="22AA3280"/>
    <w:rsid w:val="22AA7723"/>
    <w:rsid w:val="22B12860"/>
    <w:rsid w:val="22BD3C75"/>
    <w:rsid w:val="22C91EB5"/>
    <w:rsid w:val="22CE51C0"/>
    <w:rsid w:val="22DB168B"/>
    <w:rsid w:val="23046E34"/>
    <w:rsid w:val="2309269C"/>
    <w:rsid w:val="23104F57"/>
    <w:rsid w:val="23356FED"/>
    <w:rsid w:val="233D40F4"/>
    <w:rsid w:val="23452FA8"/>
    <w:rsid w:val="236F0216"/>
    <w:rsid w:val="2377130A"/>
    <w:rsid w:val="238D4531"/>
    <w:rsid w:val="23AC1408"/>
    <w:rsid w:val="23D74548"/>
    <w:rsid w:val="23F70865"/>
    <w:rsid w:val="23F711D3"/>
    <w:rsid w:val="24155071"/>
    <w:rsid w:val="24311EAA"/>
    <w:rsid w:val="24324A80"/>
    <w:rsid w:val="24390D5F"/>
    <w:rsid w:val="24661428"/>
    <w:rsid w:val="247973AD"/>
    <w:rsid w:val="24812F95"/>
    <w:rsid w:val="248144B4"/>
    <w:rsid w:val="24BA3B8A"/>
    <w:rsid w:val="24BB2827"/>
    <w:rsid w:val="24C60544"/>
    <w:rsid w:val="24ED38F7"/>
    <w:rsid w:val="24F56130"/>
    <w:rsid w:val="2513335E"/>
    <w:rsid w:val="255F65A3"/>
    <w:rsid w:val="25641E0C"/>
    <w:rsid w:val="256C7B24"/>
    <w:rsid w:val="25777D91"/>
    <w:rsid w:val="257A518B"/>
    <w:rsid w:val="25802F80"/>
    <w:rsid w:val="25C3047D"/>
    <w:rsid w:val="25DA0320"/>
    <w:rsid w:val="26064C71"/>
    <w:rsid w:val="263712CE"/>
    <w:rsid w:val="263D629E"/>
    <w:rsid w:val="263F4A94"/>
    <w:rsid w:val="264834DB"/>
    <w:rsid w:val="264B1CA3"/>
    <w:rsid w:val="26924756"/>
    <w:rsid w:val="269B2695"/>
    <w:rsid w:val="26A36964"/>
    <w:rsid w:val="26A6092E"/>
    <w:rsid w:val="26B20955"/>
    <w:rsid w:val="26C30DB4"/>
    <w:rsid w:val="26F15FBB"/>
    <w:rsid w:val="274C6FFB"/>
    <w:rsid w:val="27802801"/>
    <w:rsid w:val="278E4EB9"/>
    <w:rsid w:val="27DB3EDB"/>
    <w:rsid w:val="27E2526A"/>
    <w:rsid w:val="27E9484A"/>
    <w:rsid w:val="27F623C2"/>
    <w:rsid w:val="281B41ED"/>
    <w:rsid w:val="28215D92"/>
    <w:rsid w:val="28247630"/>
    <w:rsid w:val="28277120"/>
    <w:rsid w:val="282C3A7C"/>
    <w:rsid w:val="283755B5"/>
    <w:rsid w:val="284F6DA3"/>
    <w:rsid w:val="285E0D94"/>
    <w:rsid w:val="286363AA"/>
    <w:rsid w:val="286546F7"/>
    <w:rsid w:val="28694478"/>
    <w:rsid w:val="287E31E4"/>
    <w:rsid w:val="2888134C"/>
    <w:rsid w:val="2899001E"/>
    <w:rsid w:val="28B05368"/>
    <w:rsid w:val="28F01B7C"/>
    <w:rsid w:val="28F47F86"/>
    <w:rsid w:val="290577C3"/>
    <w:rsid w:val="29086F52"/>
    <w:rsid w:val="292C5F14"/>
    <w:rsid w:val="29323FCF"/>
    <w:rsid w:val="294E4832"/>
    <w:rsid w:val="29532A6E"/>
    <w:rsid w:val="29625044"/>
    <w:rsid w:val="296879F1"/>
    <w:rsid w:val="299F3D38"/>
    <w:rsid w:val="29A0718A"/>
    <w:rsid w:val="29A273A6"/>
    <w:rsid w:val="29A94291"/>
    <w:rsid w:val="29A9603F"/>
    <w:rsid w:val="29AE7AF9"/>
    <w:rsid w:val="29CC61D1"/>
    <w:rsid w:val="29CE5AA6"/>
    <w:rsid w:val="29F3375E"/>
    <w:rsid w:val="2A021BF3"/>
    <w:rsid w:val="2A377AEF"/>
    <w:rsid w:val="2A514382"/>
    <w:rsid w:val="2A581813"/>
    <w:rsid w:val="2A810D6A"/>
    <w:rsid w:val="2A895995"/>
    <w:rsid w:val="2A9F38E6"/>
    <w:rsid w:val="2AAA6513"/>
    <w:rsid w:val="2AAB4039"/>
    <w:rsid w:val="2AD25A69"/>
    <w:rsid w:val="2B125E66"/>
    <w:rsid w:val="2B193698"/>
    <w:rsid w:val="2B2D59DE"/>
    <w:rsid w:val="2B397896"/>
    <w:rsid w:val="2B786611"/>
    <w:rsid w:val="2B7E174D"/>
    <w:rsid w:val="2B8E4CAC"/>
    <w:rsid w:val="2BB331A5"/>
    <w:rsid w:val="2BC41856"/>
    <w:rsid w:val="2BD31A99"/>
    <w:rsid w:val="2C31056E"/>
    <w:rsid w:val="2C3E77A3"/>
    <w:rsid w:val="2C66290D"/>
    <w:rsid w:val="2C732934"/>
    <w:rsid w:val="2CB2345D"/>
    <w:rsid w:val="2CCD473A"/>
    <w:rsid w:val="2CE35D0C"/>
    <w:rsid w:val="2CE74E98"/>
    <w:rsid w:val="2D214A86"/>
    <w:rsid w:val="2D346567"/>
    <w:rsid w:val="2D3703B4"/>
    <w:rsid w:val="2D3A4990"/>
    <w:rsid w:val="2D411F95"/>
    <w:rsid w:val="2D485B6F"/>
    <w:rsid w:val="2D6A3D37"/>
    <w:rsid w:val="2DDC7BA1"/>
    <w:rsid w:val="2E141EF5"/>
    <w:rsid w:val="2E187C37"/>
    <w:rsid w:val="2E707428"/>
    <w:rsid w:val="2E7F6A53"/>
    <w:rsid w:val="2EAB5AE3"/>
    <w:rsid w:val="2EE06B1E"/>
    <w:rsid w:val="2F154177"/>
    <w:rsid w:val="2F171C9D"/>
    <w:rsid w:val="2F2A7C22"/>
    <w:rsid w:val="2F3A3BDD"/>
    <w:rsid w:val="2F3F3F5C"/>
    <w:rsid w:val="2F57478F"/>
    <w:rsid w:val="2F6649D2"/>
    <w:rsid w:val="2F7D2448"/>
    <w:rsid w:val="2F81180C"/>
    <w:rsid w:val="2FAC4ADB"/>
    <w:rsid w:val="2FB971F8"/>
    <w:rsid w:val="2FD45DE0"/>
    <w:rsid w:val="3034687E"/>
    <w:rsid w:val="30702106"/>
    <w:rsid w:val="308570DA"/>
    <w:rsid w:val="309008EA"/>
    <w:rsid w:val="30BA11A5"/>
    <w:rsid w:val="30C9346B"/>
    <w:rsid w:val="31093867"/>
    <w:rsid w:val="31166834"/>
    <w:rsid w:val="312406A1"/>
    <w:rsid w:val="317F1D7B"/>
    <w:rsid w:val="3183186B"/>
    <w:rsid w:val="31941785"/>
    <w:rsid w:val="3196159F"/>
    <w:rsid w:val="31C14142"/>
    <w:rsid w:val="31CC0551"/>
    <w:rsid w:val="31D420C7"/>
    <w:rsid w:val="31F84007"/>
    <w:rsid w:val="31F938DC"/>
    <w:rsid w:val="31FC517A"/>
    <w:rsid w:val="3220355E"/>
    <w:rsid w:val="32235143"/>
    <w:rsid w:val="325671D1"/>
    <w:rsid w:val="32700042"/>
    <w:rsid w:val="32792221"/>
    <w:rsid w:val="32A41A99"/>
    <w:rsid w:val="32C15383"/>
    <w:rsid w:val="332832F7"/>
    <w:rsid w:val="3330332D"/>
    <w:rsid w:val="333A04AC"/>
    <w:rsid w:val="333C43C8"/>
    <w:rsid w:val="334128A2"/>
    <w:rsid w:val="337F47BC"/>
    <w:rsid w:val="339064C2"/>
    <w:rsid w:val="33A1247D"/>
    <w:rsid w:val="33A1422B"/>
    <w:rsid w:val="33A37771"/>
    <w:rsid w:val="33B65F28"/>
    <w:rsid w:val="33CA5530"/>
    <w:rsid w:val="33CD6DCE"/>
    <w:rsid w:val="33D44600"/>
    <w:rsid w:val="340B0AD3"/>
    <w:rsid w:val="342310E4"/>
    <w:rsid w:val="3428494C"/>
    <w:rsid w:val="344245ED"/>
    <w:rsid w:val="346A0AC1"/>
    <w:rsid w:val="3498710C"/>
    <w:rsid w:val="34B47F8E"/>
    <w:rsid w:val="34D128EE"/>
    <w:rsid w:val="34FD7B87"/>
    <w:rsid w:val="35066A3B"/>
    <w:rsid w:val="35125BC0"/>
    <w:rsid w:val="351A78DB"/>
    <w:rsid w:val="353A00AB"/>
    <w:rsid w:val="35B75F88"/>
    <w:rsid w:val="35D408E8"/>
    <w:rsid w:val="35D73F34"/>
    <w:rsid w:val="36082E87"/>
    <w:rsid w:val="362A24EB"/>
    <w:rsid w:val="363B6546"/>
    <w:rsid w:val="36A4475E"/>
    <w:rsid w:val="36A71B58"/>
    <w:rsid w:val="36A77DAA"/>
    <w:rsid w:val="36CA1076"/>
    <w:rsid w:val="370E607B"/>
    <w:rsid w:val="37134D57"/>
    <w:rsid w:val="3740037B"/>
    <w:rsid w:val="3744384B"/>
    <w:rsid w:val="37E166BE"/>
    <w:rsid w:val="37E705A0"/>
    <w:rsid w:val="37ED7A3F"/>
    <w:rsid w:val="380134EA"/>
    <w:rsid w:val="382D2531"/>
    <w:rsid w:val="38587D76"/>
    <w:rsid w:val="385A76C2"/>
    <w:rsid w:val="385E26EA"/>
    <w:rsid w:val="38AE48E4"/>
    <w:rsid w:val="38E56968"/>
    <w:rsid w:val="39096AFA"/>
    <w:rsid w:val="391B05DB"/>
    <w:rsid w:val="392751D2"/>
    <w:rsid w:val="394E275F"/>
    <w:rsid w:val="39831235"/>
    <w:rsid w:val="39B27192"/>
    <w:rsid w:val="39C12F31"/>
    <w:rsid w:val="39E44E71"/>
    <w:rsid w:val="39E60BE9"/>
    <w:rsid w:val="3A1003F9"/>
    <w:rsid w:val="3A2B7D28"/>
    <w:rsid w:val="3A374D3C"/>
    <w:rsid w:val="3A3C4CAD"/>
    <w:rsid w:val="3A443B62"/>
    <w:rsid w:val="3A555D6F"/>
    <w:rsid w:val="3A7D3528"/>
    <w:rsid w:val="3A7E7074"/>
    <w:rsid w:val="3A916DA7"/>
    <w:rsid w:val="3ACD1DA9"/>
    <w:rsid w:val="3ADD52D8"/>
    <w:rsid w:val="3AEC222F"/>
    <w:rsid w:val="3AF64E5C"/>
    <w:rsid w:val="3B051543"/>
    <w:rsid w:val="3B2D45F6"/>
    <w:rsid w:val="3B2F58A2"/>
    <w:rsid w:val="3B800E40"/>
    <w:rsid w:val="3B9A161E"/>
    <w:rsid w:val="3BAC7C11"/>
    <w:rsid w:val="3BBC60A6"/>
    <w:rsid w:val="3BC35686"/>
    <w:rsid w:val="3BEB0739"/>
    <w:rsid w:val="3C0D06AF"/>
    <w:rsid w:val="3C2679C3"/>
    <w:rsid w:val="3C2D0D52"/>
    <w:rsid w:val="3C300842"/>
    <w:rsid w:val="3C410359"/>
    <w:rsid w:val="3C431990"/>
    <w:rsid w:val="3C4E0CC8"/>
    <w:rsid w:val="3C7030C6"/>
    <w:rsid w:val="3C756255"/>
    <w:rsid w:val="3CB60D47"/>
    <w:rsid w:val="3CC52869"/>
    <w:rsid w:val="3CDB5FBC"/>
    <w:rsid w:val="3CEF5477"/>
    <w:rsid w:val="3D136199"/>
    <w:rsid w:val="3D1B1645"/>
    <w:rsid w:val="3D334277"/>
    <w:rsid w:val="3D8913E5"/>
    <w:rsid w:val="3DA45043"/>
    <w:rsid w:val="3DCB00C4"/>
    <w:rsid w:val="3DCC459A"/>
    <w:rsid w:val="3E1C4CA9"/>
    <w:rsid w:val="3E3A7756"/>
    <w:rsid w:val="3E3F2FBE"/>
    <w:rsid w:val="3E5A1BA6"/>
    <w:rsid w:val="3E9055C8"/>
    <w:rsid w:val="3EA51073"/>
    <w:rsid w:val="3ECB6600"/>
    <w:rsid w:val="3EDC5888"/>
    <w:rsid w:val="3EE47A7D"/>
    <w:rsid w:val="3EEA4CD8"/>
    <w:rsid w:val="3F087854"/>
    <w:rsid w:val="3F2F6B8F"/>
    <w:rsid w:val="3F520ACF"/>
    <w:rsid w:val="3F756F69"/>
    <w:rsid w:val="3F991ACD"/>
    <w:rsid w:val="3F9B6258"/>
    <w:rsid w:val="3FA550A3"/>
    <w:rsid w:val="40175FA1"/>
    <w:rsid w:val="40183AC7"/>
    <w:rsid w:val="402204A1"/>
    <w:rsid w:val="402B55A8"/>
    <w:rsid w:val="403501D5"/>
    <w:rsid w:val="40371557"/>
    <w:rsid w:val="40420B44"/>
    <w:rsid w:val="4051065A"/>
    <w:rsid w:val="408D0011"/>
    <w:rsid w:val="40911B29"/>
    <w:rsid w:val="41200E85"/>
    <w:rsid w:val="41624E29"/>
    <w:rsid w:val="4185518C"/>
    <w:rsid w:val="41961147"/>
    <w:rsid w:val="41D91034"/>
    <w:rsid w:val="41F10770"/>
    <w:rsid w:val="41F45E6E"/>
    <w:rsid w:val="42022339"/>
    <w:rsid w:val="42366486"/>
    <w:rsid w:val="423A5F76"/>
    <w:rsid w:val="42812570"/>
    <w:rsid w:val="42BC7FA6"/>
    <w:rsid w:val="42EE5EBE"/>
    <w:rsid w:val="42F02AD9"/>
    <w:rsid w:val="433354C7"/>
    <w:rsid w:val="435C016E"/>
    <w:rsid w:val="4368266F"/>
    <w:rsid w:val="437F0208"/>
    <w:rsid w:val="439611D1"/>
    <w:rsid w:val="43BD0C0D"/>
    <w:rsid w:val="43CC52F4"/>
    <w:rsid w:val="43CE18D9"/>
    <w:rsid w:val="43CF26EE"/>
    <w:rsid w:val="43E611BE"/>
    <w:rsid w:val="43F9776B"/>
    <w:rsid w:val="442F1FE8"/>
    <w:rsid w:val="44427364"/>
    <w:rsid w:val="444D5F8B"/>
    <w:rsid w:val="449B0822"/>
    <w:rsid w:val="44AE56AE"/>
    <w:rsid w:val="44EC0DD2"/>
    <w:rsid w:val="44F22B38"/>
    <w:rsid w:val="452E1696"/>
    <w:rsid w:val="45596713"/>
    <w:rsid w:val="456F4189"/>
    <w:rsid w:val="458A2D71"/>
    <w:rsid w:val="459534C4"/>
    <w:rsid w:val="45A02594"/>
    <w:rsid w:val="45BB5620"/>
    <w:rsid w:val="45D80FE8"/>
    <w:rsid w:val="46162856"/>
    <w:rsid w:val="461E5035"/>
    <w:rsid w:val="462F56C6"/>
    <w:rsid w:val="46582E6F"/>
    <w:rsid w:val="4678706D"/>
    <w:rsid w:val="46D41CDD"/>
    <w:rsid w:val="46D70238"/>
    <w:rsid w:val="46D83FB0"/>
    <w:rsid w:val="47194AE5"/>
    <w:rsid w:val="47372A84"/>
    <w:rsid w:val="473A07C7"/>
    <w:rsid w:val="474358CD"/>
    <w:rsid w:val="475533F3"/>
    <w:rsid w:val="47DE55F6"/>
    <w:rsid w:val="47E250E6"/>
    <w:rsid w:val="47E44E5F"/>
    <w:rsid w:val="47ED5839"/>
    <w:rsid w:val="47F866B8"/>
    <w:rsid w:val="480768FB"/>
    <w:rsid w:val="4828061F"/>
    <w:rsid w:val="48394E8F"/>
    <w:rsid w:val="48693111"/>
    <w:rsid w:val="486A0C38"/>
    <w:rsid w:val="486F1188"/>
    <w:rsid w:val="48A00AFD"/>
    <w:rsid w:val="48CB5B7A"/>
    <w:rsid w:val="48CC544E"/>
    <w:rsid w:val="48DE0379"/>
    <w:rsid w:val="49042E3A"/>
    <w:rsid w:val="49100E84"/>
    <w:rsid w:val="493C6A78"/>
    <w:rsid w:val="49667651"/>
    <w:rsid w:val="49793828"/>
    <w:rsid w:val="4989333F"/>
    <w:rsid w:val="49926698"/>
    <w:rsid w:val="49B20AE8"/>
    <w:rsid w:val="4A52428A"/>
    <w:rsid w:val="4A532041"/>
    <w:rsid w:val="4A563B69"/>
    <w:rsid w:val="4A5C2802"/>
    <w:rsid w:val="4A68558F"/>
    <w:rsid w:val="4ABE526B"/>
    <w:rsid w:val="4AE41175"/>
    <w:rsid w:val="4AE747C1"/>
    <w:rsid w:val="4AFA62A3"/>
    <w:rsid w:val="4B271062"/>
    <w:rsid w:val="4B3F08A1"/>
    <w:rsid w:val="4B7F49FA"/>
    <w:rsid w:val="4B814C16"/>
    <w:rsid w:val="4BC6087B"/>
    <w:rsid w:val="4BDA60D4"/>
    <w:rsid w:val="4BDE3E16"/>
    <w:rsid w:val="4C275C74"/>
    <w:rsid w:val="4C3D4090"/>
    <w:rsid w:val="4C40062D"/>
    <w:rsid w:val="4C43011D"/>
    <w:rsid w:val="4C455C43"/>
    <w:rsid w:val="4C60482B"/>
    <w:rsid w:val="4C6360CA"/>
    <w:rsid w:val="4C940979"/>
    <w:rsid w:val="4C9646F1"/>
    <w:rsid w:val="4CA968EF"/>
    <w:rsid w:val="4CAA7CED"/>
    <w:rsid w:val="4CAC181F"/>
    <w:rsid w:val="4CB40F6D"/>
    <w:rsid w:val="4CD6689C"/>
    <w:rsid w:val="4CDB7C7A"/>
    <w:rsid w:val="4D063625"/>
    <w:rsid w:val="4D0B0C3B"/>
    <w:rsid w:val="4D0C49B3"/>
    <w:rsid w:val="4D216D20"/>
    <w:rsid w:val="4D245657"/>
    <w:rsid w:val="4D2717ED"/>
    <w:rsid w:val="4D4E28D6"/>
    <w:rsid w:val="4D673998"/>
    <w:rsid w:val="4D8502C3"/>
    <w:rsid w:val="4D93478D"/>
    <w:rsid w:val="4D9C5D37"/>
    <w:rsid w:val="4D9F349A"/>
    <w:rsid w:val="4DA42E3E"/>
    <w:rsid w:val="4DA846DC"/>
    <w:rsid w:val="4DD454D1"/>
    <w:rsid w:val="4E0336C0"/>
    <w:rsid w:val="4E0F02B7"/>
    <w:rsid w:val="4E163CAA"/>
    <w:rsid w:val="4E4A12EF"/>
    <w:rsid w:val="4E4C5AC3"/>
    <w:rsid w:val="4E5E0285"/>
    <w:rsid w:val="4E5E4D9B"/>
    <w:rsid w:val="4E7A673F"/>
    <w:rsid w:val="4E850579"/>
    <w:rsid w:val="4EB946C7"/>
    <w:rsid w:val="4EBE3A8B"/>
    <w:rsid w:val="4EC217CD"/>
    <w:rsid w:val="4EC310A1"/>
    <w:rsid w:val="4F271630"/>
    <w:rsid w:val="4F334479"/>
    <w:rsid w:val="4F3A75B6"/>
    <w:rsid w:val="4F50502B"/>
    <w:rsid w:val="4F806F93"/>
    <w:rsid w:val="4F950C90"/>
    <w:rsid w:val="4F982076"/>
    <w:rsid w:val="4FDF5C34"/>
    <w:rsid w:val="4FF0236A"/>
    <w:rsid w:val="500116A0"/>
    <w:rsid w:val="505D2CF5"/>
    <w:rsid w:val="50656436"/>
    <w:rsid w:val="507406A8"/>
    <w:rsid w:val="5075461D"/>
    <w:rsid w:val="508F3931"/>
    <w:rsid w:val="50986396"/>
    <w:rsid w:val="50AE6154"/>
    <w:rsid w:val="50CC6933"/>
    <w:rsid w:val="50D21A70"/>
    <w:rsid w:val="50D518F4"/>
    <w:rsid w:val="50D650BC"/>
    <w:rsid w:val="50F71307"/>
    <w:rsid w:val="50FB4B23"/>
    <w:rsid w:val="510C4F82"/>
    <w:rsid w:val="511E4CB5"/>
    <w:rsid w:val="512A365A"/>
    <w:rsid w:val="513F7105"/>
    <w:rsid w:val="515B3813"/>
    <w:rsid w:val="518367A0"/>
    <w:rsid w:val="518C60C3"/>
    <w:rsid w:val="519F2844"/>
    <w:rsid w:val="51AE3144"/>
    <w:rsid w:val="51C54DD9"/>
    <w:rsid w:val="51D35A9F"/>
    <w:rsid w:val="51E22DAE"/>
    <w:rsid w:val="520C2D5F"/>
    <w:rsid w:val="52497B10"/>
    <w:rsid w:val="52AC7005"/>
    <w:rsid w:val="52AD009F"/>
    <w:rsid w:val="52ED3D47"/>
    <w:rsid w:val="52F36B59"/>
    <w:rsid w:val="531225F7"/>
    <w:rsid w:val="53130849"/>
    <w:rsid w:val="531B14AC"/>
    <w:rsid w:val="531C443B"/>
    <w:rsid w:val="532239E6"/>
    <w:rsid w:val="53AA2830"/>
    <w:rsid w:val="53C14AD0"/>
    <w:rsid w:val="54106B37"/>
    <w:rsid w:val="5455279C"/>
    <w:rsid w:val="545F361A"/>
    <w:rsid w:val="54882B71"/>
    <w:rsid w:val="549332C4"/>
    <w:rsid w:val="549F4205"/>
    <w:rsid w:val="54B43966"/>
    <w:rsid w:val="54C87412"/>
    <w:rsid w:val="54D062C6"/>
    <w:rsid w:val="54F04D75"/>
    <w:rsid w:val="54F93A6F"/>
    <w:rsid w:val="55482300"/>
    <w:rsid w:val="55564A1D"/>
    <w:rsid w:val="55733821"/>
    <w:rsid w:val="55777C50"/>
    <w:rsid w:val="55935C72"/>
    <w:rsid w:val="55E77D6B"/>
    <w:rsid w:val="55F304BE"/>
    <w:rsid w:val="55F81F79"/>
    <w:rsid w:val="56244B1C"/>
    <w:rsid w:val="5628499A"/>
    <w:rsid w:val="5637281E"/>
    <w:rsid w:val="56462CE4"/>
    <w:rsid w:val="56582A17"/>
    <w:rsid w:val="56666EE2"/>
    <w:rsid w:val="567315FF"/>
    <w:rsid w:val="56815ACA"/>
    <w:rsid w:val="5692440E"/>
    <w:rsid w:val="56A1250C"/>
    <w:rsid w:val="572C741E"/>
    <w:rsid w:val="573174F0"/>
    <w:rsid w:val="5765719A"/>
    <w:rsid w:val="57672F12"/>
    <w:rsid w:val="576A0C54"/>
    <w:rsid w:val="57750E7A"/>
    <w:rsid w:val="578F2469"/>
    <w:rsid w:val="57931F59"/>
    <w:rsid w:val="57957FCB"/>
    <w:rsid w:val="57B1382C"/>
    <w:rsid w:val="57C33EC0"/>
    <w:rsid w:val="57CB7096"/>
    <w:rsid w:val="57DD0078"/>
    <w:rsid w:val="57E02CC4"/>
    <w:rsid w:val="5804495C"/>
    <w:rsid w:val="58095D77"/>
    <w:rsid w:val="582157B7"/>
    <w:rsid w:val="58472D43"/>
    <w:rsid w:val="58704048"/>
    <w:rsid w:val="58E10A76"/>
    <w:rsid w:val="59103135"/>
    <w:rsid w:val="5919648E"/>
    <w:rsid w:val="59232E69"/>
    <w:rsid w:val="592F3F03"/>
    <w:rsid w:val="597E4543"/>
    <w:rsid w:val="597E4867"/>
    <w:rsid w:val="598633F7"/>
    <w:rsid w:val="59A3044D"/>
    <w:rsid w:val="59BB424B"/>
    <w:rsid w:val="59D27555"/>
    <w:rsid w:val="59D6612D"/>
    <w:rsid w:val="59E7033A"/>
    <w:rsid w:val="59F40CA9"/>
    <w:rsid w:val="59F92D03"/>
    <w:rsid w:val="5A166E71"/>
    <w:rsid w:val="5A221372"/>
    <w:rsid w:val="5A276988"/>
    <w:rsid w:val="5A2C3F9F"/>
    <w:rsid w:val="5A3410A5"/>
    <w:rsid w:val="5A3B2434"/>
    <w:rsid w:val="5A5A1F69"/>
    <w:rsid w:val="5A5F4374"/>
    <w:rsid w:val="5A6B0352"/>
    <w:rsid w:val="5A90452E"/>
    <w:rsid w:val="5ABD61EF"/>
    <w:rsid w:val="5AD50940"/>
    <w:rsid w:val="5ADD173D"/>
    <w:rsid w:val="5B1858FF"/>
    <w:rsid w:val="5B3550D5"/>
    <w:rsid w:val="5B370E4D"/>
    <w:rsid w:val="5B48305A"/>
    <w:rsid w:val="5B4F4DDF"/>
    <w:rsid w:val="5B914A01"/>
    <w:rsid w:val="5B9812B3"/>
    <w:rsid w:val="5BAD7361"/>
    <w:rsid w:val="5BC848DC"/>
    <w:rsid w:val="5BCD17B1"/>
    <w:rsid w:val="5BCE6090"/>
    <w:rsid w:val="5BCF552A"/>
    <w:rsid w:val="5BD448EE"/>
    <w:rsid w:val="5BF64864"/>
    <w:rsid w:val="5C043425"/>
    <w:rsid w:val="5C5B5103"/>
    <w:rsid w:val="5C5D2B35"/>
    <w:rsid w:val="5C657C3C"/>
    <w:rsid w:val="5C8E2CEF"/>
    <w:rsid w:val="5C916D6D"/>
    <w:rsid w:val="5CC6692D"/>
    <w:rsid w:val="5CD363C5"/>
    <w:rsid w:val="5D072AA1"/>
    <w:rsid w:val="5D1F428F"/>
    <w:rsid w:val="5D2418A5"/>
    <w:rsid w:val="5D3D64C3"/>
    <w:rsid w:val="5D3E0272"/>
    <w:rsid w:val="5D414205"/>
    <w:rsid w:val="5D460B5A"/>
    <w:rsid w:val="5D4D2BAA"/>
    <w:rsid w:val="5D7D4A9A"/>
    <w:rsid w:val="5D9B2F4D"/>
    <w:rsid w:val="5DB43B34"/>
    <w:rsid w:val="5DD15589"/>
    <w:rsid w:val="5DDB01B6"/>
    <w:rsid w:val="5DEC678F"/>
    <w:rsid w:val="5E1611EE"/>
    <w:rsid w:val="5E5F7C5B"/>
    <w:rsid w:val="5EB84053"/>
    <w:rsid w:val="5EEC1F4F"/>
    <w:rsid w:val="5F002EFD"/>
    <w:rsid w:val="5F074FDA"/>
    <w:rsid w:val="5F2E07B9"/>
    <w:rsid w:val="5F5D2E4C"/>
    <w:rsid w:val="5F677827"/>
    <w:rsid w:val="5F7B0231"/>
    <w:rsid w:val="5F8108E9"/>
    <w:rsid w:val="5F920D48"/>
    <w:rsid w:val="5F9F5B75"/>
    <w:rsid w:val="5FA97E40"/>
    <w:rsid w:val="5FAC2CD9"/>
    <w:rsid w:val="5FCE24C5"/>
    <w:rsid w:val="5FD2383A"/>
    <w:rsid w:val="603E2C7E"/>
    <w:rsid w:val="60463159"/>
    <w:rsid w:val="60576B9A"/>
    <w:rsid w:val="60797C88"/>
    <w:rsid w:val="609D1752"/>
    <w:rsid w:val="60AE3960"/>
    <w:rsid w:val="60B44CEE"/>
    <w:rsid w:val="60D94755"/>
    <w:rsid w:val="60DD3A26"/>
    <w:rsid w:val="612A799F"/>
    <w:rsid w:val="61A91A7C"/>
    <w:rsid w:val="61B256D1"/>
    <w:rsid w:val="621C2B4B"/>
    <w:rsid w:val="623C7BEE"/>
    <w:rsid w:val="627A1670"/>
    <w:rsid w:val="62875F25"/>
    <w:rsid w:val="62922E0D"/>
    <w:rsid w:val="62A56FE4"/>
    <w:rsid w:val="62A768B8"/>
    <w:rsid w:val="62C751AC"/>
    <w:rsid w:val="62CA3A43"/>
    <w:rsid w:val="62CA6A4B"/>
    <w:rsid w:val="62D02CC2"/>
    <w:rsid w:val="62E33669"/>
    <w:rsid w:val="635B5E1B"/>
    <w:rsid w:val="63612F0B"/>
    <w:rsid w:val="637B6B17"/>
    <w:rsid w:val="637D4A18"/>
    <w:rsid w:val="63861E5B"/>
    <w:rsid w:val="63991276"/>
    <w:rsid w:val="63CD67F3"/>
    <w:rsid w:val="63FF2724"/>
    <w:rsid w:val="644C3BBB"/>
    <w:rsid w:val="645111D2"/>
    <w:rsid w:val="64654C7D"/>
    <w:rsid w:val="647336C2"/>
    <w:rsid w:val="64A83A99"/>
    <w:rsid w:val="64AA6B34"/>
    <w:rsid w:val="64B67287"/>
    <w:rsid w:val="64CA0F84"/>
    <w:rsid w:val="64EE20B7"/>
    <w:rsid w:val="64EE53D0"/>
    <w:rsid w:val="64FB0C06"/>
    <w:rsid w:val="650E0E71"/>
    <w:rsid w:val="6515571A"/>
    <w:rsid w:val="651B358E"/>
    <w:rsid w:val="65294994"/>
    <w:rsid w:val="65362175"/>
    <w:rsid w:val="65B25CA0"/>
    <w:rsid w:val="65C40436"/>
    <w:rsid w:val="65F52031"/>
    <w:rsid w:val="65F8567D"/>
    <w:rsid w:val="65FD2C93"/>
    <w:rsid w:val="660404C6"/>
    <w:rsid w:val="6615622F"/>
    <w:rsid w:val="6624244C"/>
    <w:rsid w:val="664A237C"/>
    <w:rsid w:val="664A3F86"/>
    <w:rsid w:val="664F1741"/>
    <w:rsid w:val="66636F9A"/>
    <w:rsid w:val="66950BB7"/>
    <w:rsid w:val="66B15F58"/>
    <w:rsid w:val="66B9305E"/>
    <w:rsid w:val="66CF2882"/>
    <w:rsid w:val="66F87431"/>
    <w:rsid w:val="671D183F"/>
    <w:rsid w:val="67241FAA"/>
    <w:rsid w:val="6727621A"/>
    <w:rsid w:val="672C55DE"/>
    <w:rsid w:val="674E7C4A"/>
    <w:rsid w:val="67550FD9"/>
    <w:rsid w:val="67706D28"/>
    <w:rsid w:val="67803B7C"/>
    <w:rsid w:val="6780592A"/>
    <w:rsid w:val="67860684"/>
    <w:rsid w:val="67864F13"/>
    <w:rsid w:val="679118E5"/>
    <w:rsid w:val="679F2254"/>
    <w:rsid w:val="67A23AF2"/>
    <w:rsid w:val="67BA24E3"/>
    <w:rsid w:val="67D60BAE"/>
    <w:rsid w:val="67DB46CB"/>
    <w:rsid w:val="67EE6D37"/>
    <w:rsid w:val="681D761D"/>
    <w:rsid w:val="682409AB"/>
    <w:rsid w:val="685079F2"/>
    <w:rsid w:val="68581629"/>
    <w:rsid w:val="687A681D"/>
    <w:rsid w:val="687D3CBD"/>
    <w:rsid w:val="688D02FE"/>
    <w:rsid w:val="68C0640B"/>
    <w:rsid w:val="690031C6"/>
    <w:rsid w:val="69132EFA"/>
    <w:rsid w:val="69313380"/>
    <w:rsid w:val="696B7B53"/>
    <w:rsid w:val="696C7EFF"/>
    <w:rsid w:val="6971104F"/>
    <w:rsid w:val="69872FA0"/>
    <w:rsid w:val="69AD6893"/>
    <w:rsid w:val="69CE6E20"/>
    <w:rsid w:val="69D32689"/>
    <w:rsid w:val="69DB33CE"/>
    <w:rsid w:val="69E263B6"/>
    <w:rsid w:val="69EA290C"/>
    <w:rsid w:val="69F06D97"/>
    <w:rsid w:val="6A2D5CC5"/>
    <w:rsid w:val="6A3530B4"/>
    <w:rsid w:val="6A5512F0"/>
    <w:rsid w:val="6A590DE0"/>
    <w:rsid w:val="6A8D0A8A"/>
    <w:rsid w:val="6A8E60A1"/>
    <w:rsid w:val="6AA933EA"/>
    <w:rsid w:val="6AED7FE0"/>
    <w:rsid w:val="6AEE0938"/>
    <w:rsid w:val="6B0F5943"/>
    <w:rsid w:val="6B1B7E43"/>
    <w:rsid w:val="6B2111D2"/>
    <w:rsid w:val="6B2E34C9"/>
    <w:rsid w:val="6B2F1B41"/>
    <w:rsid w:val="6B3709F5"/>
    <w:rsid w:val="6B4D0219"/>
    <w:rsid w:val="6B6537B4"/>
    <w:rsid w:val="6B6749AF"/>
    <w:rsid w:val="6B7E4876"/>
    <w:rsid w:val="6B985938"/>
    <w:rsid w:val="6BA0659B"/>
    <w:rsid w:val="6BAC4F3F"/>
    <w:rsid w:val="6C136D6D"/>
    <w:rsid w:val="6C1A634D"/>
    <w:rsid w:val="6C3B62C3"/>
    <w:rsid w:val="6C501D6F"/>
    <w:rsid w:val="6C6475C8"/>
    <w:rsid w:val="6CA34594"/>
    <w:rsid w:val="6CB22A29"/>
    <w:rsid w:val="6CE10C19"/>
    <w:rsid w:val="6CE6376B"/>
    <w:rsid w:val="6CEB1A97"/>
    <w:rsid w:val="6D362C15"/>
    <w:rsid w:val="6D396CA7"/>
    <w:rsid w:val="6D4210E7"/>
    <w:rsid w:val="6D6261FE"/>
    <w:rsid w:val="6D68758C"/>
    <w:rsid w:val="6D761CA9"/>
    <w:rsid w:val="6D9B3910"/>
    <w:rsid w:val="6DB4457F"/>
    <w:rsid w:val="6DB91B96"/>
    <w:rsid w:val="6DCC18C9"/>
    <w:rsid w:val="6DCE5641"/>
    <w:rsid w:val="6DE07122"/>
    <w:rsid w:val="6E5D0BF7"/>
    <w:rsid w:val="6E6B1FFF"/>
    <w:rsid w:val="6E777A87"/>
    <w:rsid w:val="6E7855AD"/>
    <w:rsid w:val="6E8201DA"/>
    <w:rsid w:val="6E8C4877"/>
    <w:rsid w:val="6E945973"/>
    <w:rsid w:val="6E953A22"/>
    <w:rsid w:val="6EC1775D"/>
    <w:rsid w:val="6ED547AD"/>
    <w:rsid w:val="6ED924EF"/>
    <w:rsid w:val="6EE065BB"/>
    <w:rsid w:val="6F095153"/>
    <w:rsid w:val="6F0D03EB"/>
    <w:rsid w:val="6F35349E"/>
    <w:rsid w:val="6F392F8E"/>
    <w:rsid w:val="6F4F33BA"/>
    <w:rsid w:val="6F63000B"/>
    <w:rsid w:val="6F7044D6"/>
    <w:rsid w:val="6F7A7103"/>
    <w:rsid w:val="6F9D76B0"/>
    <w:rsid w:val="6FC50CC6"/>
    <w:rsid w:val="6FD42CB7"/>
    <w:rsid w:val="6FFB0243"/>
    <w:rsid w:val="6FFD045F"/>
    <w:rsid w:val="703B4AE4"/>
    <w:rsid w:val="70561670"/>
    <w:rsid w:val="70606C51"/>
    <w:rsid w:val="70B14DA6"/>
    <w:rsid w:val="70FD1EC3"/>
    <w:rsid w:val="710C022E"/>
    <w:rsid w:val="71193264"/>
    <w:rsid w:val="711A6DEF"/>
    <w:rsid w:val="711F61B4"/>
    <w:rsid w:val="712612F0"/>
    <w:rsid w:val="713F4CA3"/>
    <w:rsid w:val="71587E3E"/>
    <w:rsid w:val="715C3E80"/>
    <w:rsid w:val="717A163C"/>
    <w:rsid w:val="71A32941"/>
    <w:rsid w:val="71A62431"/>
    <w:rsid w:val="71B27028"/>
    <w:rsid w:val="71C72AD3"/>
    <w:rsid w:val="72077373"/>
    <w:rsid w:val="722577FA"/>
    <w:rsid w:val="722F0678"/>
    <w:rsid w:val="72393AAB"/>
    <w:rsid w:val="72451C4A"/>
    <w:rsid w:val="724E4FA2"/>
    <w:rsid w:val="728B115B"/>
    <w:rsid w:val="729A01E8"/>
    <w:rsid w:val="72A03324"/>
    <w:rsid w:val="72A8705B"/>
    <w:rsid w:val="72AB5F51"/>
    <w:rsid w:val="72CB1905"/>
    <w:rsid w:val="72D57472"/>
    <w:rsid w:val="72E17BC5"/>
    <w:rsid w:val="72EB0A43"/>
    <w:rsid w:val="73263829"/>
    <w:rsid w:val="7338355D"/>
    <w:rsid w:val="736B56E0"/>
    <w:rsid w:val="73761206"/>
    <w:rsid w:val="738F0D01"/>
    <w:rsid w:val="739F538A"/>
    <w:rsid w:val="73E55492"/>
    <w:rsid w:val="74051691"/>
    <w:rsid w:val="74116287"/>
    <w:rsid w:val="74161AF0"/>
    <w:rsid w:val="7482268F"/>
    <w:rsid w:val="74B84955"/>
    <w:rsid w:val="74CC0400"/>
    <w:rsid w:val="74DF0134"/>
    <w:rsid w:val="753D4E5A"/>
    <w:rsid w:val="75466405"/>
    <w:rsid w:val="755C1784"/>
    <w:rsid w:val="75630D65"/>
    <w:rsid w:val="757A1C0A"/>
    <w:rsid w:val="757C6D91"/>
    <w:rsid w:val="758D361C"/>
    <w:rsid w:val="75C15A8B"/>
    <w:rsid w:val="75CB06B8"/>
    <w:rsid w:val="75FC2F67"/>
    <w:rsid w:val="76530DD9"/>
    <w:rsid w:val="765B1A3C"/>
    <w:rsid w:val="7687606F"/>
    <w:rsid w:val="769B45C3"/>
    <w:rsid w:val="76CC52EA"/>
    <w:rsid w:val="76D8308D"/>
    <w:rsid w:val="76DB583A"/>
    <w:rsid w:val="76FA1255"/>
    <w:rsid w:val="772C32D1"/>
    <w:rsid w:val="77422BFC"/>
    <w:rsid w:val="77434CE5"/>
    <w:rsid w:val="774424D0"/>
    <w:rsid w:val="774D5473"/>
    <w:rsid w:val="779A47E6"/>
    <w:rsid w:val="77A865A7"/>
    <w:rsid w:val="77A94A29"/>
    <w:rsid w:val="77AA7A65"/>
    <w:rsid w:val="77E912C9"/>
    <w:rsid w:val="780435FE"/>
    <w:rsid w:val="780A196C"/>
    <w:rsid w:val="78515CC6"/>
    <w:rsid w:val="78780EC8"/>
    <w:rsid w:val="788334CC"/>
    <w:rsid w:val="78882890"/>
    <w:rsid w:val="78A63151"/>
    <w:rsid w:val="78B75CE5"/>
    <w:rsid w:val="78D15FE5"/>
    <w:rsid w:val="78D67D8F"/>
    <w:rsid w:val="78D721DF"/>
    <w:rsid w:val="78FE23FA"/>
    <w:rsid w:val="78FF6FF6"/>
    <w:rsid w:val="797057FE"/>
    <w:rsid w:val="79A65F7B"/>
    <w:rsid w:val="79AE27CB"/>
    <w:rsid w:val="79B0209F"/>
    <w:rsid w:val="79C30024"/>
    <w:rsid w:val="79CA2C92"/>
    <w:rsid w:val="79DE2312"/>
    <w:rsid w:val="7A252A8D"/>
    <w:rsid w:val="7A287E87"/>
    <w:rsid w:val="7A324366"/>
    <w:rsid w:val="7A326F58"/>
    <w:rsid w:val="7A431165"/>
    <w:rsid w:val="7A5A200A"/>
    <w:rsid w:val="7A5E5D78"/>
    <w:rsid w:val="7A796ACD"/>
    <w:rsid w:val="7A92579B"/>
    <w:rsid w:val="7A965738"/>
    <w:rsid w:val="7ABD2CC5"/>
    <w:rsid w:val="7AE446F6"/>
    <w:rsid w:val="7AE55D78"/>
    <w:rsid w:val="7AE569F9"/>
    <w:rsid w:val="7AFD7566"/>
    <w:rsid w:val="7B0C77A9"/>
    <w:rsid w:val="7B160627"/>
    <w:rsid w:val="7B234AF2"/>
    <w:rsid w:val="7B2E138A"/>
    <w:rsid w:val="7B580C40"/>
    <w:rsid w:val="7B814086"/>
    <w:rsid w:val="7B9D6653"/>
    <w:rsid w:val="7BA958FD"/>
    <w:rsid w:val="7BC2255D"/>
    <w:rsid w:val="7BCC0CE6"/>
    <w:rsid w:val="7BE97AEA"/>
    <w:rsid w:val="7BEC1388"/>
    <w:rsid w:val="7BFB5A4D"/>
    <w:rsid w:val="7C097768"/>
    <w:rsid w:val="7C222FAB"/>
    <w:rsid w:val="7C252E84"/>
    <w:rsid w:val="7C4A67DB"/>
    <w:rsid w:val="7CB22DF6"/>
    <w:rsid w:val="7CB47737"/>
    <w:rsid w:val="7CBE4AD3"/>
    <w:rsid w:val="7CC36AD1"/>
    <w:rsid w:val="7CC53A42"/>
    <w:rsid w:val="7CE56503"/>
    <w:rsid w:val="7D080444"/>
    <w:rsid w:val="7D172435"/>
    <w:rsid w:val="7D7366D3"/>
    <w:rsid w:val="7DA168CE"/>
    <w:rsid w:val="7DB639FC"/>
    <w:rsid w:val="7DE340E0"/>
    <w:rsid w:val="7DFA1320"/>
    <w:rsid w:val="7E046E5D"/>
    <w:rsid w:val="7E325778"/>
    <w:rsid w:val="7E33504C"/>
    <w:rsid w:val="7E3A462D"/>
    <w:rsid w:val="7E470AF8"/>
    <w:rsid w:val="7EA3057A"/>
    <w:rsid w:val="7EA47CF8"/>
    <w:rsid w:val="7EC16AFC"/>
    <w:rsid w:val="7ECD364F"/>
    <w:rsid w:val="7ECD36F3"/>
    <w:rsid w:val="7EDC3936"/>
    <w:rsid w:val="7EDC7492"/>
    <w:rsid w:val="7EEE6FE6"/>
    <w:rsid w:val="7F0569E9"/>
    <w:rsid w:val="7F1B7FBA"/>
    <w:rsid w:val="7F367E79"/>
    <w:rsid w:val="7F4D73E5"/>
    <w:rsid w:val="7F624C13"/>
    <w:rsid w:val="7F9C6B1E"/>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99"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20"/>
    <w:qFormat/>
    <w:uiPriority w:val="0"/>
    <w:pPr>
      <w:keepNext/>
      <w:keepLines/>
      <w:spacing w:line="360" w:lineRule="auto"/>
      <w:ind w:leftChars="0"/>
      <w:jc w:val="left"/>
      <w:outlineLvl w:val="1"/>
    </w:pPr>
    <w:rPr>
      <w:rFonts w:ascii="Times New Roman" w:hAnsi="Times New Roman" w:eastAsia="宋体" w:cs="Times New Roman"/>
      <w:b/>
      <w:bCs/>
      <w:sz w:val="28"/>
      <w:szCs w:val="32"/>
    </w:rPr>
  </w:style>
  <w:style w:type="paragraph" w:styleId="5">
    <w:name w:val="heading 3"/>
    <w:basedOn w:val="1"/>
    <w:next w:val="1"/>
    <w:link w:val="23"/>
    <w:qFormat/>
    <w:uiPriority w:val="0"/>
    <w:pPr>
      <w:keepNext/>
      <w:keepLines/>
      <w:numPr>
        <w:ilvl w:val="2"/>
        <w:numId w:val="0"/>
      </w:numPr>
      <w:tabs>
        <w:tab w:val="left" w:pos="0"/>
      </w:tabs>
      <w:spacing w:line="360" w:lineRule="auto"/>
      <w:ind w:left="0" w:firstLineChars="0"/>
      <w:jc w:val="left"/>
      <w:outlineLvl w:val="2"/>
    </w:pPr>
    <w:rPr>
      <w:rFonts w:ascii="Times New Roman" w:hAnsi="Times New Roman" w:eastAsia="宋体"/>
      <w:b/>
      <w:bCs/>
      <w:snapToGrid w:val="0"/>
      <w:color w:val="000000"/>
      <w:sz w:val="24"/>
      <w:szCs w:val="28"/>
    </w:rPr>
  </w:style>
  <w:style w:type="paragraph" w:styleId="6">
    <w:name w:val="heading 4"/>
    <w:next w:val="1"/>
    <w:qFormat/>
    <w:uiPriority w:val="9"/>
    <w:pPr>
      <w:keepNext/>
      <w:keepLines/>
      <w:numPr>
        <w:ilvl w:val="3"/>
        <w:numId w:val="0"/>
      </w:numPr>
      <w:tabs>
        <w:tab w:val="left" w:pos="0"/>
      </w:tabs>
      <w:spacing w:before="0" w:beforeAutospacing="0" w:after="0" w:afterAutospacing="0" w:line="360" w:lineRule="auto"/>
      <w:ind w:left="0" w:firstLine="0" w:firstLineChars="0"/>
      <w:outlineLvl w:val="3"/>
    </w:pPr>
    <w:rPr>
      <w:rFonts w:ascii="Times New Roman" w:hAnsi="Times New Roman" w:eastAsia="宋体" w:cs="Times New Roman"/>
      <w:sz w:val="24"/>
    </w:rPr>
  </w:style>
  <w:style w:type="paragraph" w:styleId="7">
    <w:name w:val="heading 8"/>
    <w:basedOn w:val="1"/>
    <w:next w:val="1"/>
    <w:qFormat/>
    <w:uiPriority w:val="0"/>
    <w:pPr>
      <w:keepNext/>
      <w:keepLines/>
      <w:spacing w:before="240" w:after="64" w:line="320" w:lineRule="auto"/>
      <w:outlineLvl w:val="7"/>
    </w:pPr>
    <w:rPr>
      <w:rFonts w:ascii="等线 Light" w:hAnsi="等线 Light" w:eastAsia="等线 Light" w:cs="Times New Roman"/>
      <w:sz w:val="24"/>
    </w:rPr>
  </w:style>
  <w:style w:type="character" w:default="1" w:styleId="15">
    <w:name w:val="Default Paragraph Font"/>
    <w:semiHidden/>
    <w:qFormat/>
    <w:uiPriority w:val="0"/>
  </w:style>
  <w:style w:type="table" w:default="1" w:styleId="1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8">
    <w:name w:val="Note Heading"/>
    <w:basedOn w:val="1"/>
    <w:next w:val="1"/>
    <w:qFormat/>
    <w:uiPriority w:val="99"/>
    <w:pPr>
      <w:widowControl w:val="0"/>
      <w:spacing w:line="360" w:lineRule="auto"/>
      <w:jc w:val="left"/>
    </w:pPr>
    <w:rPr>
      <w:rFonts w:ascii="Times New Roman" w:hAnsi="Times New Roman" w:eastAsia="宋体" w:cs="Times New Roman"/>
      <w:kern w:val="2"/>
      <w:sz w:val="24"/>
      <w:szCs w:val="24"/>
      <w:lang w:val="en-US" w:eastAsia="zh-CN" w:bidi="ar-SA"/>
    </w:rPr>
  </w:style>
  <w:style w:type="paragraph" w:styleId="9">
    <w:name w:val="annotation text"/>
    <w:semiHidden/>
    <w:qFormat/>
    <w:uiPriority w:val="0"/>
    <w:pPr>
      <w:widowControl w:val="0"/>
      <w:spacing w:line="360" w:lineRule="auto"/>
      <w:jc w:val="left"/>
    </w:pPr>
    <w:rPr>
      <w:rFonts w:ascii="Times New Roman" w:hAnsi="Times New Roman" w:eastAsia="宋体" w:cs="Times New Roman"/>
      <w:kern w:val="0"/>
      <w:sz w:val="20"/>
      <w:szCs w:val="24"/>
      <w:lang w:val="en-US" w:eastAsia="zh-CN" w:bidi="ar-SA"/>
    </w:rPr>
  </w:style>
  <w:style w:type="paragraph" w:styleId="10">
    <w:name w:val="Body Text"/>
    <w:basedOn w:val="1"/>
    <w:next w:val="8"/>
    <w:qFormat/>
    <w:uiPriority w:val="0"/>
    <w:pPr>
      <w:widowControl/>
      <w:snapToGrid w:val="0"/>
      <w:spacing w:before="60" w:after="160" w:line="259" w:lineRule="auto"/>
      <w:ind w:right="113"/>
      <w:jc w:val="both"/>
    </w:pPr>
    <w:rPr>
      <w:rFonts w:ascii="Times New Roman" w:hAnsi="Times New Roman" w:eastAsia="宋体" w:cs="Times New Roman"/>
      <w:kern w:val="0"/>
      <w:sz w:val="18"/>
      <w:szCs w:val="18"/>
      <w:lang w:val="en-US" w:eastAsia="zh-CN" w:bidi="ar-SA"/>
    </w:rPr>
  </w:style>
  <w:style w:type="paragraph" w:styleId="11">
    <w:name w:val="Body Text Indent"/>
    <w:basedOn w:val="1"/>
    <w:unhideWhenUsed/>
    <w:qFormat/>
    <w:uiPriority w:val="99"/>
    <w:pPr>
      <w:spacing w:after="120"/>
      <w:ind w:left="420" w:leftChars="200"/>
    </w:pPr>
  </w:style>
  <w:style w:type="paragraph" w:styleId="12">
    <w:name w:val="List"/>
    <w:basedOn w:val="1"/>
    <w:qFormat/>
    <w:uiPriority w:val="0"/>
    <w:pPr>
      <w:ind w:left="200" w:hanging="200" w:hangingChars="200"/>
    </w:pPr>
  </w:style>
  <w:style w:type="table" w:styleId="14">
    <w:name w:val="Table Grid"/>
    <w:basedOn w:val="1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paragraph" w:customStyle="1" w:styleId="18">
    <w:name w:val="表格标题"/>
    <w:basedOn w:val="1"/>
    <w:next w:val="19"/>
    <w:link w:val="26"/>
    <w:qFormat/>
    <w:uiPriority w:val="0"/>
    <w:pPr>
      <w:numPr>
        <w:ilvl w:val="7"/>
        <w:numId w:val="1"/>
      </w:numPr>
      <w:spacing w:line="360" w:lineRule="auto"/>
      <w:ind w:left="0" w:firstLine="0"/>
      <w:jc w:val="center"/>
    </w:pPr>
    <w:rPr>
      <w:rFonts w:ascii="Times New Roman" w:hAnsi="Times New Roman" w:eastAsia="宋体"/>
      <w:b/>
      <w:kern w:val="0"/>
      <w:sz w:val="24"/>
      <w:szCs w:val="20"/>
    </w:rPr>
  </w:style>
  <w:style w:type="paragraph" w:customStyle="1" w:styleId="19">
    <w:name w:val="表格内容"/>
    <w:next w:val="1"/>
    <w:qFormat/>
    <w:uiPriority w:val="0"/>
    <w:pPr>
      <w:spacing w:line="240" w:lineRule="auto"/>
      <w:ind w:firstLine="0" w:firstLineChars="0"/>
      <w:jc w:val="center"/>
    </w:pPr>
    <w:rPr>
      <w:rFonts w:ascii="Times New Roman" w:hAnsi="Times New Roman" w:eastAsia="宋体" w:cs="Times New Roman"/>
      <w:sz w:val="21"/>
    </w:rPr>
  </w:style>
  <w:style w:type="character" w:customStyle="1" w:styleId="20">
    <w:name w:val="标题 2 Char"/>
    <w:link w:val="4"/>
    <w:qFormat/>
    <w:uiPriority w:val="0"/>
    <w:rPr>
      <w:rFonts w:ascii="Times New Roman" w:hAnsi="Times New Roman" w:eastAsia="宋体" w:cs="Times New Roman"/>
      <w:b/>
      <w:bCs/>
      <w:sz w:val="28"/>
      <w:szCs w:val="32"/>
    </w:rPr>
  </w:style>
  <w:style w:type="paragraph" w:customStyle="1" w:styleId="21">
    <w:name w:val="表正文"/>
    <w:basedOn w:val="1"/>
    <w:link w:val="24"/>
    <w:qFormat/>
    <w:uiPriority w:val="0"/>
    <w:pPr>
      <w:keepNext w:val="0"/>
      <w:keepLines w:val="0"/>
      <w:widowControl/>
      <w:suppressLineNumbers w:val="0"/>
      <w:spacing w:before="0" w:beforeAutospacing="0" w:after="0" w:afterAutospacing="0" w:line="360" w:lineRule="auto"/>
      <w:ind w:left="0" w:right="0" w:firstLine="200" w:firstLineChars="200"/>
      <w:jc w:val="both"/>
    </w:pPr>
    <w:rPr>
      <w:rFonts w:ascii="Times New Roman" w:hAnsi="Times New Roman" w:eastAsia="宋体"/>
      <w:sz w:val="24"/>
      <w:lang w:bidi="ar"/>
    </w:rPr>
  </w:style>
  <w:style w:type="paragraph" w:customStyle="1" w:styleId="22">
    <w:name w:val="图文标题"/>
    <w:next w:val="1"/>
    <w:qFormat/>
    <w:uiPriority w:val="0"/>
    <w:pPr>
      <w:numPr>
        <w:ilvl w:val="8"/>
        <w:numId w:val="2"/>
      </w:numPr>
      <w:spacing w:line="360" w:lineRule="auto"/>
      <w:ind w:left="0" w:firstLine="0"/>
      <w:jc w:val="center"/>
    </w:pPr>
    <w:rPr>
      <w:rFonts w:ascii="Times New Roman" w:hAnsi="Times New Roman" w:eastAsia="宋体" w:cs="Times New Roman"/>
      <w:b/>
      <w:sz w:val="24"/>
    </w:rPr>
  </w:style>
  <w:style w:type="character" w:customStyle="1" w:styleId="23">
    <w:name w:val="标题 3 字符"/>
    <w:basedOn w:val="15"/>
    <w:link w:val="5"/>
    <w:qFormat/>
    <w:uiPriority w:val="0"/>
    <w:rPr>
      <w:rFonts w:ascii="Times New Roman" w:hAnsi="Times New Roman" w:eastAsia="宋体"/>
      <w:b/>
      <w:kern w:val="2"/>
      <w:sz w:val="24"/>
      <w:szCs w:val="24"/>
    </w:rPr>
  </w:style>
  <w:style w:type="character" w:customStyle="1" w:styleId="24">
    <w:name w:val="表正文 Char"/>
    <w:link w:val="21"/>
    <w:qFormat/>
    <w:uiPriority w:val="0"/>
    <w:rPr>
      <w:rFonts w:ascii="Times New Roman" w:hAnsi="Times New Roman" w:eastAsia="宋体"/>
      <w:sz w:val="24"/>
      <w:lang w:bidi="ar"/>
    </w:rPr>
  </w:style>
  <w:style w:type="paragraph" w:customStyle="1" w:styleId="25">
    <w:name w:val="附件"/>
    <w:basedOn w:val="1"/>
    <w:next w:val="1"/>
    <w:qFormat/>
    <w:uiPriority w:val="0"/>
    <w:pPr>
      <w:pageBreakBefore/>
      <w:adjustRightInd/>
      <w:snapToGrid/>
      <w:spacing w:line="360" w:lineRule="auto"/>
      <w:ind w:firstLine="0" w:firstLineChars="0"/>
      <w:jc w:val="left"/>
      <w:outlineLvl w:val="4"/>
    </w:pPr>
    <w:rPr>
      <w:rFonts w:ascii="Times New Roman" w:hAnsi="Times New Roman" w:eastAsia="宋体"/>
      <w:b/>
      <w:sz w:val="28"/>
    </w:rPr>
  </w:style>
  <w:style w:type="character" w:customStyle="1" w:styleId="26">
    <w:name w:val="表格标题 Char"/>
    <w:link w:val="18"/>
    <w:qFormat/>
    <w:uiPriority w:val="0"/>
    <w:rPr>
      <w:rFonts w:ascii="Times New Roman" w:hAnsi="Times New Roman" w:eastAsia="宋体"/>
      <w:b/>
      <w:kern w:val="0"/>
      <w:sz w:val="24"/>
      <w:szCs w:val="20"/>
    </w:rPr>
  </w:style>
  <w:style w:type="paragraph" w:customStyle="1" w:styleId="27">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28">
    <w:name w:val="图表标题"/>
    <w:qFormat/>
    <w:uiPriority w:val="0"/>
    <w:pPr>
      <w:spacing w:line="360" w:lineRule="auto"/>
      <w:ind w:firstLine="0" w:firstLineChars="0"/>
      <w:jc w:val="center"/>
    </w:pPr>
    <w:rPr>
      <w:rFonts w:ascii="Times New Roman" w:hAnsi="Times New Roman" w:eastAsia="宋体" w:cs="Times New Roman"/>
      <w:b/>
      <w:sz w:val="24"/>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http://www.china-eia.com/chengxu/HJT2.4-1995%25252525252525252525252525252525252525252525252525252525252525252525252525252525252525252525252525252525252525252525252525252520dz-shj.files/HJT2.4-1995%25252525252525252525252525252525252525252525252525252525252525252525252525252525252525252525252525252525252525252525252525252520tu2.bmp" TargetMode="External"/><Relationship Id="rId96" Type="http://schemas.openxmlformats.org/officeDocument/2006/relationships/image" Target="media/image76.png"/><Relationship Id="rId95" Type="http://schemas.openxmlformats.org/officeDocument/2006/relationships/image" Target="media/image75.wmf"/><Relationship Id="rId94" Type="http://schemas.openxmlformats.org/officeDocument/2006/relationships/image" Target="media/image74.png"/><Relationship Id="rId93" Type="http://schemas.openxmlformats.org/officeDocument/2006/relationships/image" Target="media/image73.wmf"/><Relationship Id="rId92" Type="http://schemas.openxmlformats.org/officeDocument/2006/relationships/image" Target="media/image72.wmf"/><Relationship Id="rId91" Type="http://schemas.openxmlformats.org/officeDocument/2006/relationships/image" Target="media/image71.png"/><Relationship Id="rId90" Type="http://schemas.openxmlformats.org/officeDocument/2006/relationships/image" Target="media/image70.wmf"/><Relationship Id="rId9" Type="http://schemas.openxmlformats.org/officeDocument/2006/relationships/image" Target="media/image2.wmf"/><Relationship Id="rId89" Type="http://schemas.openxmlformats.org/officeDocument/2006/relationships/image" Target="media/image69.wmf"/><Relationship Id="rId88" Type="http://schemas.openxmlformats.org/officeDocument/2006/relationships/image" Target="media/image68.wmf"/><Relationship Id="rId87" Type="http://schemas.openxmlformats.org/officeDocument/2006/relationships/image" Target="media/image67.emf"/><Relationship Id="rId86" Type="http://schemas.openxmlformats.org/officeDocument/2006/relationships/image" Target="media/image66.wmf"/><Relationship Id="rId85" Type="http://schemas.openxmlformats.org/officeDocument/2006/relationships/image" Target="media/image65.png"/><Relationship Id="rId84" Type="http://schemas.openxmlformats.org/officeDocument/2006/relationships/image" Target="media/image64.emf"/><Relationship Id="rId83" Type="http://schemas.openxmlformats.org/officeDocument/2006/relationships/image" Target="media/image63.wmf"/><Relationship Id="rId82" Type="http://schemas.openxmlformats.org/officeDocument/2006/relationships/image" Target="media/image62.wmf"/><Relationship Id="rId81" Type="http://schemas.openxmlformats.org/officeDocument/2006/relationships/image" Target="media/image61.wmf"/><Relationship Id="rId80" Type="http://schemas.openxmlformats.org/officeDocument/2006/relationships/image" Target="media/image60.wmf"/><Relationship Id="rId8" Type="http://schemas.openxmlformats.org/officeDocument/2006/relationships/image" Target="media/image1.jpeg"/><Relationship Id="rId79" Type="http://schemas.openxmlformats.org/officeDocument/2006/relationships/image" Target="media/image59.wmf"/><Relationship Id="rId78" Type="http://schemas.openxmlformats.org/officeDocument/2006/relationships/image" Target="media/image58.wmf"/><Relationship Id="rId77" Type="http://schemas.openxmlformats.org/officeDocument/2006/relationships/image" Target="media/image57.wmf"/><Relationship Id="rId76" Type="http://schemas.openxmlformats.org/officeDocument/2006/relationships/image" Target="media/image56.wmf"/><Relationship Id="rId75" Type="http://schemas.openxmlformats.org/officeDocument/2006/relationships/image" Target="media/image55.wmf"/><Relationship Id="rId74" Type="http://schemas.openxmlformats.org/officeDocument/2006/relationships/image" Target="media/image54.wmf"/><Relationship Id="rId73" Type="http://schemas.openxmlformats.org/officeDocument/2006/relationships/image" Target="media/image53.wmf"/><Relationship Id="rId72" Type="http://schemas.openxmlformats.org/officeDocument/2006/relationships/image" Target="media/image52.jpeg"/><Relationship Id="rId71" Type="http://schemas.openxmlformats.org/officeDocument/2006/relationships/image" Target="media/image51.wmf"/><Relationship Id="rId70" Type="http://schemas.openxmlformats.org/officeDocument/2006/relationships/oleObject" Target="embeddings/oleObject13.bin"/><Relationship Id="rId7" Type="http://schemas.openxmlformats.org/officeDocument/2006/relationships/theme" Target="theme/theme1.xml"/><Relationship Id="rId69" Type="http://schemas.openxmlformats.org/officeDocument/2006/relationships/image" Target="media/image50.wmf"/><Relationship Id="rId68" Type="http://schemas.openxmlformats.org/officeDocument/2006/relationships/oleObject" Target="embeddings/oleObject12.bin"/><Relationship Id="rId67" Type="http://schemas.openxmlformats.org/officeDocument/2006/relationships/image" Target="media/image49.wmf"/><Relationship Id="rId66" Type="http://schemas.openxmlformats.org/officeDocument/2006/relationships/oleObject" Target="embeddings/oleObject11.bin"/><Relationship Id="rId65" Type="http://schemas.openxmlformats.org/officeDocument/2006/relationships/image" Target="media/image48.wmf"/><Relationship Id="rId64" Type="http://schemas.openxmlformats.org/officeDocument/2006/relationships/oleObject" Target="embeddings/oleObject10.bin"/><Relationship Id="rId63" Type="http://schemas.openxmlformats.org/officeDocument/2006/relationships/image" Target="media/image47.wmf"/><Relationship Id="rId62" Type="http://schemas.openxmlformats.org/officeDocument/2006/relationships/image" Target="media/image46.wmf"/><Relationship Id="rId61" Type="http://schemas.openxmlformats.org/officeDocument/2006/relationships/image" Target="media/image45.wmf"/><Relationship Id="rId60" Type="http://schemas.openxmlformats.org/officeDocument/2006/relationships/oleObject" Target="embeddings/oleObject9.bin"/><Relationship Id="rId6" Type="http://schemas.openxmlformats.org/officeDocument/2006/relationships/footer" Target="footer4.xml"/><Relationship Id="rId59" Type="http://schemas.openxmlformats.org/officeDocument/2006/relationships/image" Target="media/image44.wmf"/><Relationship Id="rId58" Type="http://schemas.openxmlformats.org/officeDocument/2006/relationships/oleObject" Target="embeddings/oleObject8.bin"/><Relationship Id="rId57" Type="http://schemas.openxmlformats.org/officeDocument/2006/relationships/image" Target="media/image43.wmf"/><Relationship Id="rId56" Type="http://schemas.openxmlformats.org/officeDocument/2006/relationships/oleObject" Target="embeddings/oleObject7.bin"/><Relationship Id="rId55" Type="http://schemas.openxmlformats.org/officeDocument/2006/relationships/image" Target="media/image42.wmf"/><Relationship Id="rId54" Type="http://schemas.openxmlformats.org/officeDocument/2006/relationships/image" Target="media/image41.wmf"/><Relationship Id="rId53" Type="http://schemas.openxmlformats.org/officeDocument/2006/relationships/image" Target="media/image40.wmf"/><Relationship Id="rId52" Type="http://schemas.openxmlformats.org/officeDocument/2006/relationships/image" Target="media/image39.wmf"/><Relationship Id="rId51" Type="http://schemas.openxmlformats.org/officeDocument/2006/relationships/image" Target="media/image38.wmf"/><Relationship Id="rId50" Type="http://schemas.openxmlformats.org/officeDocument/2006/relationships/image" Target="media/image37.wmf"/><Relationship Id="rId5" Type="http://schemas.openxmlformats.org/officeDocument/2006/relationships/footer" Target="footer3.xml"/><Relationship Id="rId49" Type="http://schemas.openxmlformats.org/officeDocument/2006/relationships/image" Target="media/image36.wmf"/><Relationship Id="rId48" Type="http://schemas.openxmlformats.org/officeDocument/2006/relationships/image" Target="media/image35.wmf"/><Relationship Id="rId47" Type="http://schemas.openxmlformats.org/officeDocument/2006/relationships/image" Target="media/image34.wmf"/><Relationship Id="rId46" Type="http://schemas.openxmlformats.org/officeDocument/2006/relationships/image" Target="media/image33.wmf"/><Relationship Id="rId45" Type="http://schemas.openxmlformats.org/officeDocument/2006/relationships/image" Target="media/image32.wmf"/><Relationship Id="rId44" Type="http://schemas.openxmlformats.org/officeDocument/2006/relationships/image" Target="media/image31.wmf"/><Relationship Id="rId43" Type="http://schemas.openxmlformats.org/officeDocument/2006/relationships/image" Target="media/image30.wmf"/><Relationship Id="rId42" Type="http://schemas.openxmlformats.org/officeDocument/2006/relationships/image" Target="media/image29.wmf"/><Relationship Id="rId41" Type="http://schemas.openxmlformats.org/officeDocument/2006/relationships/image" Target="media/image28.wmf"/><Relationship Id="rId40" Type="http://schemas.openxmlformats.org/officeDocument/2006/relationships/image" Target="media/image27.wmf"/><Relationship Id="rId4" Type="http://schemas.openxmlformats.org/officeDocument/2006/relationships/footer" Target="footer2.xml"/><Relationship Id="rId39" Type="http://schemas.openxmlformats.org/officeDocument/2006/relationships/image" Target="media/image26.wmf"/><Relationship Id="rId38" Type="http://schemas.openxmlformats.org/officeDocument/2006/relationships/image" Target="media/image25.wmf"/><Relationship Id="rId37" Type="http://schemas.openxmlformats.org/officeDocument/2006/relationships/image" Target="media/image24.wmf"/><Relationship Id="rId36" Type="http://schemas.openxmlformats.org/officeDocument/2006/relationships/image" Target="media/image23.wmf"/><Relationship Id="rId35" Type="http://schemas.openxmlformats.org/officeDocument/2006/relationships/oleObject" Target="embeddings/oleObject6.bin"/><Relationship Id="rId34" Type="http://schemas.openxmlformats.org/officeDocument/2006/relationships/image" Target="media/image22.wmf"/><Relationship Id="rId33" Type="http://schemas.openxmlformats.org/officeDocument/2006/relationships/oleObject" Target="embeddings/oleObject5.bin"/><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4.bin"/><Relationship Id="rId27" Type="http://schemas.openxmlformats.org/officeDocument/2006/relationships/image" Target="media/image17.wmf"/><Relationship Id="rId26" Type="http://schemas.openxmlformats.org/officeDocument/2006/relationships/oleObject" Target="embeddings/oleObject3.bin"/><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wmf"/><Relationship Id="rId100" Type="http://schemas.openxmlformats.org/officeDocument/2006/relationships/fontTable" Target="fontTable.xml"/><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51083</Words>
  <Characters>57220</Characters>
  <Lines>0</Lines>
  <Paragraphs>0</Paragraphs>
  <TotalTime>31</TotalTime>
  <ScaleCrop>false</ScaleCrop>
  <LinksUpToDate>false</LinksUpToDate>
  <CharactersWithSpaces>57449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2022-05-19T06:30:00Z</dcterms:created>
  <dc:creator>Dell</dc:creator>
  <cp:lastModifiedBy>Natus Vincere</cp:lastModifiedBy>
  <dcterms:modified xsi:type="dcterms:W3CDTF">2022-08-02T06:23:48Z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CBB9D4DCFD954C0E951AEF85C71A7392</vt:lpwstr>
  </property>
</Properties>
</file>