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4"/>
        <w:jc w:val="center"/>
        <w:rPr>
          <w:b/>
          <w:color w:val="auto"/>
          <w:sz w:val="52"/>
          <w:szCs w:val="52"/>
        </w:rPr>
      </w:pPr>
      <w:r>
        <w:rPr>
          <w:rFonts w:hint="eastAsia"/>
          <w:b/>
          <w:color w:val="auto"/>
          <w:sz w:val="52"/>
          <w:szCs w:val="52"/>
          <w:lang w:val="en-US" w:eastAsia="zh-CN"/>
        </w:rPr>
        <w:t xml:space="preserve"> </w:t>
      </w:r>
      <w:r>
        <w:rPr>
          <w:rFonts w:hint="eastAsia"/>
          <w:b/>
          <w:color w:val="auto"/>
          <w:sz w:val="52"/>
          <w:szCs w:val="52"/>
        </w:rPr>
        <w:t xml:space="preserve">     </w:t>
      </w:r>
    </w:p>
    <w:p>
      <w:pPr>
        <w:jc w:val="center"/>
        <w:rPr>
          <w:b/>
          <w:color w:val="auto"/>
          <w:sz w:val="52"/>
          <w:szCs w:val="52"/>
        </w:rPr>
      </w:pPr>
      <w:r>
        <w:rPr>
          <w:b/>
          <w:color w:val="auto"/>
          <w:sz w:val="52"/>
          <w:szCs w:val="52"/>
        </w:rPr>
        <w:t>福建省建设项目环境影响</w:t>
      </w:r>
    </w:p>
    <w:p>
      <w:pPr>
        <w:jc w:val="center"/>
        <w:rPr>
          <w:rFonts w:eastAsia="新宋体"/>
          <w:color w:val="auto"/>
        </w:rPr>
      </w:pPr>
      <w:r>
        <w:rPr>
          <w:b/>
          <w:color w:val="auto"/>
          <w:sz w:val="52"/>
          <w:szCs w:val="52"/>
        </w:rPr>
        <w:t>报    告    表</w:t>
      </w:r>
    </w:p>
    <w:p>
      <w:pPr>
        <w:jc w:val="center"/>
        <w:rPr>
          <w:color w:val="auto"/>
          <w:sz w:val="28"/>
          <w:szCs w:val="28"/>
        </w:rPr>
      </w:pPr>
      <w:r>
        <w:rPr>
          <w:color w:val="auto"/>
          <w:sz w:val="28"/>
          <w:szCs w:val="28"/>
        </w:rPr>
        <w:t>(适用于</w:t>
      </w:r>
      <w:r>
        <w:rPr>
          <w:rFonts w:hint="eastAsia"/>
          <w:color w:val="auto"/>
          <w:sz w:val="28"/>
          <w:szCs w:val="28"/>
        </w:rPr>
        <w:t>工业型</w:t>
      </w:r>
      <w:r>
        <w:rPr>
          <w:color w:val="auto"/>
          <w:sz w:val="28"/>
          <w:szCs w:val="28"/>
        </w:rPr>
        <w:t>建设项目)</w:t>
      </w:r>
    </w:p>
    <w:p>
      <w:pPr>
        <w:rPr>
          <w:rFonts w:eastAsia="新宋体"/>
          <w:color w:val="auto"/>
          <w:sz w:val="30"/>
        </w:rPr>
      </w:pPr>
    </w:p>
    <w:tbl>
      <w:tblPr>
        <w:tblStyle w:val="22"/>
        <w:tblW w:w="77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2"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项  目  名  称</w:t>
            </w:r>
          </w:p>
        </w:tc>
        <w:tc>
          <w:tcPr>
            <w:tcW w:w="5295" w:type="dxa"/>
            <w:tcBorders>
              <w:top w:val="nil"/>
              <w:left w:val="nil"/>
              <w:bottom w:val="nil"/>
              <w:right w:val="nil"/>
            </w:tcBorders>
            <w:vAlign w:val="center"/>
          </w:tcPr>
          <w:p>
            <w:pPr>
              <w:jc w:val="center"/>
              <w:rPr>
                <w:rFonts w:hint="eastAsia" w:eastAsia="宋体"/>
                <w:color w:val="auto"/>
                <w:sz w:val="28"/>
                <w:szCs w:val="28"/>
                <w:lang w:eastAsia="zh-CN"/>
              </w:rPr>
            </w:pPr>
            <w:r>
              <w:rPr>
                <w:rFonts w:hint="eastAsia"/>
                <w:color w:val="auto"/>
                <w:sz w:val="28"/>
                <w:szCs w:val="28"/>
                <w:lang w:eastAsia="zh-CN"/>
              </w:rPr>
              <w:t>各类金属元件表面处理项目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3"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建设单位(盖章)</w:t>
            </w:r>
          </w:p>
        </w:tc>
        <w:tc>
          <w:tcPr>
            <w:tcW w:w="5295" w:type="dxa"/>
            <w:tcBorders>
              <w:top w:val="single" w:color="auto" w:sz="6" w:space="0"/>
              <w:left w:val="nil"/>
              <w:bottom w:val="single" w:color="auto" w:sz="4" w:space="0"/>
              <w:right w:val="nil"/>
            </w:tcBorders>
            <w:vAlign w:val="center"/>
          </w:tcPr>
          <w:p>
            <w:pPr>
              <w:jc w:val="center"/>
              <w:rPr>
                <w:color w:val="auto"/>
                <w:sz w:val="28"/>
                <w:szCs w:val="28"/>
              </w:rPr>
            </w:pPr>
            <w:r>
              <w:rPr>
                <w:rFonts w:hint="eastAsia"/>
                <w:color w:val="auto"/>
                <w:sz w:val="28"/>
                <w:szCs w:val="28"/>
              </w:rPr>
              <w:t>福鼎市质达金属表面处理有限公司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3"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法  人  代  表</w:t>
            </w:r>
          </w:p>
        </w:tc>
        <w:tc>
          <w:tcPr>
            <w:tcW w:w="5295" w:type="dxa"/>
            <w:tcBorders>
              <w:top w:val="nil"/>
              <w:left w:val="nil"/>
              <w:bottom w:val="single" w:color="auto" w:sz="4" w:space="0"/>
              <w:right w:val="nil"/>
            </w:tcBorders>
            <w:vAlign w:val="center"/>
          </w:tcPr>
          <w:p>
            <w:pPr>
              <w:jc w:val="center"/>
              <w:rPr>
                <w:color w:val="auto"/>
                <w:sz w:val="28"/>
                <w:szCs w:val="28"/>
              </w:rPr>
            </w:pPr>
            <w:r>
              <w:rPr>
                <w:rFonts w:hint="eastAsia"/>
                <w:color w:val="auto"/>
                <w:sz w:val="28"/>
                <w:szCs w:val="28"/>
              </w:rPr>
              <w:t>高传清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(盖章或签字)</w:t>
            </w:r>
          </w:p>
        </w:tc>
        <w:tc>
          <w:tcPr>
            <w:tcW w:w="5295" w:type="dxa"/>
            <w:tcBorders>
              <w:top w:val="nil"/>
              <w:left w:val="nil"/>
              <w:bottom w:val="nil"/>
              <w:right w:val="nil"/>
            </w:tcBorders>
            <w:vAlign w:val="center"/>
          </w:tcPr>
          <w:p>
            <w:pPr>
              <w:ind w:firstLine="560"/>
              <w:jc w:val="cente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联    系    人</w:t>
            </w:r>
          </w:p>
        </w:tc>
        <w:tc>
          <w:tcPr>
            <w:tcW w:w="5295" w:type="dxa"/>
            <w:tcBorders>
              <w:top w:val="nil"/>
              <w:left w:val="nil"/>
              <w:bottom w:val="single" w:color="auto" w:sz="4" w:space="0"/>
              <w:right w:val="nil"/>
            </w:tcBorders>
            <w:vAlign w:val="center"/>
          </w:tcPr>
          <w:p>
            <w:pPr>
              <w:jc w:val="center"/>
              <w:rPr>
                <w:color w:val="auto"/>
                <w:sz w:val="28"/>
                <w:szCs w:val="28"/>
              </w:rPr>
            </w:pPr>
            <w:r>
              <w:rPr>
                <w:rFonts w:hint="eastAsia"/>
                <w:color w:val="auto"/>
                <w:sz w:val="28"/>
                <w:szCs w:val="28"/>
              </w:rPr>
              <w:t>高传清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联  系  电  话</w:t>
            </w:r>
          </w:p>
        </w:tc>
        <w:tc>
          <w:tcPr>
            <w:tcW w:w="5295" w:type="dxa"/>
            <w:tcBorders>
              <w:top w:val="nil"/>
              <w:left w:val="nil"/>
              <w:bottom w:val="single" w:color="auto" w:sz="4" w:space="0"/>
              <w:right w:val="nil"/>
            </w:tcBorders>
            <w:vAlign w:val="center"/>
          </w:tcPr>
          <w:p>
            <w:pPr>
              <w:jc w:val="center"/>
              <w:rPr>
                <w:color w:val="auto"/>
                <w:sz w:val="28"/>
                <w:szCs w:val="28"/>
              </w:rPr>
            </w:pPr>
            <w:r>
              <w:rPr>
                <w:rFonts w:hint="eastAsia"/>
                <w:color w:val="auto"/>
                <w:sz w:val="28"/>
                <w:szCs w:val="28"/>
              </w:rPr>
              <w:t>13599826370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jc w:val="center"/>
        </w:trPr>
        <w:tc>
          <w:tcPr>
            <w:tcW w:w="2451" w:type="dxa"/>
            <w:tcBorders>
              <w:top w:val="nil"/>
              <w:left w:val="nil"/>
              <w:bottom w:val="nil"/>
              <w:right w:val="nil"/>
            </w:tcBorders>
            <w:vAlign w:val="center"/>
          </w:tcPr>
          <w:p>
            <w:pPr>
              <w:jc w:val="center"/>
              <w:rPr>
                <w:color w:val="auto"/>
                <w:sz w:val="28"/>
                <w:szCs w:val="28"/>
              </w:rPr>
            </w:pPr>
            <w:r>
              <w:rPr>
                <w:color w:val="auto"/>
                <w:sz w:val="28"/>
                <w:szCs w:val="28"/>
              </w:rPr>
              <w:t>邮  政  编  码</w:t>
            </w:r>
          </w:p>
        </w:tc>
        <w:tc>
          <w:tcPr>
            <w:tcW w:w="5295" w:type="dxa"/>
            <w:tcBorders>
              <w:top w:val="nil"/>
              <w:left w:val="nil"/>
              <w:bottom w:val="single" w:color="auto" w:sz="4" w:space="0"/>
              <w:right w:val="nil"/>
            </w:tcBorders>
            <w:vAlign w:val="center"/>
          </w:tcPr>
          <w:p>
            <w:pPr>
              <w:spacing w:line="0" w:lineRule="atLeast"/>
              <w:jc w:val="center"/>
              <w:rPr>
                <w:color w:val="auto"/>
                <w:sz w:val="28"/>
                <w:szCs w:val="28"/>
              </w:rPr>
            </w:pPr>
            <w:r>
              <w:rPr>
                <w:rFonts w:hint="eastAsia"/>
                <w:color w:val="auto"/>
                <w:sz w:val="28"/>
                <w:szCs w:val="28"/>
              </w:rPr>
              <w:t>355209</w:t>
            </w:r>
          </w:p>
        </w:tc>
      </w:tr>
    </w:tbl>
    <w:p>
      <w:pPr>
        <w:ind w:firstLine="643"/>
        <w:rPr>
          <w:rFonts w:eastAsia="新宋体"/>
          <w:b/>
          <w:color w:val="auto"/>
          <w:sz w:val="32"/>
        </w:rPr>
      </w:pPr>
    </w:p>
    <w:tbl>
      <w:tblPr>
        <w:tblStyle w:val="22"/>
        <w:tblW w:w="7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5"/>
        <w:gridCol w:w="2843"/>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1" w:hRule="atLeast"/>
          <w:jc w:val="center"/>
        </w:trPr>
        <w:tc>
          <w:tcPr>
            <w:tcW w:w="2735" w:type="dxa"/>
            <w:vMerge w:val="restart"/>
            <w:vAlign w:val="center"/>
          </w:tcPr>
          <w:p>
            <w:pPr>
              <w:jc w:val="center"/>
              <w:rPr>
                <w:bCs/>
                <w:color w:val="auto"/>
                <w:sz w:val="28"/>
                <w:szCs w:val="28"/>
              </w:rPr>
            </w:pPr>
            <w:r>
              <w:rPr>
                <w:bCs/>
                <w:color w:val="auto"/>
                <w:sz w:val="28"/>
                <w:szCs w:val="28"/>
              </w:rPr>
              <w:t>环保部门填写</w:t>
            </w:r>
          </w:p>
        </w:tc>
        <w:tc>
          <w:tcPr>
            <w:tcW w:w="2843" w:type="dxa"/>
            <w:vAlign w:val="center"/>
          </w:tcPr>
          <w:p>
            <w:pPr>
              <w:jc w:val="center"/>
              <w:rPr>
                <w:bCs/>
                <w:color w:val="auto"/>
                <w:sz w:val="28"/>
                <w:szCs w:val="28"/>
              </w:rPr>
            </w:pPr>
            <w:r>
              <w:rPr>
                <w:bCs/>
                <w:color w:val="auto"/>
                <w:sz w:val="28"/>
                <w:szCs w:val="28"/>
              </w:rPr>
              <w:t>收到报告表日期</w:t>
            </w:r>
          </w:p>
        </w:tc>
        <w:tc>
          <w:tcPr>
            <w:tcW w:w="2114" w:type="dxa"/>
            <w:vAlign w:val="center"/>
          </w:tcPr>
          <w:p>
            <w:pPr>
              <w:ind w:firstLine="560"/>
              <w:jc w:val="center"/>
              <w:rPr>
                <w:bCs/>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atLeast"/>
          <w:jc w:val="center"/>
        </w:trPr>
        <w:tc>
          <w:tcPr>
            <w:tcW w:w="2735" w:type="dxa"/>
            <w:vMerge w:val="continue"/>
            <w:vAlign w:val="center"/>
          </w:tcPr>
          <w:p>
            <w:pPr>
              <w:ind w:firstLine="560"/>
              <w:jc w:val="center"/>
              <w:rPr>
                <w:bCs/>
                <w:color w:val="auto"/>
                <w:sz w:val="28"/>
                <w:szCs w:val="28"/>
              </w:rPr>
            </w:pPr>
          </w:p>
        </w:tc>
        <w:tc>
          <w:tcPr>
            <w:tcW w:w="2843" w:type="dxa"/>
            <w:vAlign w:val="center"/>
          </w:tcPr>
          <w:p>
            <w:pPr>
              <w:jc w:val="center"/>
              <w:rPr>
                <w:bCs/>
                <w:color w:val="auto"/>
                <w:sz w:val="28"/>
                <w:szCs w:val="28"/>
              </w:rPr>
            </w:pPr>
            <w:r>
              <w:rPr>
                <w:bCs/>
                <w:color w:val="auto"/>
                <w:sz w:val="28"/>
                <w:szCs w:val="28"/>
              </w:rPr>
              <w:t>编    号</w:t>
            </w:r>
          </w:p>
        </w:tc>
        <w:tc>
          <w:tcPr>
            <w:tcW w:w="2114" w:type="dxa"/>
            <w:vAlign w:val="center"/>
          </w:tcPr>
          <w:p>
            <w:pPr>
              <w:ind w:firstLine="560"/>
              <w:jc w:val="center"/>
              <w:rPr>
                <w:bCs/>
                <w:color w:val="auto"/>
                <w:sz w:val="28"/>
                <w:szCs w:val="28"/>
              </w:rPr>
            </w:pPr>
          </w:p>
        </w:tc>
      </w:tr>
    </w:tbl>
    <w:p>
      <w:pPr>
        <w:ind w:firstLine="643"/>
        <w:rPr>
          <w:rFonts w:eastAsia="新宋体"/>
          <w:b/>
          <w:color w:val="auto"/>
          <w:sz w:val="32"/>
        </w:rPr>
      </w:pPr>
    </w:p>
    <w:p>
      <w:pPr>
        <w:jc w:val="center"/>
        <w:rPr>
          <w:b/>
          <w:color w:val="auto"/>
          <w:sz w:val="30"/>
          <w:szCs w:val="30"/>
        </w:rPr>
      </w:pPr>
      <w:r>
        <w:rPr>
          <w:b/>
          <w:color w:val="auto"/>
          <w:sz w:val="30"/>
          <w:szCs w:val="30"/>
        </w:rPr>
        <w:t xml:space="preserve">福 建 省 环 境 保 护 </w:t>
      </w:r>
      <w:r>
        <w:rPr>
          <w:rFonts w:hint="eastAsia"/>
          <w:b/>
          <w:color w:val="auto"/>
          <w:sz w:val="30"/>
          <w:szCs w:val="30"/>
        </w:rPr>
        <w:t>厅</w:t>
      </w:r>
      <w:r>
        <w:rPr>
          <w:b/>
          <w:color w:val="auto"/>
          <w:sz w:val="30"/>
          <w:szCs w:val="30"/>
        </w:rPr>
        <w:t xml:space="preserve"> 制</w:t>
      </w:r>
    </w:p>
    <w:p>
      <w:pPr>
        <w:ind w:firstLine="480"/>
        <w:rPr>
          <w:color w:val="auto"/>
        </w:rPr>
      </w:pPr>
    </w:p>
    <w:p>
      <w:pPr>
        <w:ind w:firstLine="480"/>
        <w:rPr>
          <w:color w:val="auto"/>
        </w:rPr>
      </w:pPr>
    </w:p>
    <w:p>
      <w:pPr>
        <w:widowControl/>
        <w:jc w:val="center"/>
        <w:rPr>
          <w:rFonts w:ascii="宋体" w:hAnsi="宋体" w:cs="宋体"/>
          <w:color w:val="auto"/>
          <w:kern w:val="0"/>
        </w:rPr>
        <w:sectPr>
          <w:headerReference r:id="rId5" w:type="first"/>
          <w:footerReference r:id="rId8" w:type="first"/>
          <w:headerReference r:id="rId3" w:type="default"/>
          <w:footerReference r:id="rId6" w:type="default"/>
          <w:headerReference r:id="rId4" w:type="even"/>
          <w:footerReference r:id="rId7" w:type="even"/>
          <w:pgSz w:w="11906" w:h="16838"/>
          <w:pgMar w:top="1417" w:right="1417" w:bottom="1417" w:left="1417" w:header="851" w:footer="992" w:gutter="0"/>
          <w:pgBorders>
            <w:top w:val="none" w:sz="0" w:space="0"/>
            <w:left w:val="none" w:sz="0" w:space="0"/>
            <w:bottom w:val="none" w:sz="0" w:space="0"/>
            <w:right w:val="none" w:sz="0" w:space="0"/>
          </w:pgBorders>
          <w:cols w:space="0" w:num="1"/>
          <w:docGrid w:linePitch="312" w:charSpace="0"/>
        </w:sectPr>
      </w:pPr>
    </w:p>
    <w:p>
      <w:pPr>
        <w:pStyle w:val="82"/>
        <w:adjustRightInd w:val="0"/>
        <w:snapToGrid w:val="0"/>
        <w:spacing w:beforeAutospacing="0" w:afterAutospacing="0"/>
        <w:jc w:val="center"/>
        <w:rPr>
          <w:rFonts w:hint="default" w:ascii="Times New Roman" w:hAnsi="Times New Roman"/>
          <w:b/>
          <w:bCs/>
          <w:snapToGrid w:val="0"/>
          <w:color w:val="auto"/>
          <w:sz w:val="38"/>
          <w:szCs w:val="38"/>
        </w:rPr>
      </w:pPr>
      <w:r>
        <w:rPr>
          <w:rFonts w:hint="default" w:ascii="Times New Roman" w:hAnsi="Times New Roman"/>
          <w:b/>
          <w:bCs/>
          <w:snapToGrid w:val="0"/>
          <w:color w:val="auto"/>
          <w:sz w:val="38"/>
          <w:szCs w:val="38"/>
        </w:rPr>
        <w:t>编制单位和编制人员情况表</w:t>
      </w:r>
      <w:bookmarkStart w:id="58" w:name="_GoBack"/>
      <w:bookmarkEnd w:id="58"/>
    </w:p>
    <w:p>
      <w:pPr>
        <w:pStyle w:val="82"/>
        <w:adjustRightInd w:val="0"/>
        <w:snapToGrid w:val="0"/>
        <w:spacing w:beforeAutospacing="0" w:afterAutospacing="0" w:line="408" w:lineRule="auto"/>
        <w:jc w:val="center"/>
        <w:rPr>
          <w:rFonts w:hint="default" w:ascii="Times New Roman" w:hAnsi="Times New Roman"/>
          <w:snapToGrid w:val="0"/>
          <w:color w:val="auto"/>
          <w:sz w:val="32"/>
          <w:szCs w:val="32"/>
        </w:rPr>
      </w:pPr>
    </w:p>
    <w:tbl>
      <w:tblPr>
        <w:tblStyle w:val="22"/>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269"/>
        <w:gridCol w:w="991"/>
        <w:gridCol w:w="1843"/>
        <w:gridCol w:w="1134"/>
        <w:gridCol w:w="1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建设项目名称</w:t>
            </w:r>
          </w:p>
        </w:tc>
        <w:tc>
          <w:tcPr>
            <w:tcW w:w="5265" w:type="dxa"/>
            <w:gridSpan w:val="4"/>
            <w:vAlign w:val="center"/>
          </w:tcPr>
          <w:p>
            <w:pPr>
              <w:pStyle w:val="82"/>
              <w:widowControl w:val="0"/>
              <w:adjustRightInd w:val="0"/>
              <w:snapToGrid w:val="0"/>
              <w:spacing w:beforeAutospacing="0" w:afterAutospacing="0"/>
              <w:jc w:val="both"/>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各类金属元件表面处理项目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环境影响评价文件类型</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环境影响报告</w:t>
            </w:r>
            <w:r>
              <w:rPr>
                <w:rFonts w:ascii="Times New Roman" w:hAnsi="Times New Roman"/>
                <w:color w:val="auto"/>
                <w:sz w:val="21"/>
                <w:szCs w:val="21"/>
              </w:rPr>
              <w:t>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60" w:type="dxa"/>
            <w:gridSpan w:val="6"/>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建设单位（签章）</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ascii="Times New Roman" w:hAnsi="Times New Roman"/>
                <w:color w:val="auto"/>
                <w:sz w:val="21"/>
                <w:szCs w:val="21"/>
              </w:rPr>
              <w:t>福鼎市质达金属表面处理有限公司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法定代表人或主要负责人（签字）</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主管人员及联系电话</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高传清 13599826370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60" w:type="dxa"/>
            <w:gridSpan w:val="6"/>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主持编制单位名称（签章）</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福建省环境保护股份公司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社会信用代码</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913500001581496573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法定代表人（签字）</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60" w:type="dxa"/>
            <w:gridSpan w:val="6"/>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3795" w:type="dxa"/>
            <w:gridSpan w:val="2"/>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编制主持人及联系电话</w:t>
            </w:r>
          </w:p>
        </w:tc>
        <w:tc>
          <w:tcPr>
            <w:tcW w:w="5265" w:type="dxa"/>
            <w:gridSpan w:val="4"/>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ascii="Times New Roman" w:hAnsi="Times New Roman"/>
                <w:color w:val="auto"/>
                <w:sz w:val="21"/>
                <w:szCs w:val="21"/>
              </w:rPr>
              <w:t>姜宁</w:t>
            </w:r>
            <w:r>
              <w:rPr>
                <w:rFonts w:hint="default" w:ascii="Times New Roman" w:hAnsi="Times New Roman"/>
                <w:color w:val="auto"/>
                <w:sz w:val="21"/>
                <w:szCs w:val="21"/>
              </w:rPr>
              <w:t xml:space="preserve">  0591-28081888</w:t>
            </w:r>
            <w:r>
              <w:rPr>
                <w:rFonts w:ascii="Times New Roman" w:hAnsi="Times New Roman"/>
                <w:color w:val="auto"/>
                <w:sz w:val="21"/>
                <w:szCs w:val="21"/>
              </w:rPr>
              <w:t>转</w:t>
            </w:r>
            <w:r>
              <w:rPr>
                <w:rFonts w:hint="default" w:ascii="Times New Roman" w:hAnsi="Times New Roman"/>
                <w:color w:val="auto"/>
                <w:sz w:val="21"/>
                <w:szCs w:val="21"/>
              </w:rPr>
              <w:t>28</w:t>
            </w:r>
            <w:r>
              <w:rPr>
                <w:rFonts w:ascii="Times New Roman" w:hAnsi="Times New Roman"/>
                <w:color w:val="auto"/>
                <w:sz w:val="21"/>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60" w:type="dxa"/>
            <w:gridSpan w:val="6"/>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26"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姓名</w:t>
            </w:r>
          </w:p>
        </w:tc>
        <w:tc>
          <w:tcPr>
            <w:tcW w:w="5103" w:type="dxa"/>
            <w:gridSpan w:val="3"/>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职业资格证书编号</w:t>
            </w:r>
          </w:p>
        </w:tc>
        <w:tc>
          <w:tcPr>
            <w:tcW w:w="2431"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26"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ascii="Times New Roman" w:hAnsi="Times New Roman"/>
                <w:color w:val="auto"/>
                <w:sz w:val="21"/>
                <w:szCs w:val="21"/>
              </w:rPr>
              <w:t>姜宁</w:t>
            </w:r>
          </w:p>
        </w:tc>
        <w:tc>
          <w:tcPr>
            <w:tcW w:w="5103" w:type="dxa"/>
            <w:gridSpan w:val="3"/>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201805035350000007</w:t>
            </w:r>
          </w:p>
        </w:tc>
        <w:tc>
          <w:tcPr>
            <w:tcW w:w="2431"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060" w:type="dxa"/>
            <w:gridSpan w:val="6"/>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26"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姓名</w:t>
            </w:r>
          </w:p>
        </w:tc>
        <w:tc>
          <w:tcPr>
            <w:tcW w:w="3260"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职业资格证书编号</w:t>
            </w:r>
          </w:p>
        </w:tc>
        <w:tc>
          <w:tcPr>
            <w:tcW w:w="2977"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主要编写内容</w:t>
            </w:r>
          </w:p>
        </w:tc>
        <w:tc>
          <w:tcPr>
            <w:tcW w:w="1297"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9" w:hRule="exact"/>
          <w:jc w:val="center"/>
        </w:trPr>
        <w:tc>
          <w:tcPr>
            <w:tcW w:w="1526"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ascii="Times New Roman" w:hAnsi="Times New Roman"/>
                <w:color w:val="auto"/>
                <w:sz w:val="21"/>
                <w:szCs w:val="21"/>
              </w:rPr>
              <w:t>姜宁</w:t>
            </w:r>
          </w:p>
        </w:tc>
        <w:tc>
          <w:tcPr>
            <w:tcW w:w="3260"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201805035350000007</w:t>
            </w:r>
          </w:p>
        </w:tc>
        <w:tc>
          <w:tcPr>
            <w:tcW w:w="2977"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ascii="Times New Roman" w:hAnsi="Times New Roman"/>
                <w:color w:val="auto"/>
                <w:sz w:val="21"/>
                <w:szCs w:val="21"/>
              </w:rPr>
              <w:t>全部内容</w:t>
            </w:r>
          </w:p>
        </w:tc>
        <w:tc>
          <w:tcPr>
            <w:tcW w:w="1297"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526" w:type="dxa"/>
            <w:vAlign w:val="center"/>
          </w:tcPr>
          <w:p>
            <w:pPr>
              <w:pStyle w:val="82"/>
              <w:widowControl w:val="0"/>
              <w:adjustRightInd w:val="0"/>
              <w:snapToGrid w:val="0"/>
              <w:spacing w:beforeAutospacing="0" w:afterAutospacing="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吴端桂</w:t>
            </w:r>
          </w:p>
        </w:tc>
        <w:tc>
          <w:tcPr>
            <w:tcW w:w="3260"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eastAsia="宋体" w:cs="Times New Roman"/>
                <w:color w:val="auto"/>
                <w:kern w:val="2"/>
                <w:sz w:val="21"/>
                <w:szCs w:val="21"/>
                <w:lang w:val="en-US" w:eastAsia="zh-CN" w:bidi="ar-SA"/>
              </w:rPr>
              <w:t>0000725</w:t>
            </w:r>
          </w:p>
        </w:tc>
        <w:tc>
          <w:tcPr>
            <w:tcW w:w="2977"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r>
              <w:rPr>
                <w:rFonts w:hint="default" w:ascii="Times New Roman" w:hAnsi="Times New Roman"/>
                <w:color w:val="auto"/>
                <w:sz w:val="21"/>
                <w:szCs w:val="21"/>
              </w:rPr>
              <w:t>审核</w:t>
            </w:r>
          </w:p>
        </w:tc>
        <w:tc>
          <w:tcPr>
            <w:tcW w:w="1297"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8" w:hRule="exact"/>
          <w:jc w:val="center"/>
        </w:trPr>
        <w:tc>
          <w:tcPr>
            <w:tcW w:w="1526" w:type="dxa"/>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p>
        </w:tc>
        <w:tc>
          <w:tcPr>
            <w:tcW w:w="3260"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p>
        </w:tc>
        <w:tc>
          <w:tcPr>
            <w:tcW w:w="2977" w:type="dxa"/>
            <w:gridSpan w:val="2"/>
            <w:vAlign w:val="center"/>
          </w:tcPr>
          <w:p>
            <w:pPr>
              <w:pStyle w:val="82"/>
              <w:widowControl w:val="0"/>
              <w:adjustRightInd w:val="0"/>
              <w:snapToGrid w:val="0"/>
              <w:spacing w:beforeAutospacing="0" w:afterAutospacing="0"/>
              <w:jc w:val="center"/>
              <w:rPr>
                <w:rFonts w:hint="default" w:ascii="Times New Roman" w:hAnsi="Times New Roman"/>
                <w:color w:val="auto"/>
                <w:sz w:val="21"/>
                <w:szCs w:val="21"/>
              </w:rPr>
            </w:pPr>
          </w:p>
        </w:tc>
        <w:tc>
          <w:tcPr>
            <w:tcW w:w="1297" w:type="dxa"/>
            <w:vAlign w:val="center"/>
          </w:tcPr>
          <w:p>
            <w:pPr>
              <w:pStyle w:val="82"/>
              <w:widowControl w:val="0"/>
              <w:adjustRightInd w:val="0"/>
              <w:snapToGrid w:val="0"/>
              <w:spacing w:beforeAutospacing="0" w:afterAutospacing="0"/>
              <w:jc w:val="both"/>
              <w:rPr>
                <w:rFonts w:hint="default"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79" w:hRule="atLeast"/>
          <w:jc w:val="center"/>
        </w:trPr>
        <w:tc>
          <w:tcPr>
            <w:tcW w:w="9060" w:type="dxa"/>
            <w:gridSpan w:val="6"/>
          </w:tcPr>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四、参与编制单位和人员情况</w:t>
            </w:r>
          </w:p>
          <w:p>
            <w:pPr>
              <w:pStyle w:val="82"/>
              <w:widowControl w:val="0"/>
              <w:adjustRightInd w:val="0"/>
              <w:snapToGrid w:val="0"/>
              <w:spacing w:beforeAutospacing="0" w:afterAutospacing="0"/>
              <w:jc w:val="both"/>
              <w:rPr>
                <w:rFonts w:hint="default" w:ascii="Times New Roman" w:hAnsi="Times New Roman"/>
                <w:color w:val="auto"/>
                <w:sz w:val="21"/>
                <w:szCs w:val="21"/>
              </w:rPr>
            </w:pPr>
            <w:r>
              <w:rPr>
                <w:rFonts w:hint="default" w:ascii="Times New Roman" w:hAnsi="Times New Roman"/>
                <w:color w:val="auto"/>
                <w:sz w:val="21"/>
                <w:szCs w:val="21"/>
              </w:rPr>
              <w:t>无</w:t>
            </w:r>
          </w:p>
        </w:tc>
      </w:tr>
    </w:tbl>
    <w:p>
      <w:pPr>
        <w:rPr>
          <w:color w:val="auto"/>
        </w:rPr>
        <w:sectPr>
          <w:headerReference r:id="rId9" w:type="default"/>
          <w:footerReference r:id="rId10"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1"/>
        <w:adjustRightInd w:val="0"/>
        <w:snapToGrid w:val="0"/>
        <w:spacing w:line="360" w:lineRule="auto"/>
        <w:rPr>
          <w:rFonts w:ascii="Times New Roman" w:hAnsi="Times New Roman"/>
          <w:color w:val="auto"/>
        </w:rPr>
      </w:pPr>
      <w:r>
        <w:rPr>
          <w:rFonts w:hint="eastAsia" w:ascii="Times New Roman" w:hAnsi="Times New Roman"/>
          <w:color w:val="auto"/>
        </w:rPr>
        <w:t>一、项目基本情况</w:t>
      </w:r>
    </w:p>
    <w:tbl>
      <w:tblPr>
        <w:tblStyle w:val="22"/>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273"/>
        <w:gridCol w:w="452"/>
        <w:gridCol w:w="1230"/>
        <w:gridCol w:w="1470"/>
        <w:gridCol w:w="1558"/>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项目名称</w:t>
            </w:r>
          </w:p>
        </w:tc>
        <w:tc>
          <w:tcPr>
            <w:tcW w:w="7695" w:type="dxa"/>
            <w:gridSpan w:val="6"/>
            <w:vAlign w:val="center"/>
          </w:tcPr>
          <w:p>
            <w:pPr>
              <w:pStyle w:val="13"/>
              <w:adjustRightInd w:val="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eastAsia="zh-CN"/>
              </w:rPr>
              <w:t>各类金属元件表面处理项目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建设单位</w:t>
            </w:r>
          </w:p>
        </w:tc>
        <w:tc>
          <w:tcPr>
            <w:tcW w:w="7695" w:type="dxa"/>
            <w:gridSpan w:val="6"/>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福鼎市质达金属表面处理有限公司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建设地点</w:t>
            </w:r>
          </w:p>
        </w:tc>
        <w:tc>
          <w:tcPr>
            <w:tcW w:w="7695" w:type="dxa"/>
            <w:gridSpan w:val="6"/>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福鼎市文渡项目区银川路10~12号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建设依据</w:t>
            </w:r>
          </w:p>
        </w:tc>
        <w:tc>
          <w:tcPr>
            <w:tcW w:w="2955" w:type="dxa"/>
            <w:gridSpan w:val="3"/>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闽经信备[2019]J030002号</w:t>
            </w:r>
          </w:p>
        </w:tc>
        <w:tc>
          <w:tcPr>
            <w:tcW w:w="1470"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主管部门</w:t>
            </w:r>
          </w:p>
        </w:tc>
        <w:tc>
          <w:tcPr>
            <w:tcW w:w="3270" w:type="dxa"/>
            <w:gridSpan w:val="2"/>
            <w:vAlign w:val="center"/>
          </w:tcPr>
          <w:p>
            <w:pPr>
              <w:pStyle w:val="13"/>
              <w:adjustRightInd w:val="0"/>
              <w:jc w:val="center"/>
              <w:rPr>
                <w:rFonts w:ascii="Times New Roman" w:hAnsi="Times New Roman"/>
                <w:color w:val="auto"/>
                <w:kern w:val="2"/>
                <w:sz w:val="24"/>
                <w:szCs w:val="24"/>
              </w:rPr>
            </w:pPr>
            <w:r>
              <w:rPr>
                <w:rFonts w:hint="eastAsia" w:ascii="Times New Roman" w:hAnsi="Times New Roman" w:eastAsia="宋体"/>
                <w:color w:val="auto"/>
                <w:kern w:val="2"/>
                <w:sz w:val="24"/>
                <w:szCs w:val="24"/>
              </w:rPr>
              <w:t>福鼎市经济和信息化局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建设性质</w:t>
            </w:r>
          </w:p>
        </w:tc>
        <w:tc>
          <w:tcPr>
            <w:tcW w:w="2955" w:type="dxa"/>
            <w:gridSpan w:val="3"/>
            <w:vAlign w:val="center"/>
          </w:tcPr>
          <w:p>
            <w:pPr>
              <w:pStyle w:val="13"/>
              <w:adjustRightInd w:val="0"/>
              <w:jc w:val="center"/>
              <w:rPr>
                <w:rFonts w:hint="eastAsia" w:ascii="Times New Roman" w:hAnsi="Times New Roman" w:eastAsia="宋体"/>
                <w:bCs/>
                <w:color w:val="auto"/>
                <w:kern w:val="2"/>
                <w:sz w:val="24"/>
                <w:szCs w:val="24"/>
                <w:lang w:eastAsia="zh-CN"/>
              </w:rPr>
            </w:pPr>
            <w:r>
              <w:rPr>
                <w:rFonts w:hint="eastAsia" w:ascii="Times New Roman" w:hAnsi="Times New Roman" w:eastAsia="宋体"/>
                <w:bCs/>
                <w:color w:val="auto"/>
                <w:kern w:val="2"/>
                <w:sz w:val="24"/>
                <w:szCs w:val="24"/>
                <w:lang w:eastAsia="zh-CN"/>
              </w:rPr>
              <w:t>技改</w:t>
            </w:r>
          </w:p>
        </w:tc>
        <w:tc>
          <w:tcPr>
            <w:tcW w:w="1470"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行业代码</w:t>
            </w:r>
          </w:p>
        </w:tc>
        <w:tc>
          <w:tcPr>
            <w:tcW w:w="3270" w:type="dxa"/>
            <w:gridSpan w:val="2"/>
            <w:vAlign w:val="center"/>
          </w:tcPr>
          <w:p>
            <w:pPr>
              <w:pStyle w:val="13"/>
              <w:adjustRightInd w:val="0"/>
              <w:jc w:val="center"/>
              <w:rPr>
                <w:rFonts w:ascii="Times New Roman" w:hAnsi="Times New Roman" w:eastAsia="宋体"/>
                <w:color w:val="auto"/>
                <w:kern w:val="2"/>
                <w:sz w:val="24"/>
                <w:szCs w:val="24"/>
              </w:rPr>
            </w:pPr>
            <w:r>
              <w:rPr>
                <w:rFonts w:ascii="Times New Roman" w:hAnsi="Times New Roman" w:eastAsia="宋体"/>
                <w:color w:val="auto"/>
                <w:kern w:val="2"/>
                <w:sz w:val="24"/>
                <w:szCs w:val="24"/>
              </w:rPr>
              <w:t>C3</w:t>
            </w:r>
            <w:r>
              <w:rPr>
                <w:rFonts w:hint="eastAsia" w:ascii="Times New Roman" w:hAnsi="Times New Roman" w:eastAsia="宋体"/>
                <w:color w:val="auto"/>
                <w:kern w:val="2"/>
                <w:sz w:val="24"/>
                <w:szCs w:val="24"/>
              </w:rPr>
              <w:t>360金属表面处理及热处理加工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工程规模</w:t>
            </w:r>
          </w:p>
        </w:tc>
        <w:tc>
          <w:tcPr>
            <w:tcW w:w="2955" w:type="dxa"/>
            <w:gridSpan w:val="3"/>
            <w:vAlign w:val="center"/>
          </w:tcPr>
          <w:p>
            <w:pPr>
              <w:pStyle w:val="13"/>
              <w:adjustRightInd w:val="0"/>
              <w:jc w:val="center"/>
              <w:rPr>
                <w:rFonts w:hint="default" w:ascii="Times New Roman" w:hAnsi="Times New Roman" w:eastAsia="仿宋_GB2312"/>
                <w:color w:val="auto"/>
                <w:kern w:val="2"/>
                <w:sz w:val="24"/>
                <w:szCs w:val="24"/>
                <w:lang w:val="en-US" w:eastAsia="zh-CN"/>
              </w:rPr>
            </w:pPr>
            <w:r>
              <w:rPr>
                <w:rFonts w:hint="eastAsia" w:ascii="Times New Roman" w:hAnsi="Times New Roman" w:eastAsia="宋体"/>
                <w:color w:val="auto"/>
                <w:kern w:val="2"/>
                <w:sz w:val="24"/>
                <w:szCs w:val="24"/>
              </w:rPr>
              <w:t>400</w:t>
            </w:r>
            <w:r>
              <w:rPr>
                <w:rFonts w:hint="eastAsia" w:ascii="Times New Roman" w:hAnsi="Times New Roman" w:eastAsia="宋体"/>
                <w:color w:val="auto"/>
                <w:kern w:val="2"/>
                <w:sz w:val="24"/>
                <w:szCs w:val="24"/>
                <w:lang w:val="en-US" w:eastAsia="zh-CN"/>
              </w:rPr>
              <w:t>t/a</w:t>
            </w:r>
            <w:r>
              <w:rPr>
                <w:rFonts w:hint="eastAsia" w:ascii="Times New Roman" w:hAnsi="Times New Roman" w:eastAsia="宋体"/>
                <w:color w:val="auto"/>
                <w:kern w:val="2"/>
                <w:sz w:val="24"/>
                <w:szCs w:val="24"/>
              </w:rPr>
              <w:t>化油器表面处理</w:t>
            </w:r>
          </w:p>
        </w:tc>
        <w:tc>
          <w:tcPr>
            <w:tcW w:w="1470"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总规模</w:t>
            </w:r>
          </w:p>
        </w:tc>
        <w:tc>
          <w:tcPr>
            <w:tcW w:w="3270" w:type="dxa"/>
            <w:gridSpan w:val="2"/>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400</w:t>
            </w:r>
            <w:r>
              <w:rPr>
                <w:rFonts w:hint="eastAsia" w:ascii="Times New Roman" w:hAnsi="Times New Roman" w:eastAsia="宋体"/>
                <w:color w:val="auto"/>
                <w:kern w:val="2"/>
                <w:sz w:val="24"/>
                <w:szCs w:val="24"/>
                <w:lang w:val="en-US" w:eastAsia="zh-CN"/>
              </w:rPr>
              <w:t>t/a</w:t>
            </w:r>
            <w:r>
              <w:rPr>
                <w:rFonts w:hint="eastAsia" w:ascii="Times New Roman" w:hAnsi="Times New Roman" w:eastAsia="宋体"/>
                <w:color w:val="auto"/>
                <w:kern w:val="2"/>
                <w:sz w:val="24"/>
                <w:szCs w:val="24"/>
              </w:rPr>
              <w:t>化油器表面处理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总投资</w:t>
            </w:r>
          </w:p>
        </w:tc>
        <w:tc>
          <w:tcPr>
            <w:tcW w:w="2955" w:type="dxa"/>
            <w:gridSpan w:val="3"/>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380万元</w:t>
            </w:r>
          </w:p>
        </w:tc>
        <w:tc>
          <w:tcPr>
            <w:tcW w:w="1470"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环保投资</w:t>
            </w:r>
          </w:p>
        </w:tc>
        <w:tc>
          <w:tcPr>
            <w:tcW w:w="3270" w:type="dxa"/>
            <w:gridSpan w:val="2"/>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67.2万元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主要产品</w:t>
            </w:r>
          </w:p>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名称</w:t>
            </w:r>
          </w:p>
        </w:tc>
        <w:tc>
          <w:tcPr>
            <w:tcW w:w="1725" w:type="dxa"/>
            <w:gridSpan w:val="2"/>
            <w:vAlign w:val="center"/>
          </w:tcPr>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产品产量</w:t>
            </w:r>
          </w:p>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（规模）</w:t>
            </w:r>
          </w:p>
        </w:tc>
        <w:tc>
          <w:tcPr>
            <w:tcW w:w="1230" w:type="dxa"/>
            <w:vAlign w:val="center"/>
          </w:tcPr>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主要原辅</w:t>
            </w:r>
          </w:p>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材料名称</w:t>
            </w:r>
          </w:p>
        </w:tc>
        <w:tc>
          <w:tcPr>
            <w:tcW w:w="1470" w:type="dxa"/>
            <w:vAlign w:val="center"/>
          </w:tcPr>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主要原辅材料现状用量</w:t>
            </w:r>
          </w:p>
        </w:tc>
        <w:tc>
          <w:tcPr>
            <w:tcW w:w="1558" w:type="dxa"/>
            <w:vAlign w:val="center"/>
          </w:tcPr>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主要原辅材料新增用量</w:t>
            </w:r>
          </w:p>
        </w:tc>
        <w:tc>
          <w:tcPr>
            <w:tcW w:w="1712" w:type="dxa"/>
            <w:vAlign w:val="center"/>
          </w:tcPr>
          <w:p>
            <w:pPr>
              <w:pStyle w:val="13"/>
              <w:adjustRightInd w:val="0"/>
              <w:snapToGri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主要原辅材料预计总用量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化油器</w:t>
            </w:r>
          </w:p>
        </w:tc>
        <w:tc>
          <w:tcPr>
            <w:tcW w:w="1725" w:type="dxa"/>
            <w:gridSpan w:val="2"/>
            <w:vAlign w:val="center"/>
          </w:tcPr>
          <w:p>
            <w:pPr>
              <w:pStyle w:val="13"/>
              <w:adjustRightInd w:val="0"/>
              <w:jc w:val="center"/>
              <w:rPr>
                <w:rFonts w:hint="default" w:ascii="Times New Roman" w:hAnsi="Times New Roman" w:eastAsia="仿宋_GB2312"/>
                <w:color w:val="auto"/>
                <w:kern w:val="2"/>
                <w:sz w:val="24"/>
                <w:szCs w:val="24"/>
                <w:lang w:val="en-US" w:eastAsia="zh-CN"/>
              </w:rPr>
            </w:pPr>
            <w:r>
              <w:rPr>
                <w:rFonts w:hint="default" w:ascii="Times New Roman" w:hAnsi="Times New Roman" w:eastAsia="宋体" w:cs="Times New Roman"/>
                <w:color w:val="auto"/>
                <w:kern w:val="2"/>
                <w:sz w:val="24"/>
                <w:szCs w:val="24"/>
              </w:rPr>
              <w:t>400t</w:t>
            </w:r>
            <w:r>
              <w:rPr>
                <w:rFonts w:hint="default" w:ascii="Times New Roman" w:hAnsi="Times New Roman" w:cs="Times New Roman"/>
                <w:color w:val="auto"/>
                <w:lang w:val="en-US" w:eastAsia="zh-CN"/>
              </w:rPr>
              <w:t>/a</w:t>
            </w:r>
          </w:p>
        </w:tc>
        <w:tc>
          <w:tcPr>
            <w:tcW w:w="1230" w:type="dxa"/>
            <w:vAlign w:val="center"/>
          </w:tcPr>
          <w:p>
            <w:pPr>
              <w:pStyle w:val="41"/>
              <w:rPr>
                <w:color w:val="auto"/>
                <w:sz w:val="24"/>
              </w:rPr>
            </w:pPr>
            <w:r>
              <w:rPr>
                <w:color w:val="auto"/>
              </w:rPr>
              <w:t>工业硫酸</w:t>
            </w:r>
          </w:p>
        </w:tc>
        <w:tc>
          <w:tcPr>
            <w:tcW w:w="1470" w:type="dxa"/>
            <w:vAlign w:val="center"/>
          </w:tcPr>
          <w:p>
            <w:pPr>
              <w:pStyle w:val="41"/>
              <w:rPr>
                <w:color w:val="auto"/>
                <w:sz w:val="24"/>
              </w:rPr>
            </w:pPr>
            <w:r>
              <w:rPr>
                <w:color w:val="auto"/>
              </w:rPr>
              <w:t>26.25t/a</w:t>
            </w:r>
          </w:p>
        </w:tc>
        <w:tc>
          <w:tcPr>
            <w:tcW w:w="1558"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0</w:t>
            </w:r>
          </w:p>
        </w:tc>
        <w:tc>
          <w:tcPr>
            <w:tcW w:w="1712" w:type="dxa"/>
            <w:vAlign w:val="center"/>
          </w:tcPr>
          <w:p>
            <w:pPr>
              <w:pStyle w:val="41"/>
              <w:rPr>
                <w:color w:val="auto"/>
                <w:sz w:val="24"/>
              </w:rPr>
            </w:pPr>
            <w:r>
              <w:rPr>
                <w:color w:val="auto"/>
              </w:rPr>
              <w:t>26.25t/a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除油粉</w:t>
            </w:r>
          </w:p>
        </w:tc>
        <w:tc>
          <w:tcPr>
            <w:tcW w:w="1470" w:type="dxa"/>
            <w:vAlign w:val="center"/>
          </w:tcPr>
          <w:p>
            <w:pPr>
              <w:pStyle w:val="41"/>
              <w:rPr>
                <w:color w:val="auto"/>
                <w:sz w:val="24"/>
              </w:rPr>
            </w:pPr>
            <w:r>
              <w:rPr>
                <w:rFonts w:hint="eastAsia"/>
                <w:color w:val="auto"/>
              </w:rPr>
              <w:t>2.4</w:t>
            </w:r>
            <w:r>
              <w:rPr>
                <w:color w:val="auto"/>
              </w:rPr>
              <w:t>t/a</w:t>
            </w:r>
          </w:p>
        </w:tc>
        <w:tc>
          <w:tcPr>
            <w:tcW w:w="1558" w:type="dxa"/>
            <w:vAlign w:val="center"/>
          </w:tcPr>
          <w:p>
            <w:pPr>
              <w:pStyle w:val="13"/>
              <w:adjustRightInd w:val="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0</w:t>
            </w:r>
          </w:p>
        </w:tc>
        <w:tc>
          <w:tcPr>
            <w:tcW w:w="1712" w:type="dxa"/>
            <w:vAlign w:val="center"/>
          </w:tcPr>
          <w:p>
            <w:pPr>
              <w:pStyle w:val="41"/>
              <w:rPr>
                <w:color w:val="auto"/>
                <w:sz w:val="24"/>
              </w:rPr>
            </w:pPr>
            <w:r>
              <w:rPr>
                <w:rFonts w:hint="eastAsia"/>
                <w:color w:val="auto"/>
              </w:rPr>
              <w:t>2.4</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color w:val="auto"/>
              </w:rPr>
              <w:t>铬酸</w:t>
            </w:r>
            <w:r>
              <w:rPr>
                <w:rFonts w:hint="eastAsia"/>
                <w:color w:val="auto"/>
              </w:rPr>
              <w:t>酐</w:t>
            </w:r>
          </w:p>
        </w:tc>
        <w:tc>
          <w:tcPr>
            <w:tcW w:w="1470" w:type="dxa"/>
            <w:vAlign w:val="center"/>
          </w:tcPr>
          <w:p>
            <w:pPr>
              <w:pStyle w:val="41"/>
              <w:rPr>
                <w:color w:val="auto"/>
                <w:sz w:val="24"/>
              </w:rPr>
            </w:pPr>
            <w:r>
              <w:rPr>
                <w:rFonts w:hint="eastAsia"/>
                <w:color w:val="auto"/>
              </w:rPr>
              <w:t>0.</w:t>
            </w:r>
            <w:r>
              <w:rPr>
                <w:color w:val="auto"/>
              </w:rPr>
              <w:t>5t/a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0.</w:t>
            </w:r>
            <w:r>
              <w:rPr>
                <w:color w:val="auto"/>
              </w:rPr>
              <w:t>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color w:val="auto"/>
              </w:rPr>
              <w:t>氢氧化钠</w:t>
            </w:r>
          </w:p>
        </w:tc>
        <w:tc>
          <w:tcPr>
            <w:tcW w:w="1470" w:type="dxa"/>
            <w:vAlign w:val="center"/>
          </w:tcPr>
          <w:p>
            <w:pPr>
              <w:pStyle w:val="41"/>
              <w:rPr>
                <w:color w:val="auto"/>
                <w:sz w:val="24"/>
              </w:rPr>
            </w:pPr>
            <w:r>
              <w:rPr>
                <w:color w:val="auto"/>
              </w:rPr>
              <w:t>7.5t/a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color w:val="auto"/>
              </w:rPr>
              <w:t>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氢氟酸</w:t>
            </w:r>
          </w:p>
        </w:tc>
        <w:tc>
          <w:tcPr>
            <w:tcW w:w="1470" w:type="dxa"/>
            <w:vAlign w:val="center"/>
          </w:tcPr>
          <w:p>
            <w:pPr>
              <w:pStyle w:val="41"/>
              <w:rPr>
                <w:color w:val="auto"/>
                <w:sz w:val="24"/>
              </w:rPr>
            </w:pPr>
            <w:r>
              <w:rPr>
                <w:rFonts w:hint="eastAsia"/>
                <w:color w:val="auto"/>
              </w:rPr>
              <w:t>1.2</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1.2</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硝酸</w:t>
            </w:r>
          </w:p>
        </w:tc>
        <w:tc>
          <w:tcPr>
            <w:tcW w:w="1470" w:type="dxa"/>
            <w:vAlign w:val="center"/>
          </w:tcPr>
          <w:p>
            <w:pPr>
              <w:pStyle w:val="41"/>
              <w:rPr>
                <w:color w:val="auto"/>
                <w:sz w:val="24"/>
              </w:rPr>
            </w:pPr>
            <w:r>
              <w:rPr>
                <w:rFonts w:hint="eastAsia"/>
                <w:color w:val="auto"/>
              </w:rPr>
              <w:t>1.8</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1.8</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草酸</w:t>
            </w:r>
          </w:p>
        </w:tc>
        <w:tc>
          <w:tcPr>
            <w:tcW w:w="1470" w:type="dxa"/>
            <w:vAlign w:val="center"/>
          </w:tcPr>
          <w:p>
            <w:pPr>
              <w:pStyle w:val="41"/>
              <w:rPr>
                <w:color w:val="auto"/>
                <w:sz w:val="24"/>
              </w:rPr>
            </w:pPr>
            <w:r>
              <w:rPr>
                <w:rFonts w:hint="eastAsia"/>
                <w:color w:val="auto"/>
              </w:rPr>
              <w:t>1.5</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1.5</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表调剂</w:t>
            </w:r>
          </w:p>
        </w:tc>
        <w:tc>
          <w:tcPr>
            <w:tcW w:w="1470" w:type="dxa"/>
            <w:vAlign w:val="center"/>
          </w:tcPr>
          <w:p>
            <w:pPr>
              <w:pStyle w:val="41"/>
              <w:rPr>
                <w:color w:val="auto"/>
                <w:sz w:val="24"/>
              </w:rPr>
            </w:pPr>
            <w:r>
              <w:rPr>
                <w:rFonts w:hint="eastAsia"/>
                <w:color w:val="auto"/>
              </w:rPr>
              <w:t>1.0</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1.0</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三价铬蓝白钝化剂</w:t>
            </w:r>
          </w:p>
        </w:tc>
        <w:tc>
          <w:tcPr>
            <w:tcW w:w="1470" w:type="dxa"/>
            <w:vAlign w:val="center"/>
          </w:tcPr>
          <w:p>
            <w:pPr>
              <w:pStyle w:val="41"/>
              <w:rPr>
                <w:color w:val="auto"/>
                <w:sz w:val="24"/>
              </w:rPr>
            </w:pPr>
            <w:r>
              <w:rPr>
                <w:rFonts w:hint="eastAsia"/>
                <w:color w:val="auto"/>
              </w:rPr>
              <w:t>4</w:t>
            </w:r>
            <w:r>
              <w:rPr>
                <w:rFonts w:hint="eastAsia"/>
                <w:color w:val="auto"/>
                <w:lang w:val="en-US" w:eastAsia="zh-CN"/>
              </w:rPr>
              <w:t>.</w:t>
            </w:r>
            <w:r>
              <w:rPr>
                <w:rFonts w:hint="eastAsia"/>
                <w:color w:val="auto"/>
              </w:rPr>
              <w:t>8t/a</w:t>
            </w:r>
          </w:p>
        </w:tc>
        <w:tc>
          <w:tcPr>
            <w:tcW w:w="1558" w:type="dxa"/>
            <w:vAlign w:val="center"/>
          </w:tcPr>
          <w:p>
            <w:pPr>
              <w:pStyle w:val="13"/>
              <w:adjustRightInd w:val="0"/>
              <w:jc w:val="center"/>
              <w:rPr>
                <w:rFonts w:hint="eastAsia" w:ascii="Times New Roman" w:hAnsi="Times New Roman" w:eastAsia="宋体"/>
                <w:color w:val="auto"/>
                <w:kern w:val="2"/>
                <w:sz w:val="24"/>
                <w:szCs w:val="24"/>
                <w:lang w:val="en-US" w:eastAsia="zh-CN"/>
              </w:rPr>
            </w:pPr>
            <w:r>
              <w:rPr>
                <w:rFonts w:hint="eastAsia"/>
                <w:color w:val="auto"/>
                <w:sz w:val="24"/>
              </w:rPr>
              <w:t>0</w:t>
            </w:r>
          </w:p>
        </w:tc>
        <w:tc>
          <w:tcPr>
            <w:tcW w:w="1712" w:type="dxa"/>
            <w:vAlign w:val="center"/>
          </w:tcPr>
          <w:p>
            <w:pPr>
              <w:pStyle w:val="41"/>
              <w:rPr>
                <w:color w:val="auto"/>
                <w:sz w:val="24"/>
              </w:rPr>
            </w:pPr>
            <w:r>
              <w:rPr>
                <w:rFonts w:hint="eastAsia"/>
                <w:color w:val="auto"/>
              </w:rPr>
              <w:t>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color w:val="auto"/>
              </w:rPr>
              <w:t>硫酸铜</w:t>
            </w:r>
          </w:p>
        </w:tc>
        <w:tc>
          <w:tcPr>
            <w:tcW w:w="1470" w:type="dxa"/>
            <w:vAlign w:val="center"/>
          </w:tcPr>
          <w:p>
            <w:pPr>
              <w:pStyle w:val="41"/>
              <w:rPr>
                <w:color w:val="auto"/>
                <w:sz w:val="24"/>
              </w:rPr>
            </w:pPr>
            <w:r>
              <w:rPr>
                <w:color w:val="auto"/>
              </w:rPr>
              <w:t>7.5t/a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color w:val="auto"/>
              </w:rPr>
              <w:t>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color w:val="auto"/>
              </w:rPr>
              <w:t>盐酸</w:t>
            </w:r>
          </w:p>
        </w:tc>
        <w:tc>
          <w:tcPr>
            <w:tcW w:w="1470" w:type="dxa"/>
            <w:vAlign w:val="center"/>
          </w:tcPr>
          <w:p>
            <w:pPr>
              <w:pStyle w:val="41"/>
              <w:rPr>
                <w:color w:val="auto"/>
                <w:sz w:val="24"/>
              </w:rPr>
            </w:pPr>
            <w:r>
              <w:rPr>
                <w:color w:val="auto"/>
              </w:rPr>
              <w:t>1.2t/a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color w:val="auto"/>
              </w:rPr>
              <w:t>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氰化亚铜</w:t>
            </w:r>
          </w:p>
        </w:tc>
        <w:tc>
          <w:tcPr>
            <w:tcW w:w="1470" w:type="dxa"/>
            <w:vAlign w:val="center"/>
          </w:tcPr>
          <w:p>
            <w:pPr>
              <w:pStyle w:val="41"/>
              <w:rPr>
                <w:color w:val="auto"/>
                <w:sz w:val="24"/>
              </w:rPr>
            </w:pPr>
            <w:r>
              <w:rPr>
                <w:rFonts w:hint="eastAsia"/>
                <w:color w:val="auto"/>
              </w:rPr>
              <w:t>0.6</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0.6</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rFonts w:hint="eastAsia"/>
                <w:color w:val="auto"/>
              </w:rPr>
              <w:t>氰化钠</w:t>
            </w:r>
          </w:p>
        </w:tc>
        <w:tc>
          <w:tcPr>
            <w:tcW w:w="1470" w:type="dxa"/>
            <w:vAlign w:val="center"/>
          </w:tcPr>
          <w:p>
            <w:pPr>
              <w:pStyle w:val="41"/>
              <w:rPr>
                <w:color w:val="auto"/>
                <w:sz w:val="24"/>
              </w:rPr>
            </w:pPr>
            <w:r>
              <w:rPr>
                <w:rFonts w:hint="eastAsia"/>
                <w:color w:val="auto"/>
              </w:rPr>
              <w:t>0.6</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0.6</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color w:val="auto"/>
              </w:rPr>
              <w:t>氯化镍</w:t>
            </w:r>
          </w:p>
        </w:tc>
        <w:tc>
          <w:tcPr>
            <w:tcW w:w="1470" w:type="dxa"/>
            <w:vAlign w:val="center"/>
          </w:tcPr>
          <w:p>
            <w:pPr>
              <w:pStyle w:val="41"/>
              <w:rPr>
                <w:color w:val="auto"/>
                <w:sz w:val="24"/>
              </w:rPr>
            </w:pPr>
            <w:r>
              <w:rPr>
                <w:rFonts w:hint="eastAsia"/>
                <w:color w:val="auto"/>
              </w:rPr>
              <w:t>1.8</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1.8</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sz w:val="24"/>
              </w:rPr>
            </w:pPr>
            <w:r>
              <w:rPr>
                <w:color w:val="auto"/>
              </w:rPr>
              <w:t>硼酸</w:t>
            </w:r>
          </w:p>
        </w:tc>
        <w:tc>
          <w:tcPr>
            <w:tcW w:w="1470" w:type="dxa"/>
            <w:vAlign w:val="center"/>
          </w:tcPr>
          <w:p>
            <w:pPr>
              <w:pStyle w:val="41"/>
              <w:rPr>
                <w:color w:val="auto"/>
                <w:sz w:val="24"/>
              </w:rPr>
            </w:pPr>
            <w:r>
              <w:rPr>
                <w:color w:val="auto"/>
              </w:rPr>
              <w:t>3.6t/a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color w:val="auto"/>
              </w:rPr>
              <w:t>3.6t/a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91" w:type="dxa"/>
            <w:vAlign w:val="center"/>
          </w:tcPr>
          <w:p>
            <w:pPr>
              <w:pStyle w:val="13"/>
              <w:adjustRightInd w:val="0"/>
              <w:jc w:val="center"/>
              <w:rPr>
                <w:rFonts w:ascii="Times New Roman" w:hAnsi="Times New Roman" w:eastAsia="宋体"/>
                <w:color w:val="auto"/>
                <w:kern w:val="2"/>
                <w:sz w:val="24"/>
                <w:szCs w:val="24"/>
              </w:rPr>
            </w:pPr>
          </w:p>
        </w:tc>
        <w:tc>
          <w:tcPr>
            <w:tcW w:w="1725" w:type="dxa"/>
            <w:gridSpan w:val="2"/>
            <w:vAlign w:val="center"/>
          </w:tcPr>
          <w:p>
            <w:pPr>
              <w:pStyle w:val="13"/>
              <w:adjustRightInd w:val="0"/>
              <w:jc w:val="center"/>
              <w:rPr>
                <w:rFonts w:ascii="Times New Roman" w:hAnsi="Times New Roman" w:eastAsia="宋体"/>
                <w:color w:val="auto"/>
                <w:kern w:val="2"/>
                <w:sz w:val="24"/>
                <w:szCs w:val="24"/>
              </w:rPr>
            </w:pPr>
          </w:p>
        </w:tc>
        <w:tc>
          <w:tcPr>
            <w:tcW w:w="1230" w:type="dxa"/>
            <w:vAlign w:val="center"/>
          </w:tcPr>
          <w:p>
            <w:pPr>
              <w:pStyle w:val="41"/>
              <w:rPr>
                <w:color w:val="auto"/>
              </w:rPr>
            </w:pPr>
            <w:r>
              <w:rPr>
                <w:rFonts w:hint="eastAsia"/>
                <w:color w:val="auto"/>
              </w:rPr>
              <w:t>硫酸镍</w:t>
            </w:r>
          </w:p>
        </w:tc>
        <w:tc>
          <w:tcPr>
            <w:tcW w:w="1470" w:type="dxa"/>
            <w:vAlign w:val="center"/>
          </w:tcPr>
          <w:p>
            <w:pPr>
              <w:pStyle w:val="41"/>
              <w:rPr>
                <w:color w:val="auto"/>
                <w:sz w:val="24"/>
              </w:rPr>
            </w:pPr>
            <w:r>
              <w:rPr>
                <w:rFonts w:hint="eastAsia"/>
                <w:color w:val="auto"/>
              </w:rPr>
              <w:t>1.8</w:t>
            </w:r>
            <w:r>
              <w:rPr>
                <w:color w:val="auto"/>
              </w:rPr>
              <w:t>t/a</w:t>
            </w:r>
          </w:p>
        </w:tc>
        <w:tc>
          <w:tcPr>
            <w:tcW w:w="1558" w:type="dxa"/>
            <w:vAlign w:val="center"/>
          </w:tcPr>
          <w:p>
            <w:pPr>
              <w:adjustRightInd w:val="0"/>
              <w:jc w:val="center"/>
              <w:rPr>
                <w:color w:val="auto"/>
                <w:sz w:val="24"/>
              </w:rPr>
            </w:pPr>
            <w:r>
              <w:rPr>
                <w:rFonts w:hint="eastAsia"/>
                <w:color w:val="auto"/>
                <w:sz w:val="24"/>
              </w:rPr>
              <w:t>0</w:t>
            </w:r>
          </w:p>
        </w:tc>
        <w:tc>
          <w:tcPr>
            <w:tcW w:w="1712" w:type="dxa"/>
            <w:vAlign w:val="center"/>
          </w:tcPr>
          <w:p>
            <w:pPr>
              <w:pStyle w:val="41"/>
              <w:rPr>
                <w:color w:val="auto"/>
                <w:sz w:val="24"/>
              </w:rPr>
            </w:pPr>
            <w:r>
              <w:rPr>
                <w:rFonts w:hint="eastAsia"/>
                <w:color w:val="auto"/>
              </w:rPr>
              <w:t>1.8</w:t>
            </w: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6" w:type="dxa"/>
            <w:gridSpan w:val="7"/>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主要能源及水资源消耗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名称</w:t>
            </w:r>
          </w:p>
        </w:tc>
        <w:tc>
          <w:tcPr>
            <w:tcW w:w="1682"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现状用量</w:t>
            </w:r>
          </w:p>
        </w:tc>
        <w:tc>
          <w:tcPr>
            <w:tcW w:w="3028"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新增用量</w:t>
            </w: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预计总用量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水（吨</w:t>
            </w:r>
            <w:r>
              <w:rPr>
                <w:rFonts w:ascii="Times New Roman" w:hAnsi="Times New Roman" w:eastAsia="宋体"/>
                <w:color w:val="auto"/>
                <w:kern w:val="2"/>
                <w:sz w:val="24"/>
                <w:szCs w:val="24"/>
                <w:highlight w:val="none"/>
              </w:rPr>
              <w:t>/</w:t>
            </w:r>
            <w:r>
              <w:rPr>
                <w:rFonts w:hint="eastAsia" w:ascii="Times New Roman" w:hAnsi="Times New Roman" w:eastAsia="宋体"/>
                <w:color w:val="auto"/>
                <w:kern w:val="2"/>
                <w:sz w:val="24"/>
                <w:szCs w:val="24"/>
                <w:highlight w:val="none"/>
              </w:rPr>
              <w:t>年）</w:t>
            </w:r>
          </w:p>
        </w:tc>
        <w:tc>
          <w:tcPr>
            <w:tcW w:w="1682" w:type="dxa"/>
            <w:gridSpan w:val="2"/>
            <w:vAlign w:val="center"/>
          </w:tcPr>
          <w:p>
            <w:pPr>
              <w:pStyle w:val="13"/>
              <w:adjustRightInd w:val="0"/>
              <w:jc w:val="center"/>
              <w:rPr>
                <w:rFonts w:hint="default" w:ascii="Times New Roman" w:hAnsi="Times New Roman" w:eastAsia="宋体"/>
                <w:color w:val="auto"/>
                <w:kern w:val="2"/>
                <w:sz w:val="24"/>
                <w:szCs w:val="24"/>
                <w:highlight w:val="none"/>
                <w:lang w:val="en-US" w:eastAsia="zh-CN"/>
              </w:rPr>
            </w:pPr>
            <w:r>
              <w:rPr>
                <w:rFonts w:hint="eastAsia" w:ascii="Times New Roman" w:hAnsi="Times New Roman" w:eastAsia="宋体"/>
                <w:color w:val="auto"/>
                <w:kern w:val="2"/>
                <w:sz w:val="24"/>
                <w:szCs w:val="24"/>
                <w:highlight w:val="none"/>
                <w:lang w:val="en-US" w:eastAsia="zh-CN"/>
              </w:rPr>
              <w:t>12269.4</w:t>
            </w:r>
          </w:p>
        </w:tc>
        <w:tc>
          <w:tcPr>
            <w:tcW w:w="3028" w:type="dxa"/>
            <w:gridSpan w:val="2"/>
            <w:vAlign w:val="center"/>
          </w:tcPr>
          <w:p>
            <w:pPr>
              <w:pStyle w:val="13"/>
              <w:adjustRightInd w:val="0"/>
              <w:jc w:val="center"/>
              <w:rPr>
                <w:rFonts w:hint="eastAsia" w:ascii="Times New Roman" w:hAnsi="Times New Roman" w:eastAsia="宋体"/>
                <w:color w:val="auto"/>
                <w:kern w:val="2"/>
                <w:sz w:val="24"/>
                <w:szCs w:val="24"/>
                <w:highlight w:val="none"/>
                <w:lang w:val="en-US" w:eastAsia="zh-CN"/>
              </w:rPr>
            </w:pPr>
            <w:r>
              <w:rPr>
                <w:rFonts w:hint="eastAsia" w:ascii="Times New Roman" w:hAnsi="Times New Roman" w:eastAsia="宋体"/>
                <w:color w:val="auto"/>
                <w:kern w:val="2"/>
                <w:sz w:val="24"/>
                <w:szCs w:val="24"/>
                <w:highlight w:val="none"/>
                <w:lang w:val="en-US" w:eastAsia="zh-CN"/>
              </w:rPr>
              <w:t>0</w:t>
            </w: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lang w:val="en-US" w:eastAsia="zh-CN"/>
              </w:rPr>
              <w:t>12269.4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电（</w:t>
            </w:r>
            <w:r>
              <w:rPr>
                <w:rFonts w:ascii="Times New Roman" w:hAnsi="Times New Roman" w:eastAsia="宋体"/>
                <w:color w:val="auto"/>
                <w:kern w:val="2"/>
                <w:sz w:val="24"/>
                <w:szCs w:val="24"/>
                <w:highlight w:val="none"/>
              </w:rPr>
              <w:t>kwh/</w:t>
            </w:r>
            <w:r>
              <w:rPr>
                <w:rFonts w:hint="eastAsia" w:ascii="Times New Roman" w:hAnsi="Times New Roman" w:eastAsia="宋体"/>
                <w:color w:val="auto"/>
                <w:kern w:val="2"/>
                <w:sz w:val="24"/>
                <w:szCs w:val="24"/>
                <w:highlight w:val="none"/>
              </w:rPr>
              <w:t>年）</w:t>
            </w:r>
          </w:p>
        </w:tc>
        <w:tc>
          <w:tcPr>
            <w:tcW w:w="1682" w:type="dxa"/>
            <w:gridSpan w:val="2"/>
            <w:vAlign w:val="center"/>
          </w:tcPr>
          <w:p>
            <w:pPr>
              <w:pStyle w:val="13"/>
              <w:adjustRightInd w:val="0"/>
              <w:jc w:val="center"/>
              <w:rPr>
                <w:rFonts w:hint="eastAsia" w:ascii="Times New Roman" w:hAnsi="Times New Roman" w:eastAsia="宋体"/>
                <w:color w:val="auto"/>
                <w:kern w:val="2"/>
                <w:sz w:val="24"/>
                <w:szCs w:val="24"/>
                <w:highlight w:val="none"/>
                <w:lang w:val="en-US" w:eastAsia="zh-CN"/>
              </w:rPr>
            </w:pPr>
            <w:r>
              <w:rPr>
                <w:rFonts w:hint="eastAsia" w:ascii="Times New Roman" w:hAnsi="Times New Roman" w:eastAsia="宋体"/>
                <w:color w:val="auto"/>
                <w:kern w:val="2"/>
                <w:sz w:val="24"/>
                <w:szCs w:val="24"/>
                <w:highlight w:val="none"/>
                <w:lang w:val="en-US" w:eastAsia="zh-CN"/>
              </w:rPr>
              <w:t>50万</w:t>
            </w:r>
          </w:p>
        </w:tc>
        <w:tc>
          <w:tcPr>
            <w:tcW w:w="3028" w:type="dxa"/>
            <w:gridSpan w:val="2"/>
            <w:vAlign w:val="center"/>
          </w:tcPr>
          <w:p>
            <w:pPr>
              <w:pStyle w:val="13"/>
              <w:adjustRightInd w:val="0"/>
              <w:jc w:val="center"/>
              <w:rPr>
                <w:rFonts w:hint="eastAsia" w:ascii="Times New Roman" w:hAnsi="Times New Roman" w:eastAsia="宋体"/>
                <w:color w:val="auto"/>
                <w:kern w:val="2"/>
                <w:sz w:val="24"/>
                <w:szCs w:val="24"/>
                <w:highlight w:val="none"/>
                <w:lang w:val="en-US" w:eastAsia="zh-CN"/>
              </w:rPr>
            </w:pPr>
            <w:r>
              <w:rPr>
                <w:rFonts w:hint="eastAsia" w:ascii="Times New Roman" w:hAnsi="Times New Roman" w:eastAsia="宋体"/>
                <w:color w:val="auto"/>
                <w:kern w:val="2"/>
                <w:sz w:val="24"/>
                <w:szCs w:val="24"/>
                <w:highlight w:val="none"/>
                <w:lang w:val="en-US" w:eastAsia="zh-CN"/>
              </w:rPr>
              <w:t>0</w:t>
            </w: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lang w:val="en-US" w:eastAsia="zh-CN"/>
              </w:rPr>
              <w:t>50万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天然气（万立方米</w:t>
            </w:r>
            <w:r>
              <w:rPr>
                <w:rFonts w:ascii="Times New Roman" w:hAnsi="Times New Roman" w:eastAsia="宋体"/>
                <w:color w:val="auto"/>
                <w:kern w:val="2"/>
                <w:sz w:val="24"/>
                <w:szCs w:val="24"/>
                <w:highlight w:val="none"/>
              </w:rPr>
              <w:t>/</w:t>
            </w:r>
            <w:r>
              <w:rPr>
                <w:rFonts w:hint="eastAsia" w:ascii="Times New Roman" w:hAnsi="Times New Roman" w:eastAsia="宋体"/>
                <w:color w:val="auto"/>
                <w:kern w:val="2"/>
                <w:sz w:val="24"/>
                <w:szCs w:val="24"/>
                <w:highlight w:val="none"/>
              </w:rPr>
              <w:t>年）</w:t>
            </w:r>
          </w:p>
        </w:tc>
        <w:tc>
          <w:tcPr>
            <w:tcW w:w="1682"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3028"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柴油（吨</w:t>
            </w:r>
            <w:r>
              <w:rPr>
                <w:rFonts w:ascii="Times New Roman" w:hAnsi="Times New Roman" w:eastAsia="宋体"/>
                <w:color w:val="auto"/>
                <w:kern w:val="2"/>
                <w:sz w:val="24"/>
                <w:szCs w:val="24"/>
                <w:highlight w:val="none"/>
              </w:rPr>
              <w:t>/</w:t>
            </w:r>
            <w:r>
              <w:rPr>
                <w:rFonts w:hint="eastAsia" w:ascii="Times New Roman" w:hAnsi="Times New Roman" w:eastAsia="宋体"/>
                <w:color w:val="auto"/>
                <w:kern w:val="2"/>
                <w:sz w:val="24"/>
                <w:szCs w:val="24"/>
                <w:highlight w:val="none"/>
              </w:rPr>
              <w:t>年）</w:t>
            </w:r>
          </w:p>
        </w:tc>
        <w:tc>
          <w:tcPr>
            <w:tcW w:w="1682"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3028"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煤气（万立方米</w:t>
            </w:r>
            <w:r>
              <w:rPr>
                <w:rFonts w:ascii="Times New Roman" w:hAnsi="Times New Roman" w:eastAsia="宋体"/>
                <w:color w:val="auto"/>
                <w:kern w:val="2"/>
                <w:sz w:val="24"/>
                <w:szCs w:val="24"/>
                <w:highlight w:val="none"/>
              </w:rPr>
              <w:t>/</w:t>
            </w:r>
            <w:r>
              <w:rPr>
                <w:rFonts w:hint="eastAsia" w:ascii="Times New Roman" w:hAnsi="Times New Roman" w:eastAsia="宋体"/>
                <w:color w:val="auto"/>
                <w:kern w:val="2"/>
                <w:sz w:val="24"/>
                <w:szCs w:val="24"/>
                <w:highlight w:val="none"/>
              </w:rPr>
              <w:t>年）</w:t>
            </w:r>
          </w:p>
        </w:tc>
        <w:tc>
          <w:tcPr>
            <w:tcW w:w="1682"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3028"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gridSpan w:val="2"/>
            <w:vAlign w:val="center"/>
          </w:tcPr>
          <w:p>
            <w:pPr>
              <w:pStyle w:val="13"/>
              <w:adjustRightInd w:val="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其它</w:t>
            </w:r>
          </w:p>
        </w:tc>
        <w:tc>
          <w:tcPr>
            <w:tcW w:w="1682"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3028" w:type="dxa"/>
            <w:gridSpan w:val="2"/>
            <w:vAlign w:val="center"/>
          </w:tcPr>
          <w:p>
            <w:pPr>
              <w:pStyle w:val="13"/>
              <w:adjustRightInd w:val="0"/>
              <w:jc w:val="center"/>
              <w:rPr>
                <w:rFonts w:ascii="Times New Roman" w:hAnsi="Times New Roman" w:eastAsia="宋体"/>
                <w:color w:val="auto"/>
                <w:kern w:val="2"/>
                <w:sz w:val="24"/>
                <w:szCs w:val="24"/>
                <w:highlight w:val="none"/>
              </w:rPr>
            </w:pPr>
          </w:p>
        </w:tc>
        <w:tc>
          <w:tcPr>
            <w:tcW w:w="1712" w:type="dxa"/>
            <w:vAlign w:val="center"/>
          </w:tcPr>
          <w:p>
            <w:pPr>
              <w:pStyle w:val="13"/>
              <w:adjustRightInd w:val="0"/>
              <w:jc w:val="center"/>
              <w:rPr>
                <w:rFonts w:ascii="Times New Roman" w:hAnsi="Times New Roman" w:eastAsia="宋体"/>
                <w:color w:val="auto"/>
                <w:kern w:val="2"/>
                <w:sz w:val="24"/>
                <w:szCs w:val="24"/>
                <w:highlight w:val="none"/>
              </w:rPr>
            </w:pPr>
          </w:p>
        </w:tc>
      </w:tr>
    </w:tbl>
    <w:p>
      <w:pPr>
        <w:rPr>
          <w:color w:val="auto"/>
        </w:rPr>
      </w:pPr>
    </w:p>
    <w:p>
      <w:pPr>
        <w:rPr>
          <w:color w:val="auto"/>
        </w:rPr>
      </w:pPr>
    </w:p>
    <w:p>
      <w:pPr>
        <w:pStyle w:val="2"/>
        <w:rPr>
          <w:color w:val="auto"/>
        </w:rPr>
      </w:pPr>
    </w:p>
    <w:p>
      <w:pPr>
        <w:pStyle w:val="31"/>
        <w:adjustRightInd w:val="0"/>
        <w:snapToGrid w:val="0"/>
        <w:spacing w:line="360" w:lineRule="auto"/>
        <w:rPr>
          <w:rFonts w:ascii="Times New Roman" w:hAnsi="Times New Roman"/>
          <w:color w:val="auto"/>
        </w:rPr>
      </w:pPr>
      <w:r>
        <w:rPr>
          <w:rFonts w:hint="eastAsia" w:ascii="Times New Roman" w:hAnsi="Times New Roman"/>
          <w:color w:val="auto"/>
        </w:rPr>
        <w:t>二、项目由来</w:t>
      </w:r>
    </w:p>
    <w:p>
      <w:pPr>
        <w:adjustRightInd w:val="0"/>
        <w:snapToGrid w:val="0"/>
        <w:spacing w:line="360" w:lineRule="auto"/>
        <w:ind w:firstLine="480" w:firstLineChars="200"/>
        <w:rPr>
          <w:color w:val="auto"/>
          <w:sz w:val="24"/>
          <w:highlight w:val="yellow"/>
        </w:rPr>
      </w:pPr>
      <w:r>
        <w:rPr>
          <w:rFonts w:hint="eastAsia"/>
          <w:color w:val="auto"/>
          <w:sz w:val="24"/>
        </w:rPr>
        <w:t>福鼎市质达金属表面处理有限公司现有工程位于福鼎市文渡金属表面处理集控中心（福建省众鑫金属表面处理有限公司）1#楼一层3号车间，租用集控中心厂房面积335平方米，建设有龙门挂锌合金钝化（铝合金氧化）共用生产线，半自动镀铜、镍生产线和手动锌合金钝化线，年加工400吨化油器表面处理。该项目于2014年11月通过福鼎市经贸局备案（闽经备[2014]J03099号），《福鼎市质达金属表面处理有限公司各类金属元件表面处理项目环境影响报告表》于2015年11月17日通过福鼎市环境保护局审批（鼎环审[2015]099号），2017年12月21日通过福鼎市环保局验收（鼎环保站验（2017）第12号）。为适应市场的需求，提高企业的竞争力，</w:t>
      </w:r>
      <w:r>
        <w:rPr>
          <w:rFonts w:hint="eastAsia"/>
          <w:color w:val="auto"/>
          <w:sz w:val="24"/>
          <w:lang w:eastAsia="zh-CN"/>
        </w:rPr>
        <w:t>为了便于今后扩大生产规模，</w:t>
      </w:r>
      <w:r>
        <w:rPr>
          <w:rFonts w:hint="eastAsia"/>
          <w:color w:val="auto"/>
          <w:sz w:val="24"/>
        </w:rPr>
        <w:t>福鼎市质达金属表面处理有限公司拟将厂址由福鼎市文渡金属表面处理集控中心1#楼一层3号车间搬迁至福鼎市文渡金属表面处理集控中心2#楼一层1号车间，厂房面积932平方米，原有生产线设备（龙门挂锌合金钝化（铝合金氧化）共用生产线，半自动镀铜、镍生产线，手动锌合金钝化线）</w:t>
      </w:r>
      <w:r>
        <w:rPr>
          <w:rFonts w:hint="eastAsia"/>
          <w:color w:val="auto"/>
          <w:sz w:val="24"/>
        </w:rPr>
        <w:t>均搬至新</w:t>
      </w:r>
      <w:r>
        <w:rPr>
          <w:rFonts w:hint="eastAsia"/>
          <w:color w:val="auto"/>
          <w:sz w:val="24"/>
          <w:lang w:eastAsia="zh-CN"/>
        </w:rPr>
        <w:t>车间</w:t>
      </w:r>
      <w:r>
        <w:rPr>
          <w:rFonts w:hint="eastAsia"/>
          <w:color w:val="auto"/>
          <w:sz w:val="24"/>
        </w:rPr>
        <w:t>，同时新建1条龙门挂铝合金氧化生产线，原有龙门挂锌合金钝化（铝合金氧化）共用线仅用于锌合金钝化</w:t>
      </w:r>
      <w:r>
        <w:rPr>
          <w:rFonts w:hint="eastAsia"/>
          <w:color w:val="auto"/>
          <w:sz w:val="24"/>
          <w:lang w:eastAsia="zh-CN"/>
        </w:rPr>
        <w:t>，本次迁建涉及厂址变更，生产设备增加但工程总规模不变（</w:t>
      </w:r>
      <w:r>
        <w:rPr>
          <w:rFonts w:hint="eastAsia" w:ascii="Times New Roman" w:hAnsi="Times New Roman" w:eastAsia="宋体"/>
          <w:color w:val="auto"/>
          <w:kern w:val="2"/>
          <w:sz w:val="24"/>
          <w:szCs w:val="24"/>
        </w:rPr>
        <w:t>年表面处理化油器400吨</w:t>
      </w:r>
      <w:r>
        <w:rPr>
          <w:rFonts w:hint="eastAsia"/>
          <w:color w:val="auto"/>
          <w:sz w:val="24"/>
          <w:lang w:eastAsia="zh-CN"/>
        </w:rPr>
        <w:t>）</w:t>
      </w:r>
      <w:r>
        <w:rPr>
          <w:rFonts w:hint="eastAsia"/>
          <w:color w:val="auto"/>
          <w:sz w:val="24"/>
        </w:rPr>
        <w:t>。</w:t>
      </w:r>
    </w:p>
    <w:p>
      <w:pPr>
        <w:spacing w:line="360" w:lineRule="auto"/>
        <w:ind w:firstLine="480" w:firstLineChars="200"/>
        <w:rPr>
          <w:color w:val="auto"/>
          <w:sz w:val="24"/>
          <w:highlight w:val="yellow"/>
        </w:rPr>
      </w:pPr>
      <w:r>
        <w:rPr>
          <w:rFonts w:hint="eastAsia"/>
          <w:color w:val="auto"/>
          <w:sz w:val="24"/>
        </w:rPr>
        <w:t>根据《中华人民共和国环境影响评价法》、《建设项目环境保护管理条例》和国家环境保护有关法律、法规的要求，以及宁德市环保局所出具的《宁德市环保局关于福鼎市文渡金属表面处理集控中心入驻企业简化环境影响评价形式的复函》，该项目需编制环境影响报告表。因此</w:t>
      </w:r>
      <w:r>
        <w:rPr>
          <w:rFonts w:hint="eastAsia" w:hAnsi="宋体"/>
          <w:color w:val="auto"/>
          <w:sz w:val="24"/>
        </w:rPr>
        <w:t>福鼎市质达金属表面处理有限公司于2019年1月委托福建省环境保护股份公司对福鼎市质达金属表面处理有限公司</w:t>
      </w:r>
      <w:r>
        <w:rPr>
          <w:rFonts w:hint="eastAsia" w:hAnsi="宋体"/>
          <w:color w:val="auto"/>
          <w:sz w:val="24"/>
          <w:lang w:eastAsia="zh-CN"/>
        </w:rPr>
        <w:t>各类金属元件表面处理项目</w:t>
      </w:r>
      <w:r>
        <w:rPr>
          <w:rFonts w:hint="eastAsia" w:hAnsi="宋体"/>
          <w:color w:val="auto"/>
          <w:sz w:val="24"/>
        </w:rPr>
        <w:t>进行环境影响评价，委托书详见附件1。</w:t>
      </w:r>
      <w:r>
        <w:rPr>
          <w:rFonts w:hint="eastAsia"/>
          <w:color w:val="auto"/>
          <w:sz w:val="24"/>
        </w:rPr>
        <w:t>评价单位接受委托后即派技术人员现场踏勘和收集有关资料，并依照《中华人民共和国环境影响评价法》等有关规定编写成报告表，供建设单位报环保主管部门审批。</w:t>
      </w:r>
    </w:p>
    <w:p>
      <w:pPr>
        <w:pStyle w:val="31"/>
        <w:adjustRightInd w:val="0"/>
        <w:snapToGrid w:val="0"/>
        <w:spacing w:line="360" w:lineRule="auto"/>
        <w:rPr>
          <w:rFonts w:ascii="Times New Roman" w:hAnsi="Times New Roman"/>
          <w:color w:val="auto"/>
        </w:rPr>
      </w:pPr>
      <w:r>
        <w:rPr>
          <w:rFonts w:hint="eastAsia" w:ascii="Times New Roman" w:hAnsi="Times New Roman"/>
          <w:color w:val="auto"/>
        </w:rPr>
        <w:t>三、当地环境、社会及经济概况</w:t>
      </w:r>
    </w:p>
    <w:p>
      <w:pPr>
        <w:adjustRightInd w:val="0"/>
        <w:snapToGrid w:val="0"/>
        <w:spacing w:line="360" w:lineRule="auto"/>
        <w:outlineLvl w:val="1"/>
        <w:rPr>
          <w:b/>
          <w:color w:val="auto"/>
          <w:sz w:val="28"/>
          <w:szCs w:val="28"/>
        </w:rPr>
      </w:pPr>
      <w:r>
        <w:rPr>
          <w:b/>
          <w:color w:val="auto"/>
          <w:sz w:val="28"/>
          <w:szCs w:val="28"/>
        </w:rPr>
        <w:t xml:space="preserve">3.1 </w:t>
      </w:r>
      <w:r>
        <w:rPr>
          <w:rFonts w:hint="eastAsia"/>
          <w:b/>
          <w:color w:val="auto"/>
          <w:sz w:val="28"/>
          <w:szCs w:val="28"/>
        </w:rPr>
        <w:t>地理位置</w:t>
      </w:r>
    </w:p>
    <w:p>
      <w:pPr>
        <w:adjustRightInd w:val="0"/>
        <w:snapToGrid w:val="0"/>
        <w:spacing w:line="360" w:lineRule="auto"/>
        <w:ind w:firstLine="480" w:firstLineChars="200"/>
        <w:rPr>
          <w:color w:val="auto"/>
          <w:sz w:val="24"/>
        </w:rPr>
      </w:pPr>
      <w:r>
        <w:rPr>
          <w:rFonts w:hint="eastAsia"/>
          <w:color w:val="auto"/>
          <w:sz w:val="24"/>
        </w:rPr>
        <w:t>福鼎市位于福建省东北部，东南濒临东海。地理坐标为北纬</w:t>
      </w:r>
      <w:r>
        <w:rPr>
          <w:color w:val="auto"/>
          <w:sz w:val="24"/>
        </w:rPr>
        <w:t>27°03′-27°26′</w:t>
      </w:r>
      <w:r>
        <w:rPr>
          <w:rFonts w:hint="eastAsia"/>
          <w:color w:val="auto"/>
          <w:sz w:val="24"/>
        </w:rPr>
        <w:t>，东经</w:t>
      </w:r>
      <w:r>
        <w:rPr>
          <w:color w:val="auto"/>
          <w:sz w:val="24"/>
        </w:rPr>
        <w:t>120°14′-120°43′</w:t>
      </w:r>
      <w:r>
        <w:rPr>
          <w:rFonts w:hint="eastAsia"/>
          <w:color w:val="auto"/>
          <w:sz w:val="24"/>
        </w:rPr>
        <w:t>。东北临浙江省苍南县，西北邻浙江省泰顺县，西接</w:t>
      </w:r>
      <w:r>
        <w:rPr>
          <w:rFonts w:hint="eastAsia"/>
          <w:color w:val="auto"/>
        </w:rPr>
        <w:fldChar w:fldCharType="begin"/>
      </w:r>
      <w:r>
        <w:rPr>
          <w:color w:val="auto"/>
        </w:rPr>
        <w:instrText xml:space="preserve"> HYPERLINK "http://baike.baidu.com/view/190757.htm" </w:instrText>
      </w:r>
      <w:r>
        <w:rPr>
          <w:rFonts w:hint="eastAsia"/>
          <w:color w:val="auto"/>
        </w:rPr>
        <w:fldChar w:fldCharType="separate"/>
      </w:r>
      <w:r>
        <w:rPr>
          <w:rFonts w:hint="eastAsia"/>
          <w:color w:val="auto"/>
          <w:sz w:val="24"/>
        </w:rPr>
        <w:t>柘荣县</w:t>
      </w:r>
      <w:r>
        <w:rPr>
          <w:rFonts w:hint="eastAsia"/>
          <w:color w:val="auto"/>
          <w:sz w:val="24"/>
        </w:rPr>
        <w:fldChar w:fldCharType="end"/>
      </w:r>
      <w:r>
        <w:rPr>
          <w:rFonts w:hint="eastAsia"/>
          <w:color w:val="auto"/>
          <w:sz w:val="24"/>
        </w:rPr>
        <w:t>，南连霞浦县。地理区位独特。福鼎南距省会</w:t>
      </w:r>
      <w:r>
        <w:rPr>
          <w:color w:val="auto"/>
        </w:rPr>
        <w:fldChar w:fldCharType="begin"/>
      </w:r>
      <w:r>
        <w:rPr>
          <w:color w:val="auto"/>
        </w:rPr>
        <w:instrText xml:space="preserve"> HYPERLINK "http://baike.baidu.com/view/4813.htm" </w:instrText>
      </w:r>
      <w:r>
        <w:rPr>
          <w:color w:val="auto"/>
        </w:rPr>
        <w:fldChar w:fldCharType="separate"/>
      </w:r>
      <w:r>
        <w:rPr>
          <w:rFonts w:hint="eastAsia"/>
          <w:color w:val="auto"/>
          <w:sz w:val="24"/>
        </w:rPr>
        <w:t>福州</w:t>
      </w:r>
      <w:r>
        <w:rPr>
          <w:rFonts w:hint="eastAsia"/>
          <w:color w:val="auto"/>
          <w:sz w:val="24"/>
        </w:rPr>
        <w:fldChar w:fldCharType="end"/>
      </w:r>
      <w:r>
        <w:rPr>
          <w:color w:val="auto"/>
          <w:sz w:val="24"/>
        </w:rPr>
        <w:t>220</w:t>
      </w:r>
      <w:r>
        <w:rPr>
          <w:rFonts w:hint="eastAsia"/>
          <w:color w:val="auto"/>
          <w:sz w:val="24"/>
        </w:rPr>
        <w:t>公里，北邻浙江</w:t>
      </w:r>
      <w:r>
        <w:rPr>
          <w:rFonts w:hint="eastAsia"/>
          <w:color w:val="auto"/>
        </w:rPr>
        <w:fldChar w:fldCharType="begin"/>
      </w:r>
      <w:r>
        <w:rPr>
          <w:color w:val="auto"/>
        </w:rPr>
        <w:instrText xml:space="preserve"> HYPERLINK "http://baike.baidu.com/view/7599.htm" </w:instrText>
      </w:r>
      <w:r>
        <w:rPr>
          <w:rFonts w:hint="eastAsia"/>
          <w:color w:val="auto"/>
        </w:rPr>
        <w:fldChar w:fldCharType="separate"/>
      </w:r>
      <w:r>
        <w:rPr>
          <w:rFonts w:hint="eastAsia"/>
          <w:color w:val="auto"/>
          <w:sz w:val="24"/>
        </w:rPr>
        <w:t>温州</w:t>
      </w:r>
      <w:r>
        <w:rPr>
          <w:rFonts w:hint="eastAsia"/>
          <w:color w:val="auto"/>
          <w:sz w:val="24"/>
        </w:rPr>
        <w:fldChar w:fldCharType="end"/>
      </w:r>
      <w:r>
        <w:rPr>
          <w:rFonts w:hint="eastAsia"/>
          <w:color w:val="auto"/>
          <w:sz w:val="24"/>
        </w:rPr>
        <w:t>不足</w:t>
      </w:r>
      <w:r>
        <w:rPr>
          <w:color w:val="auto"/>
          <w:sz w:val="24"/>
        </w:rPr>
        <w:t>100</w:t>
      </w:r>
      <w:r>
        <w:rPr>
          <w:rFonts w:hint="eastAsia"/>
          <w:color w:val="auto"/>
          <w:sz w:val="24"/>
        </w:rPr>
        <w:t>公里，东至台湾基隆</w:t>
      </w:r>
      <w:r>
        <w:rPr>
          <w:color w:val="auto"/>
          <w:sz w:val="24"/>
        </w:rPr>
        <w:t>142</w:t>
      </w:r>
      <w:r>
        <w:rPr>
          <w:rFonts w:hint="eastAsia"/>
          <w:color w:val="auto"/>
          <w:sz w:val="24"/>
        </w:rPr>
        <w:t>海里，</w:t>
      </w:r>
      <w:r>
        <w:rPr>
          <w:color w:val="auto"/>
          <w:sz w:val="24"/>
        </w:rPr>
        <w:t>104</w:t>
      </w:r>
      <w:r>
        <w:rPr>
          <w:rFonts w:hint="eastAsia"/>
          <w:color w:val="auto"/>
          <w:sz w:val="24"/>
        </w:rPr>
        <w:t>国道、沈海高速公路和温福铁路纵贯全境，水陆交通便捷。</w:t>
      </w:r>
    </w:p>
    <w:p>
      <w:pPr>
        <w:pStyle w:val="83"/>
        <w:spacing w:line="360" w:lineRule="auto"/>
        <w:ind w:firstLine="480"/>
        <w:rPr>
          <w:rFonts w:ascii="Times New Roman" w:hAnsi="Times New Roman" w:cs="Times New Roman"/>
          <w:color w:val="auto"/>
        </w:rPr>
      </w:pPr>
      <w:r>
        <w:rPr>
          <w:rFonts w:hint="eastAsia"/>
          <w:color w:val="auto"/>
        </w:rPr>
        <w:t>项目位于福鼎市温州园文渡工业集中区内，文渡工业集中区坐落于福鼎市太姥山镇与硖门乡的交界处，</w:t>
      </w:r>
      <w:r>
        <w:rPr>
          <w:color w:val="auto"/>
        </w:rPr>
        <w:t>G15</w:t>
      </w:r>
      <w:r>
        <w:rPr>
          <w:rFonts w:hint="eastAsia"/>
          <w:color w:val="auto"/>
        </w:rPr>
        <w:t>沈海高速公路东侧。本项目位于文渡工业集中区东南侧，</w:t>
      </w:r>
      <w:r>
        <w:rPr>
          <w:rFonts w:ascii="Times New Roman" w:cs="Times New Roman"/>
          <w:color w:val="auto"/>
        </w:rPr>
        <w:t>位于福鼎市文渡工业项目集中区</w:t>
      </w:r>
      <w:r>
        <w:rPr>
          <w:rFonts w:ascii="Times New Roman" w:hAnsi="Times New Roman" w:cs="Times New Roman"/>
          <w:color w:val="auto"/>
        </w:rPr>
        <w:t>F-2-10</w:t>
      </w:r>
      <w:r>
        <w:rPr>
          <w:rFonts w:ascii="Times New Roman" w:cs="Times New Roman"/>
          <w:color w:val="auto"/>
        </w:rPr>
        <w:t>地块，金属表面处理集控中心</w:t>
      </w:r>
      <w:r>
        <w:rPr>
          <w:rFonts w:hint="eastAsia"/>
          <w:color w:val="auto"/>
        </w:rPr>
        <w:t>2#楼一层1号车间</w:t>
      </w:r>
      <w:r>
        <w:rPr>
          <w:rFonts w:ascii="Times New Roman" w:cs="Times New Roman"/>
          <w:color w:val="auto"/>
        </w:rPr>
        <w:t>，</w:t>
      </w:r>
      <w:r>
        <w:rPr>
          <w:rFonts w:hint="eastAsia" w:ascii="Times New Roman" w:cs="Times New Roman"/>
          <w:color w:val="auto"/>
        </w:rPr>
        <w:t>中心坐标N27°3′28.1″，E120°14′50.54″。</w:t>
      </w:r>
      <w:r>
        <w:rPr>
          <w:rFonts w:ascii="Times New Roman" w:cs="Times New Roman"/>
          <w:color w:val="auto"/>
        </w:rPr>
        <w:t>项目北侧紧邻纬六路</w:t>
      </w:r>
      <w:r>
        <w:rPr>
          <w:rFonts w:hint="eastAsia" w:ascii="Times New Roman" w:cs="Times New Roman"/>
          <w:color w:val="auto"/>
        </w:rPr>
        <w:t>（银川路）</w:t>
      </w:r>
      <w:r>
        <w:rPr>
          <w:rFonts w:ascii="Times New Roman" w:cs="Times New Roman"/>
          <w:color w:val="auto"/>
        </w:rPr>
        <w:t>，跨过纬六路为福建鸣鸿树脂有限公司，东、南侧为空地，西侧为福建熠升超纤有限公司，地理位置见图</w:t>
      </w:r>
      <w:r>
        <w:rPr>
          <w:rFonts w:ascii="Times New Roman" w:hAnsi="Times New Roman" w:cs="Times New Roman"/>
          <w:color w:val="auto"/>
        </w:rPr>
        <w:t>3.1-1</w:t>
      </w:r>
      <w:r>
        <w:rPr>
          <w:rFonts w:ascii="Times New Roman" w:cs="Times New Roman"/>
          <w:color w:val="auto"/>
        </w:rPr>
        <w:t>，周边关系图见图</w:t>
      </w:r>
      <w:r>
        <w:rPr>
          <w:rFonts w:ascii="Times New Roman" w:hAnsi="Times New Roman" w:cs="Times New Roman"/>
          <w:color w:val="auto"/>
        </w:rPr>
        <w:t>3.1-2</w:t>
      </w:r>
      <w:r>
        <w:rPr>
          <w:rFonts w:hint="eastAsia" w:ascii="Times New Roman" w:hAnsi="Times New Roman" w:cs="Times New Roman"/>
          <w:color w:val="auto"/>
        </w:rPr>
        <w:t>，现场照片见图3.1-3</w:t>
      </w:r>
      <w:r>
        <w:rPr>
          <w:rFonts w:ascii="Times New Roman" w:cs="Times New Roman"/>
          <w:color w:val="auto"/>
        </w:rPr>
        <w:t>。</w:t>
      </w:r>
    </w:p>
    <w:p>
      <w:pPr>
        <w:adjustRightInd w:val="0"/>
        <w:snapToGrid w:val="0"/>
        <w:spacing w:line="360" w:lineRule="auto"/>
        <w:outlineLvl w:val="1"/>
        <w:rPr>
          <w:b/>
          <w:color w:val="auto"/>
          <w:sz w:val="28"/>
          <w:szCs w:val="28"/>
        </w:rPr>
      </w:pPr>
      <w:r>
        <w:rPr>
          <w:b/>
          <w:color w:val="auto"/>
          <w:sz w:val="28"/>
          <w:szCs w:val="28"/>
        </w:rPr>
        <w:t xml:space="preserve">3.2 </w:t>
      </w:r>
      <w:r>
        <w:rPr>
          <w:rFonts w:hint="eastAsia"/>
          <w:b/>
          <w:color w:val="auto"/>
          <w:sz w:val="28"/>
          <w:szCs w:val="28"/>
        </w:rPr>
        <w:t>自然环境概况</w:t>
      </w:r>
    </w:p>
    <w:p>
      <w:pPr>
        <w:adjustRightInd w:val="0"/>
        <w:snapToGrid w:val="0"/>
        <w:spacing w:line="360" w:lineRule="auto"/>
        <w:outlineLvl w:val="2"/>
        <w:rPr>
          <w:b/>
          <w:color w:val="auto"/>
          <w:sz w:val="24"/>
        </w:rPr>
      </w:pPr>
      <w:r>
        <w:rPr>
          <w:b/>
          <w:color w:val="auto"/>
          <w:sz w:val="24"/>
        </w:rPr>
        <w:t>3.2.1</w:t>
      </w:r>
      <w:r>
        <w:rPr>
          <w:rFonts w:hint="eastAsia"/>
          <w:b/>
          <w:color w:val="auto"/>
          <w:sz w:val="24"/>
        </w:rPr>
        <w:t>地质地貌</w:t>
      </w:r>
    </w:p>
    <w:p>
      <w:pPr>
        <w:adjustRightInd w:val="0"/>
        <w:snapToGrid w:val="0"/>
        <w:spacing w:line="360" w:lineRule="auto"/>
        <w:ind w:firstLine="480" w:firstLineChars="200"/>
        <w:rPr>
          <w:color w:val="auto"/>
          <w:sz w:val="24"/>
        </w:rPr>
      </w:pPr>
      <w:r>
        <w:rPr>
          <w:rFonts w:hint="eastAsia"/>
          <w:color w:val="auto"/>
          <w:sz w:val="24"/>
        </w:rPr>
        <w:t>福鼎市区地处沿海丘陵地带，大部分地形为溪流中击平原，沿东西窄、南北长的山间谷地呈条状分布，城区有桐山溪和龙山溪两条河流穿过，将城区分成三大狭长地带，地势北高南低南端倾状于海湾。境内山海相连，丘陵起伏，南雁荡山余脉从东北延伸入境，太姥山脉斜贯西部，形成西北部和西南部群山连绵，层峦叠嶂，东南部丘陵凸起，中部地势凹陷成盆状。山地和丘陵是全市主要的地貌类型，占总面积的</w:t>
      </w:r>
      <w:r>
        <w:rPr>
          <w:color w:val="auto"/>
          <w:sz w:val="24"/>
        </w:rPr>
        <w:t>91.03%</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福鼎市地质构造主要受新华夏系和南岭纬向构造的控制，由于太姥山脉斜贯西北部边缘，造成了西北河西南部群山连绵，峰峦叠嶂，沟多谷深，坡陡峰尖，地势比降大。</w:t>
      </w:r>
    </w:p>
    <w:p>
      <w:pPr>
        <w:adjustRightInd w:val="0"/>
        <w:snapToGrid w:val="0"/>
        <w:spacing w:line="360" w:lineRule="auto"/>
        <w:ind w:firstLine="480" w:firstLineChars="200"/>
        <w:rPr>
          <w:color w:val="auto"/>
          <w:sz w:val="24"/>
        </w:rPr>
      </w:pPr>
      <w:r>
        <w:rPr>
          <w:rFonts w:hint="eastAsia"/>
          <w:color w:val="auto"/>
          <w:sz w:val="24"/>
        </w:rPr>
        <w:t>文渡项目集中区位于晴川湾和牙城湾之间的海湾地带，两岸山体及烽火山、跳尾等孤岛为钾长花岗岩，右岸为晶洞钾长花岗岩，出露的岩石弱风化，裂隙稍发育，岩石完整性较好，岩面向海倾斜、较陡；海域部分分为海积淤泥、粉砂、淤泥质土等，淤泥一般层厚</w:t>
      </w:r>
      <w:r>
        <w:rPr>
          <w:color w:val="auto"/>
          <w:sz w:val="24"/>
        </w:rPr>
        <w:t>11.6~13.6mm</w:t>
      </w:r>
      <w:r>
        <w:rPr>
          <w:rFonts w:hint="eastAsia"/>
          <w:color w:val="auto"/>
          <w:sz w:val="24"/>
        </w:rPr>
        <w:t>；粉砂层面平缓，层面高层</w:t>
      </w:r>
      <w:r>
        <w:rPr>
          <w:color w:val="auto"/>
          <w:sz w:val="24"/>
        </w:rPr>
        <w:t>-15.1~-17.1m</w:t>
      </w:r>
      <w:r>
        <w:rPr>
          <w:rFonts w:hint="eastAsia"/>
          <w:color w:val="auto"/>
          <w:sz w:val="24"/>
        </w:rPr>
        <w:t>，厚层</w:t>
      </w:r>
      <w:r>
        <w:rPr>
          <w:color w:val="auto"/>
          <w:sz w:val="24"/>
        </w:rPr>
        <w:t>6.8~9.8m</w:t>
      </w:r>
      <w:r>
        <w:rPr>
          <w:rFonts w:hint="eastAsia"/>
          <w:color w:val="auto"/>
          <w:sz w:val="24"/>
        </w:rPr>
        <w:t>；淤泥质土层面平缓，高层</w:t>
      </w:r>
      <w:r>
        <w:rPr>
          <w:color w:val="auto"/>
          <w:sz w:val="24"/>
        </w:rPr>
        <w:t>-23.8~-26.9mm</w:t>
      </w:r>
      <w:r>
        <w:rPr>
          <w:rFonts w:hint="eastAsia"/>
          <w:color w:val="auto"/>
          <w:sz w:val="24"/>
        </w:rPr>
        <w:t>，层厚大于</w:t>
      </w:r>
      <w:r>
        <w:rPr>
          <w:color w:val="auto"/>
          <w:sz w:val="24"/>
        </w:rPr>
        <w:t>19.8m</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淤泥层：海积成因，表部</w:t>
      </w:r>
      <w:r>
        <w:rPr>
          <w:color w:val="auto"/>
          <w:sz w:val="24"/>
        </w:rPr>
        <w:t>2.0m</w:t>
      </w:r>
      <w:r>
        <w:rPr>
          <w:rFonts w:hint="eastAsia"/>
          <w:color w:val="auto"/>
          <w:sz w:val="24"/>
        </w:rPr>
        <w:t>呈浅灰褐色，以下为深灰色，饱和、流塑。成分以粘粉粒为主，富含腐殖质及少量贝壳，底部含少量细砂，有臭味，低强度、高压缩性、高灵敏度、极弱透水，局部位置</w:t>
      </w:r>
      <w:r>
        <w:rPr>
          <w:color w:val="auto"/>
          <w:sz w:val="24"/>
        </w:rPr>
        <w:t>e&lt;1.5</w:t>
      </w:r>
      <w:r>
        <w:rPr>
          <w:rFonts w:hint="eastAsia"/>
          <w:color w:val="auto"/>
          <w:sz w:val="24"/>
        </w:rPr>
        <w:t>，呈淤泥质土状。</w:t>
      </w:r>
    </w:p>
    <w:p>
      <w:pPr>
        <w:adjustRightInd w:val="0"/>
        <w:snapToGrid w:val="0"/>
        <w:spacing w:line="360" w:lineRule="auto"/>
        <w:ind w:firstLine="480" w:firstLineChars="200"/>
        <w:rPr>
          <w:color w:val="auto"/>
          <w:sz w:val="24"/>
        </w:rPr>
      </w:pPr>
      <w:r>
        <w:rPr>
          <w:rFonts w:hint="eastAsia"/>
          <w:color w:val="auto"/>
          <w:sz w:val="24"/>
        </w:rPr>
        <w:t>粉砂层：海积成因，上半部分深灰色，饱和、松散，含粘粒较多，局部呈粉土状，高压缩性、强度低；下半部分灰褐色、饱和，稍密</w:t>
      </w:r>
      <w:r>
        <w:rPr>
          <w:color w:val="auto"/>
          <w:sz w:val="24"/>
        </w:rPr>
        <w:t>~</w:t>
      </w:r>
      <w:r>
        <w:rPr>
          <w:rFonts w:hint="eastAsia"/>
          <w:color w:val="auto"/>
          <w:sz w:val="24"/>
        </w:rPr>
        <w:t>中密，分选性好，质纯，强度较高。</w:t>
      </w:r>
    </w:p>
    <w:p>
      <w:pPr>
        <w:adjustRightInd w:val="0"/>
        <w:snapToGrid w:val="0"/>
        <w:spacing w:line="360" w:lineRule="auto"/>
        <w:ind w:firstLine="480" w:firstLineChars="200"/>
        <w:rPr>
          <w:color w:val="auto"/>
          <w:sz w:val="24"/>
        </w:rPr>
      </w:pPr>
      <w:r>
        <w:rPr>
          <w:rFonts w:hint="eastAsia"/>
          <w:color w:val="auto"/>
          <w:sz w:val="24"/>
        </w:rPr>
        <w:t>淤泥土质：海积成因，深灰色，饱和、流塑，局部软塑，成分以粘粉粒为主，含腐殖质及少量贝壳，具有腥臭味，低强度、高压缩性、极弱透水。</w:t>
      </w:r>
    </w:p>
    <w:p>
      <w:pPr>
        <w:adjustRightInd w:val="0"/>
        <w:snapToGrid w:val="0"/>
        <w:spacing w:line="360" w:lineRule="auto"/>
        <w:ind w:firstLine="480" w:firstLineChars="200"/>
        <w:rPr>
          <w:color w:val="auto"/>
          <w:sz w:val="24"/>
        </w:rPr>
      </w:pPr>
      <w:r>
        <w:rPr>
          <w:rFonts w:hint="eastAsia"/>
          <w:color w:val="auto"/>
          <w:sz w:val="24"/>
        </w:rPr>
        <w:t>区域内未见有大的断裂构造通过。</w:t>
      </w:r>
    </w:p>
    <w:p>
      <w:pPr>
        <w:pStyle w:val="2"/>
        <w:rPr>
          <w:color w:val="auto"/>
        </w:rPr>
      </w:pPr>
    </w:p>
    <w:p>
      <w:pPr>
        <w:pStyle w:val="2"/>
        <w:rPr>
          <w:color w:val="auto"/>
        </w:rPr>
        <w:sectPr>
          <w:footerReference r:id="rId11"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jc w:val="center"/>
        <w:rPr>
          <w:color w:val="auto"/>
        </w:rPr>
      </w:pPr>
      <w:r>
        <w:rPr>
          <w:color w:val="auto"/>
        </w:rPr>
        <w:drawing>
          <wp:inline distT="0" distB="0" distL="0" distR="0">
            <wp:extent cx="7664450" cy="5486400"/>
            <wp:effectExtent l="19050" t="19050" r="31750" b="19050"/>
            <wp:docPr id="9" name="图片 1" descr="福鼎市巨龙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福鼎市巨龙地理位置图"/>
                    <pic:cNvPicPr>
                      <a:picLocks noChangeAspect="1" noChangeArrowheads="1"/>
                    </pic:cNvPicPr>
                  </pic:nvPicPr>
                  <pic:blipFill>
                    <a:blip r:embed="rId14" cstate="print"/>
                    <a:srcRect/>
                    <a:stretch>
                      <a:fillRect/>
                    </a:stretch>
                  </pic:blipFill>
                  <pic:spPr>
                    <a:xfrm>
                      <a:off x="0" y="0"/>
                      <a:ext cx="7664450" cy="5486400"/>
                    </a:xfrm>
                    <a:prstGeom prst="rect">
                      <a:avLst/>
                    </a:prstGeom>
                    <a:noFill/>
                    <a:ln w="19050" cmpd="sng">
                      <a:solidFill>
                        <a:srgbClr val="000000"/>
                      </a:solidFill>
                      <a:miter lim="800000"/>
                      <a:headEnd/>
                      <a:tailEnd/>
                    </a:ln>
                    <a:effectLst/>
                  </pic:spPr>
                </pic:pic>
              </a:graphicData>
            </a:graphic>
          </wp:inline>
        </w:drawing>
      </w:r>
    </w:p>
    <w:p>
      <w:pPr>
        <w:tabs>
          <w:tab w:val="left" w:pos="2775"/>
        </w:tabs>
        <w:jc w:val="center"/>
        <w:rPr>
          <w:b/>
          <w:color w:val="auto"/>
          <w:sz w:val="24"/>
        </w:rPr>
      </w:pPr>
      <w:r>
        <w:rPr>
          <w:rFonts w:hint="eastAsia"/>
          <w:b/>
          <w:color w:val="auto"/>
          <w:sz w:val="24"/>
        </w:rPr>
        <w:t>图</w:t>
      </w:r>
      <w:r>
        <w:rPr>
          <w:b/>
          <w:color w:val="auto"/>
          <w:sz w:val="24"/>
        </w:rPr>
        <w:t xml:space="preserve">3.1-1 </w:t>
      </w:r>
      <w:r>
        <w:rPr>
          <w:rFonts w:hint="eastAsia"/>
          <w:b/>
          <w:color w:val="auto"/>
          <w:sz w:val="24"/>
        </w:rPr>
        <w:t>项目地理位置图</w:t>
      </w:r>
    </w:p>
    <w:p>
      <w:pPr>
        <w:spacing w:line="360" w:lineRule="auto"/>
        <w:ind w:firstLine="480" w:firstLineChars="20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6149975" cy="5203825"/>
            <wp:effectExtent l="0" t="0" r="3175" b="15875"/>
            <wp:docPr id="1" name="图片 1" descr="集控中心总平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集控中心总平图副本"/>
                    <pic:cNvPicPr>
                      <a:picLocks noChangeAspect="1"/>
                    </pic:cNvPicPr>
                  </pic:nvPicPr>
                  <pic:blipFill>
                    <a:blip r:embed="rId15"/>
                    <a:stretch>
                      <a:fillRect/>
                    </a:stretch>
                  </pic:blipFill>
                  <pic:spPr>
                    <a:xfrm>
                      <a:off x="0" y="0"/>
                      <a:ext cx="6149975" cy="5203825"/>
                    </a:xfrm>
                    <a:prstGeom prst="rect">
                      <a:avLst/>
                    </a:prstGeom>
                  </pic:spPr>
                </pic:pic>
              </a:graphicData>
            </a:graphic>
          </wp:inline>
        </w:drawing>
      </w:r>
    </w:p>
    <w:p>
      <w:pPr>
        <w:spacing w:line="360" w:lineRule="auto"/>
        <w:ind w:firstLine="482" w:firstLineChars="200"/>
        <w:jc w:val="center"/>
        <w:rPr>
          <w:b/>
          <w:color w:val="auto"/>
          <w:sz w:val="24"/>
        </w:rPr>
      </w:pPr>
      <w:r>
        <w:rPr>
          <w:rFonts w:hint="eastAsia"/>
          <w:b/>
          <w:color w:val="auto"/>
          <w:sz w:val="24"/>
        </w:rPr>
        <w:t>图</w:t>
      </w:r>
      <w:r>
        <w:rPr>
          <w:b/>
          <w:color w:val="auto"/>
          <w:sz w:val="24"/>
        </w:rPr>
        <w:t xml:space="preserve">3.1-2 </w:t>
      </w:r>
      <w:r>
        <w:rPr>
          <w:rFonts w:hint="eastAsia"/>
          <w:b/>
          <w:color w:val="auto"/>
          <w:sz w:val="24"/>
        </w:rPr>
        <w:t>项目周边关系图</w:t>
      </w:r>
    </w:p>
    <w:p>
      <w:pPr>
        <w:pStyle w:val="2"/>
        <w:ind w:firstLine="0"/>
        <w:rPr>
          <w:color w:val="auto"/>
        </w:rPr>
        <w:sectPr>
          <w:pgSz w:w="16838" w:h="11906" w:orient="landscape"/>
          <w:pgMar w:top="1417" w:right="1418" w:bottom="1417" w:left="1418" w:header="851" w:footer="992" w:gutter="0"/>
          <w:pgBorders>
            <w:top w:val="none" w:sz="0" w:space="0"/>
            <w:left w:val="none" w:sz="0" w:space="0"/>
            <w:bottom w:val="none" w:sz="0" w:space="0"/>
            <w:right w:val="none" w:sz="0" w:space="0"/>
          </w:pgBorders>
          <w:pgNumType w:start="1"/>
          <w:cols w:space="0" w:num="1"/>
          <w:docGrid w:type="lines" w:linePitch="312" w:charSpace="0"/>
        </w:sectPr>
      </w:pPr>
    </w:p>
    <w:p>
      <w:pPr>
        <w:spacing w:line="360" w:lineRule="auto"/>
        <w:jc w:val="center"/>
        <w:rPr>
          <w:b/>
          <w:color w:val="auto"/>
          <w:sz w:val="24"/>
        </w:rPr>
      </w:pPr>
      <w:r>
        <w:rPr>
          <w:color w:val="auto"/>
          <w:szCs w:val="21"/>
        </w:rPr>
        <w:drawing>
          <wp:inline distT="0" distB="0" distL="0" distR="0">
            <wp:extent cx="2400300" cy="1800225"/>
            <wp:effectExtent l="0" t="0" r="0" b="9525"/>
            <wp:docPr id="22" name="图片 58" descr="IMG_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descr="IMG_1078"/>
                    <pic:cNvPicPr>
                      <a:picLocks noChangeAspect="1" noChangeArrowheads="1"/>
                    </pic:cNvPicPr>
                  </pic:nvPicPr>
                  <pic:blipFill>
                    <a:blip r:embed="rId16" cstate="print"/>
                    <a:srcRect/>
                    <a:stretch>
                      <a:fillRect/>
                    </a:stretch>
                  </pic:blipFill>
                  <pic:spPr>
                    <a:xfrm>
                      <a:off x="0" y="0"/>
                      <a:ext cx="2400300" cy="1800225"/>
                    </a:xfrm>
                    <a:prstGeom prst="rect">
                      <a:avLst/>
                    </a:prstGeom>
                    <a:noFill/>
                    <a:ln w="9525">
                      <a:noFill/>
                      <a:miter lim="800000"/>
                      <a:headEnd/>
                      <a:tailEnd/>
                    </a:ln>
                  </pic:spPr>
                </pic:pic>
              </a:graphicData>
            </a:graphic>
          </wp:inline>
        </w:drawing>
      </w:r>
      <w:r>
        <w:rPr>
          <w:color w:val="auto"/>
          <w:szCs w:val="21"/>
        </w:rPr>
        <w:drawing>
          <wp:inline distT="0" distB="0" distL="0" distR="0">
            <wp:extent cx="2400300" cy="1800225"/>
            <wp:effectExtent l="0" t="0" r="0" b="9525"/>
            <wp:docPr id="23" name="图片 59" descr="IMG_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9" descr="IMG_0296"/>
                    <pic:cNvPicPr>
                      <a:picLocks noChangeAspect="1" noChangeArrowheads="1"/>
                    </pic:cNvPicPr>
                  </pic:nvPicPr>
                  <pic:blipFill>
                    <a:blip r:embed="rId17" cstate="print"/>
                    <a:srcRect/>
                    <a:stretch>
                      <a:fillRect/>
                    </a:stretch>
                  </pic:blipFill>
                  <pic:spPr>
                    <a:xfrm>
                      <a:off x="0" y="0"/>
                      <a:ext cx="2400300" cy="1800225"/>
                    </a:xfrm>
                    <a:prstGeom prst="rect">
                      <a:avLst/>
                    </a:prstGeom>
                    <a:noFill/>
                    <a:ln w="9525">
                      <a:noFill/>
                      <a:miter lim="800000"/>
                      <a:headEnd/>
                      <a:tailEnd/>
                    </a:ln>
                  </pic:spPr>
                </pic:pic>
              </a:graphicData>
            </a:graphic>
          </wp:inline>
        </w:drawing>
      </w:r>
    </w:p>
    <w:p>
      <w:pPr>
        <w:spacing w:line="360" w:lineRule="auto"/>
        <w:jc w:val="center"/>
        <w:rPr>
          <w:b/>
          <w:color w:val="auto"/>
          <w:sz w:val="24"/>
        </w:rPr>
      </w:pPr>
      <w:r>
        <w:rPr>
          <w:rFonts w:hint="eastAsia"/>
          <w:b/>
          <w:color w:val="auto"/>
          <w:sz w:val="24"/>
          <w:lang w:eastAsia="zh-CN"/>
        </w:rPr>
        <w:t>东</w:t>
      </w:r>
      <w:r>
        <w:rPr>
          <w:rFonts w:hint="eastAsia"/>
          <w:b/>
          <w:color w:val="auto"/>
          <w:sz w:val="24"/>
        </w:rPr>
        <w:t>北侧鸣鸿树脂                  集控中心1、2号厂房</w:t>
      </w:r>
    </w:p>
    <w:p>
      <w:pPr>
        <w:spacing w:line="360" w:lineRule="auto"/>
        <w:jc w:val="center"/>
        <w:rPr>
          <w:b/>
          <w:color w:val="auto"/>
          <w:sz w:val="24"/>
        </w:rPr>
      </w:pPr>
      <w:r>
        <w:rPr>
          <w:color w:val="auto"/>
          <w:szCs w:val="21"/>
        </w:rPr>
        <w:drawing>
          <wp:inline distT="0" distB="0" distL="0" distR="0">
            <wp:extent cx="2400300" cy="1800225"/>
            <wp:effectExtent l="0" t="0" r="0" b="9525"/>
            <wp:docPr id="24" name="图片 20" descr="IMG_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IMG_0297"/>
                    <pic:cNvPicPr>
                      <a:picLocks noChangeAspect="1" noChangeArrowheads="1"/>
                    </pic:cNvPicPr>
                  </pic:nvPicPr>
                  <pic:blipFill>
                    <a:blip r:embed="rId18" cstate="print"/>
                    <a:srcRect/>
                    <a:stretch>
                      <a:fillRect/>
                    </a:stretch>
                  </pic:blipFill>
                  <pic:spPr>
                    <a:xfrm>
                      <a:off x="0" y="0"/>
                      <a:ext cx="2400300" cy="1800225"/>
                    </a:xfrm>
                    <a:prstGeom prst="rect">
                      <a:avLst/>
                    </a:prstGeom>
                    <a:noFill/>
                    <a:ln w="9525">
                      <a:noFill/>
                      <a:miter lim="800000"/>
                      <a:headEnd/>
                      <a:tailEnd/>
                    </a:ln>
                  </pic:spPr>
                </pic:pic>
              </a:graphicData>
            </a:graphic>
          </wp:inline>
        </w:drawing>
      </w:r>
      <w:r>
        <w:rPr>
          <w:b/>
          <w:color w:val="auto"/>
          <w:sz w:val="24"/>
        </w:rPr>
        <w:drawing>
          <wp:inline distT="0" distB="0" distL="0" distR="0">
            <wp:extent cx="2457450" cy="1800860"/>
            <wp:effectExtent l="0" t="0" r="0" b="8890"/>
            <wp:docPr id="25" name="图片 25" descr="G:\报告\2018年项目\昌建\图件\现场照片\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报告\2018年项目\昌建\图件\现场照片\IMG_2306.JPG"/>
                    <pic:cNvPicPr>
                      <a:picLocks noChangeAspect="1" noChangeArrowheads="1"/>
                    </pic:cNvPicPr>
                  </pic:nvPicPr>
                  <pic:blipFill>
                    <a:blip r:embed="rId19" cstate="print"/>
                    <a:srcRect/>
                    <a:stretch>
                      <a:fillRect/>
                    </a:stretch>
                  </pic:blipFill>
                  <pic:spPr>
                    <a:xfrm>
                      <a:off x="0" y="0"/>
                      <a:ext cx="2458999" cy="1800860"/>
                    </a:xfrm>
                    <a:prstGeom prst="rect">
                      <a:avLst/>
                    </a:prstGeom>
                    <a:noFill/>
                    <a:ln w="9525">
                      <a:noFill/>
                      <a:miter lim="800000"/>
                      <a:headEnd/>
                      <a:tailEnd/>
                    </a:ln>
                  </pic:spPr>
                </pic:pic>
              </a:graphicData>
            </a:graphic>
          </wp:inline>
        </w:drawing>
      </w:r>
    </w:p>
    <w:p>
      <w:pPr>
        <w:spacing w:line="360" w:lineRule="auto"/>
        <w:jc w:val="center"/>
        <w:rPr>
          <w:b/>
          <w:color w:val="auto"/>
          <w:sz w:val="24"/>
        </w:rPr>
      </w:pPr>
      <w:r>
        <w:rPr>
          <w:rFonts w:hint="eastAsia"/>
          <w:b/>
          <w:color w:val="auto"/>
          <w:sz w:val="24"/>
          <w:lang w:eastAsia="zh-CN"/>
        </w:rPr>
        <w:t>东</w:t>
      </w:r>
      <w:r>
        <w:rPr>
          <w:rFonts w:hint="eastAsia"/>
          <w:b/>
          <w:color w:val="auto"/>
          <w:sz w:val="24"/>
        </w:rPr>
        <w:t>侧空地                      集控中心一期污水站</w:t>
      </w:r>
    </w:p>
    <w:p>
      <w:pPr>
        <w:spacing w:line="360" w:lineRule="auto"/>
        <w:jc w:val="center"/>
        <w:rPr>
          <w:b/>
          <w:bCs/>
          <w:color w:val="auto"/>
          <w:sz w:val="24"/>
        </w:rPr>
      </w:pPr>
      <w:r>
        <w:rPr>
          <w:rFonts w:hint="eastAsia"/>
          <w:b/>
          <w:bCs/>
          <w:color w:val="auto"/>
          <w:sz w:val="24"/>
        </w:rPr>
        <w:t>图3.1-3 现场照片</w:t>
      </w:r>
    </w:p>
    <w:p>
      <w:pPr>
        <w:pStyle w:val="2"/>
        <w:ind w:firstLine="0"/>
        <w:rPr>
          <w:color w:val="auto"/>
        </w:rPr>
      </w:pPr>
    </w:p>
    <w:p>
      <w:pPr>
        <w:adjustRightInd w:val="0"/>
        <w:snapToGrid w:val="0"/>
        <w:spacing w:line="360" w:lineRule="auto"/>
        <w:outlineLvl w:val="2"/>
        <w:rPr>
          <w:b/>
          <w:color w:val="auto"/>
          <w:sz w:val="24"/>
        </w:rPr>
      </w:pPr>
      <w:r>
        <w:rPr>
          <w:b/>
          <w:color w:val="auto"/>
          <w:sz w:val="24"/>
        </w:rPr>
        <w:t>3.2.2</w:t>
      </w:r>
      <w:r>
        <w:rPr>
          <w:rFonts w:hint="eastAsia"/>
          <w:b/>
          <w:color w:val="auto"/>
          <w:sz w:val="24"/>
        </w:rPr>
        <w:t>气候概况</w:t>
      </w:r>
    </w:p>
    <w:p>
      <w:pPr>
        <w:spacing w:line="360" w:lineRule="auto"/>
        <w:ind w:firstLine="480" w:firstLineChars="200"/>
        <w:rPr>
          <w:color w:val="auto"/>
          <w:sz w:val="24"/>
        </w:rPr>
      </w:pPr>
      <w:r>
        <w:rPr>
          <w:color w:val="auto"/>
          <w:sz w:val="24"/>
        </w:rPr>
        <w:t>本项目所在地福鼎市中亚热带季风气候区，海洋性气候特征显著，雨量充沛，日照充足，无霜期长。夏季常受西太平洋副热带高压控制，冬季则受西伯利亚冷气团影响。春末夏初有一雨量集中期，夏秋季常有台风出现。冬季盛行偏北风，夏季多为东南风。据福鼎市30年气象统计资料，福鼎市多年平均气温17℃，多年平均气压1011.5hPa，多年平均降水量1800mm，多年平均相对湿度83％，全年风频最高的风向为N，频率为20%，次主要风向为NNE，频率为11%，平均风速较小为1.2m/s。</w:t>
      </w:r>
    </w:p>
    <w:p>
      <w:pPr>
        <w:spacing w:line="360" w:lineRule="auto"/>
        <w:ind w:firstLine="480" w:firstLineChars="200"/>
        <w:rPr>
          <w:color w:val="auto"/>
          <w:sz w:val="24"/>
        </w:rPr>
      </w:pPr>
      <w:r>
        <w:rPr>
          <w:color w:val="auto"/>
          <w:sz w:val="24"/>
        </w:rPr>
        <w:t>7月份最热，月平均气温28.2°C；1月份最冷， 8.6°C。极端最高气温40.6°C（1989年7月20），极端最低气温-5.2°C（1999年12月23日）。多年平均无霜期268天。</w:t>
      </w:r>
    </w:p>
    <w:p>
      <w:pPr>
        <w:spacing w:line="360" w:lineRule="auto"/>
        <w:ind w:firstLine="480" w:firstLineChars="200"/>
        <w:rPr>
          <w:color w:val="auto"/>
          <w:sz w:val="24"/>
        </w:rPr>
      </w:pPr>
      <w:r>
        <w:rPr>
          <w:color w:val="auto"/>
          <w:sz w:val="24"/>
        </w:rPr>
        <w:t>年最大降水量2484.4mm（1973年），年最小降水量1045.5mm（1967年），月最大降水量808.3mm（1956年9月），月最小降水量0.0mm（1979年10月、1999年11月）。日最大降水量379.6mm，出现在1960年9月24日。雨量受地形影响分布不均，大致是西北、西南山区向东南沿海渐减。西北、西南山区及太姥山地区年降水量为1700.0~2200.0mm，沿海地区年降水量在1300.0~1700.0mm，岛屿年平均降水量不到1200.0mm。</w:t>
      </w:r>
    </w:p>
    <w:p>
      <w:pPr>
        <w:spacing w:line="360" w:lineRule="auto"/>
        <w:ind w:firstLine="480" w:firstLineChars="200"/>
        <w:rPr>
          <w:color w:val="auto"/>
          <w:sz w:val="24"/>
        </w:rPr>
      </w:pPr>
      <w:r>
        <w:rPr>
          <w:color w:val="auto"/>
          <w:sz w:val="24"/>
        </w:rPr>
        <w:t>年平均蒸发量为1314.2mm。6月至10月蒸发较强，月蒸发量均在120.0mm以上。年平均日照时数为1840.1h，日照百分率42%。日照月际间分布差异较大，以七、八月份为多，月平均日照时数分别为236.5与224.8h；最少的是每年2月份，只有87.5h。</w:t>
      </w:r>
    </w:p>
    <w:p>
      <w:pPr>
        <w:spacing w:line="360" w:lineRule="auto"/>
        <w:ind w:firstLine="480" w:firstLineChars="200"/>
        <w:rPr>
          <w:color w:val="auto"/>
          <w:sz w:val="24"/>
        </w:rPr>
      </w:pPr>
      <w:r>
        <w:rPr>
          <w:color w:val="auto"/>
          <w:sz w:val="24"/>
        </w:rPr>
        <w:t>年平均雾日为12.8天，年最多雾日30天，出现在1953年，年最少雾日4日，出现在1994年。春季（3~5月）为多雾季节，雾日数占全年的46.1%，其次是冬季（12月~翌年2月），占全年的39.8%。</w:t>
      </w:r>
    </w:p>
    <w:p>
      <w:pPr>
        <w:adjustRightInd w:val="0"/>
        <w:snapToGrid w:val="0"/>
        <w:spacing w:line="360" w:lineRule="auto"/>
        <w:outlineLvl w:val="2"/>
        <w:rPr>
          <w:b/>
          <w:color w:val="auto"/>
          <w:sz w:val="24"/>
        </w:rPr>
      </w:pPr>
      <w:r>
        <w:rPr>
          <w:b/>
          <w:color w:val="auto"/>
          <w:sz w:val="24"/>
        </w:rPr>
        <w:t>3.2.3</w:t>
      </w:r>
      <w:r>
        <w:rPr>
          <w:rFonts w:hint="eastAsia"/>
          <w:b/>
          <w:color w:val="auto"/>
          <w:sz w:val="24"/>
        </w:rPr>
        <w:t>水文概况</w:t>
      </w:r>
    </w:p>
    <w:p>
      <w:pPr>
        <w:spacing w:line="360" w:lineRule="auto"/>
        <w:outlineLvl w:val="3"/>
        <w:rPr>
          <w:color w:val="auto"/>
          <w:sz w:val="24"/>
        </w:rPr>
      </w:pPr>
      <w:bookmarkStart w:id="0" w:name="_Toc398909919"/>
      <w:r>
        <w:rPr>
          <w:color w:val="auto"/>
          <w:sz w:val="24"/>
        </w:rPr>
        <w:t>3.</w:t>
      </w:r>
      <w:r>
        <w:rPr>
          <w:rFonts w:hint="eastAsia"/>
          <w:color w:val="auto"/>
          <w:sz w:val="24"/>
        </w:rPr>
        <w:t>2.3</w:t>
      </w:r>
      <w:r>
        <w:rPr>
          <w:color w:val="auto"/>
          <w:sz w:val="24"/>
        </w:rPr>
        <w:t>.1 地表水系</w:t>
      </w:r>
      <w:bookmarkEnd w:id="0"/>
    </w:p>
    <w:p>
      <w:pPr>
        <w:spacing w:line="360" w:lineRule="auto"/>
        <w:ind w:firstLine="480" w:firstLineChars="200"/>
        <w:rPr>
          <w:color w:val="auto"/>
          <w:sz w:val="24"/>
        </w:rPr>
      </w:pPr>
      <w:r>
        <w:rPr>
          <w:color w:val="auto"/>
          <w:sz w:val="24"/>
        </w:rPr>
        <w:t>福鼎市境内大小溪流纵横密布，形如张开手掌，具有向心状水系特点。境内大小溪流纵横密布，流域面积100km</w:t>
      </w:r>
      <w:r>
        <w:rPr>
          <w:color w:val="auto"/>
          <w:sz w:val="24"/>
          <w:vertAlign w:val="superscript"/>
        </w:rPr>
        <w:t>2</w:t>
      </w:r>
      <w:r>
        <w:rPr>
          <w:color w:val="auto"/>
          <w:sz w:val="24"/>
        </w:rPr>
        <w:t>以上的溪流有5条，合计年平均径流量10.16亿m</w:t>
      </w:r>
      <w:r>
        <w:rPr>
          <w:color w:val="auto"/>
          <w:sz w:val="24"/>
          <w:vertAlign w:val="superscript"/>
        </w:rPr>
        <w:t>3</w:t>
      </w:r>
      <w:r>
        <w:rPr>
          <w:color w:val="auto"/>
          <w:sz w:val="24"/>
        </w:rPr>
        <w:t>，全市内河长度171.6km，水利理论资源储藏量8.75万千瓦。</w:t>
      </w:r>
    </w:p>
    <w:p>
      <w:pPr>
        <w:spacing w:line="360" w:lineRule="auto"/>
        <w:ind w:firstLine="480" w:firstLineChars="200"/>
        <w:rPr>
          <w:color w:val="auto"/>
          <w:sz w:val="24"/>
        </w:rPr>
      </w:pPr>
      <w:r>
        <w:rPr>
          <w:color w:val="auto"/>
          <w:sz w:val="24"/>
        </w:rPr>
        <w:t>全市流域面积在30km</w:t>
      </w:r>
      <w:r>
        <w:rPr>
          <w:color w:val="auto"/>
          <w:sz w:val="24"/>
          <w:vertAlign w:val="superscript"/>
        </w:rPr>
        <w:t>2</w:t>
      </w:r>
      <w:r>
        <w:rPr>
          <w:color w:val="auto"/>
          <w:sz w:val="24"/>
        </w:rPr>
        <w:t>以上的溪流有9条。其中30~100km</w:t>
      </w:r>
      <w:r>
        <w:rPr>
          <w:color w:val="auto"/>
          <w:sz w:val="24"/>
          <w:vertAlign w:val="superscript"/>
        </w:rPr>
        <w:t>2</w:t>
      </w:r>
      <w:r>
        <w:rPr>
          <w:color w:val="auto"/>
          <w:sz w:val="24"/>
        </w:rPr>
        <w:t>的有双岳、硖门、三门、王孙4条；100km</w:t>
      </w:r>
      <w:r>
        <w:rPr>
          <w:color w:val="auto"/>
          <w:sz w:val="24"/>
          <w:vertAlign w:val="superscript"/>
        </w:rPr>
        <w:t>2</w:t>
      </w:r>
      <w:r>
        <w:rPr>
          <w:color w:val="auto"/>
          <w:sz w:val="24"/>
        </w:rPr>
        <w:t>以上的有水北溪（即桐山溪）、赤溪、溪头溪、百步溪</w:t>
      </w:r>
      <w:r>
        <w:rPr>
          <w:rFonts w:hint="eastAsia"/>
          <w:color w:val="auto"/>
          <w:sz w:val="24"/>
        </w:rPr>
        <w:t>等</w:t>
      </w:r>
      <w:r>
        <w:rPr>
          <w:color w:val="auto"/>
          <w:sz w:val="24"/>
        </w:rPr>
        <w:t>5条。水系可分为北部水系（水北溪、照澜溪）、中部水系（百步溪）和西部、西南部水系（溪头溪、赤溪）三个部分。降水程度的大小直接影响到河流径流量。全市径流量最大的水北溪，年平均4.24亿m</w:t>
      </w:r>
      <w:r>
        <w:rPr>
          <w:color w:val="auto"/>
          <w:sz w:val="24"/>
          <w:vertAlign w:val="superscript"/>
        </w:rPr>
        <w:t>3</w:t>
      </w:r>
      <w:r>
        <w:rPr>
          <w:color w:val="auto"/>
          <w:sz w:val="24"/>
        </w:rPr>
        <w:t>。其次是赤溪，年平均径流量3.46亿m</w:t>
      </w:r>
      <w:r>
        <w:rPr>
          <w:color w:val="auto"/>
          <w:sz w:val="24"/>
          <w:vertAlign w:val="superscript"/>
        </w:rPr>
        <w:t>3</w:t>
      </w:r>
      <w:r>
        <w:rPr>
          <w:color w:val="auto"/>
          <w:sz w:val="24"/>
        </w:rPr>
        <w:t>。溪头溪和照澜溪年平均量较少，分别为1.46亿m</w:t>
      </w:r>
      <w:r>
        <w:rPr>
          <w:color w:val="auto"/>
          <w:sz w:val="24"/>
          <w:vertAlign w:val="superscript"/>
        </w:rPr>
        <w:t>3</w:t>
      </w:r>
      <w:r>
        <w:rPr>
          <w:color w:val="auto"/>
          <w:sz w:val="24"/>
        </w:rPr>
        <w:t>与1亿m</w:t>
      </w:r>
      <w:r>
        <w:rPr>
          <w:color w:val="auto"/>
          <w:sz w:val="24"/>
          <w:vertAlign w:val="superscript"/>
        </w:rPr>
        <w:t>3</w:t>
      </w:r>
      <w:r>
        <w:rPr>
          <w:color w:val="auto"/>
          <w:sz w:val="24"/>
        </w:rPr>
        <w:t>。</w:t>
      </w:r>
    </w:p>
    <w:p>
      <w:pPr>
        <w:spacing w:line="360" w:lineRule="auto"/>
        <w:ind w:firstLine="480" w:firstLineChars="200"/>
        <w:rPr>
          <w:color w:val="auto"/>
          <w:sz w:val="24"/>
        </w:rPr>
      </w:pPr>
      <w:r>
        <w:rPr>
          <w:color w:val="auto"/>
          <w:sz w:val="24"/>
        </w:rPr>
        <w:t>福鼎市东南沿海主要河流有：罗溪、罗里溪、吉溪、才堡溪、秋溪、柏洋溪、硖门溪等，均发源于太姥山脉，其中硖门溪流域面积48km</w:t>
      </w:r>
      <w:r>
        <w:rPr>
          <w:color w:val="auto"/>
          <w:sz w:val="24"/>
          <w:vertAlign w:val="superscript"/>
        </w:rPr>
        <w:t>2</w:t>
      </w:r>
      <w:r>
        <w:rPr>
          <w:color w:val="auto"/>
          <w:sz w:val="24"/>
        </w:rPr>
        <w:t>，主河长18.2km，其它均在30km</w:t>
      </w:r>
      <w:r>
        <w:rPr>
          <w:color w:val="auto"/>
          <w:sz w:val="24"/>
          <w:vertAlign w:val="superscript"/>
        </w:rPr>
        <w:t>2</w:t>
      </w:r>
      <w:r>
        <w:rPr>
          <w:color w:val="auto"/>
          <w:sz w:val="24"/>
        </w:rPr>
        <w:t>以下，这些小溪河的特点是：源短流急，暴雨强度大，河流比较陡，汇流时间短，相应洪峰大，发洪几率高。</w:t>
      </w:r>
    </w:p>
    <w:p>
      <w:pPr>
        <w:spacing w:line="360" w:lineRule="auto"/>
        <w:ind w:firstLine="480" w:firstLineChars="200"/>
        <w:rPr>
          <w:color w:val="auto"/>
          <w:sz w:val="24"/>
        </w:rPr>
      </w:pPr>
      <w:r>
        <w:rPr>
          <w:color w:val="auto"/>
          <w:sz w:val="24"/>
        </w:rPr>
        <w:t>汇流进入项目所在区域海区的主要河流有柏洋溪等。附近区域内主要蓄水工程包括硖门溪的瑞云水库、柏洋溪的渠洋溪水库等，其中瑞云水库总库容164万m</w:t>
      </w:r>
      <w:r>
        <w:rPr>
          <w:color w:val="auto"/>
          <w:sz w:val="24"/>
          <w:vertAlign w:val="superscript"/>
        </w:rPr>
        <w:t>3</w:t>
      </w:r>
      <w:r>
        <w:rPr>
          <w:color w:val="auto"/>
          <w:sz w:val="24"/>
        </w:rPr>
        <w:t>，兴利库容109万m</w:t>
      </w:r>
      <w:r>
        <w:rPr>
          <w:color w:val="auto"/>
          <w:sz w:val="24"/>
          <w:vertAlign w:val="superscript"/>
        </w:rPr>
        <w:t>3</w:t>
      </w:r>
      <w:r>
        <w:rPr>
          <w:color w:val="auto"/>
          <w:sz w:val="24"/>
        </w:rPr>
        <w:t>，渠洋溪水库库容36万m</w:t>
      </w:r>
      <w:r>
        <w:rPr>
          <w:color w:val="auto"/>
          <w:sz w:val="24"/>
          <w:vertAlign w:val="superscript"/>
        </w:rPr>
        <w:t>3</w:t>
      </w:r>
      <w:r>
        <w:rPr>
          <w:color w:val="auto"/>
          <w:sz w:val="24"/>
        </w:rPr>
        <w:t>。</w:t>
      </w:r>
    </w:p>
    <w:p>
      <w:pPr>
        <w:spacing w:line="360" w:lineRule="auto"/>
        <w:outlineLvl w:val="3"/>
        <w:rPr>
          <w:color w:val="auto"/>
          <w:sz w:val="24"/>
        </w:rPr>
      </w:pPr>
      <w:r>
        <w:rPr>
          <w:color w:val="auto"/>
          <w:sz w:val="24"/>
        </w:rPr>
        <w:t>3.</w:t>
      </w:r>
      <w:r>
        <w:rPr>
          <w:rFonts w:hint="eastAsia"/>
          <w:color w:val="auto"/>
          <w:sz w:val="24"/>
        </w:rPr>
        <w:t>2.3</w:t>
      </w:r>
      <w:r>
        <w:rPr>
          <w:color w:val="auto"/>
          <w:sz w:val="24"/>
        </w:rPr>
        <w:t>.2地下水</w:t>
      </w:r>
    </w:p>
    <w:p>
      <w:pPr>
        <w:autoSpaceDE w:val="0"/>
        <w:autoSpaceDN w:val="0"/>
        <w:spacing w:line="360" w:lineRule="auto"/>
        <w:ind w:firstLine="480" w:firstLineChars="200"/>
        <w:textAlignment w:val="bottom"/>
        <w:rPr>
          <w:color w:val="auto"/>
          <w:sz w:val="24"/>
        </w:rPr>
      </w:pPr>
      <w:r>
        <w:rPr>
          <w:color w:val="auto"/>
          <w:sz w:val="24"/>
        </w:rPr>
        <w:t>文渡工业区地下水水质差，潜水层内水质受海水侵蚀，偏咸，而且水量少，不宜作为饮用水开发。秦屿镇居民生活饮用水由区域内的金鸡山水库提供，硖门畲族乡的居民生活饮用水由区域内的三角坑水库提供，项目周边居民生活饮用水由渠洋溪水库提供。</w:t>
      </w:r>
    </w:p>
    <w:p>
      <w:pPr>
        <w:spacing w:line="360" w:lineRule="auto"/>
        <w:outlineLvl w:val="3"/>
        <w:rPr>
          <w:color w:val="auto"/>
          <w:sz w:val="24"/>
        </w:rPr>
      </w:pPr>
      <w:r>
        <w:rPr>
          <w:color w:val="auto"/>
          <w:sz w:val="24"/>
        </w:rPr>
        <w:t>3.</w:t>
      </w:r>
      <w:r>
        <w:rPr>
          <w:rFonts w:hint="eastAsia"/>
          <w:color w:val="auto"/>
          <w:sz w:val="24"/>
        </w:rPr>
        <w:t>2.3</w:t>
      </w:r>
      <w:r>
        <w:rPr>
          <w:color w:val="auto"/>
          <w:sz w:val="24"/>
        </w:rPr>
        <w:t>.3海洋</w:t>
      </w:r>
    </w:p>
    <w:p>
      <w:pPr>
        <w:autoSpaceDE w:val="0"/>
        <w:autoSpaceDN w:val="0"/>
        <w:spacing w:line="360" w:lineRule="auto"/>
        <w:ind w:firstLine="480" w:firstLineChars="200"/>
        <w:textAlignment w:val="bottom"/>
        <w:rPr>
          <w:color w:val="auto"/>
          <w:sz w:val="24"/>
        </w:rPr>
      </w:pPr>
      <w:r>
        <w:rPr>
          <w:color w:val="auto"/>
          <w:sz w:val="24"/>
        </w:rPr>
        <w:t>福鼎沿海潮汐性质属于正规半日潮。根据沙埕水文站的实测潮位资料分析结果，沙埕港最高潮位为10.40m（1974年8月18日），最低潮位为3.30m（1964年12月20日），平均高潮位为9.26m，平均低潮位为5.09m，平均海面7.24m，平均落潮历时为6h12min。</w:t>
      </w:r>
    </w:p>
    <w:p>
      <w:pPr>
        <w:autoSpaceDE w:val="0"/>
        <w:autoSpaceDN w:val="0"/>
        <w:spacing w:line="360" w:lineRule="auto"/>
        <w:ind w:firstLine="480" w:firstLineChars="200"/>
        <w:textAlignment w:val="bottom"/>
        <w:rPr>
          <w:color w:val="auto"/>
          <w:sz w:val="24"/>
        </w:rPr>
      </w:pPr>
      <w:r>
        <w:rPr>
          <w:color w:val="auto"/>
          <w:sz w:val="24"/>
        </w:rPr>
        <w:t>海水温度：年平均18.9℃。1~2月受北方冷空气和闽浙沿岸低温影响，水温降至全年最低，月平均水温最低，为10.0℃，极端最低温度为7.0℃；5~6月普遍增温，月际平均变幅为16.7℃；7~8月水温升至全年最高，水温平均为26.7℃，最高温度为28.2℃；10~11月海区水温明显下降，水温平均为15.4℃。水温垂直分布，冬季变化均匀，春季、夏季随深度增加而降低，且大部分海域出现不同程度的的温度跃层。</w:t>
      </w:r>
    </w:p>
    <w:p>
      <w:pPr>
        <w:autoSpaceDE w:val="0"/>
        <w:autoSpaceDN w:val="0"/>
        <w:spacing w:line="360" w:lineRule="auto"/>
        <w:ind w:firstLine="480" w:firstLineChars="200"/>
        <w:textAlignment w:val="bottom"/>
        <w:rPr>
          <w:color w:val="auto"/>
          <w:sz w:val="24"/>
        </w:rPr>
      </w:pPr>
      <w:r>
        <w:rPr>
          <w:color w:val="auto"/>
          <w:sz w:val="24"/>
        </w:rPr>
        <w:t>盐度：明显受季节变化、水系交换的影响。在5～9月，东南季风盛行期间，受北上台湾海峡水的影响，海水盐度较高，盐度分布变化在23.5～33.5之间；在10月至翌年4月，受随东北风盛行南下的浙闽沿岸流的控制，呈现低盐度特征，盐度分布变化范围在20.8～30.0之间。盐度随深度增加而升高，但增加缓慢，无跃层出现；水平分布呈港外海区高于港内海区。</w:t>
      </w:r>
    </w:p>
    <w:p>
      <w:pPr>
        <w:autoSpaceDE w:val="0"/>
        <w:autoSpaceDN w:val="0"/>
        <w:spacing w:line="360" w:lineRule="auto"/>
        <w:ind w:firstLine="480" w:firstLineChars="200"/>
        <w:textAlignment w:val="bottom"/>
        <w:rPr>
          <w:color w:val="auto"/>
          <w:sz w:val="24"/>
        </w:rPr>
      </w:pPr>
      <w:r>
        <w:rPr>
          <w:color w:val="auto"/>
          <w:sz w:val="24"/>
        </w:rPr>
        <w:t>潮汐及潮流：潮汐为正规半日潮，潮流属半日潮流。潮流的运动主要是受海岸线和地形的影响，主要半日潮的涨、落潮流呈往复式流动，涨潮流比落潮流弱。落潮最大流速大于涨潮最大流速，表层大于底层。其中沙埕港是我省天然良港，属正规半日潮，平均海平面为0.23m，潮汐在港内属往返流，落潮速大于涨潮速。历年最高潮位4.54m，多年平均高潮位2.51m，历年最低潮位-2.2m，最大潮差7.96m，平均潮差为5.36m。</w:t>
      </w:r>
    </w:p>
    <w:p>
      <w:pPr>
        <w:autoSpaceDE w:val="0"/>
        <w:autoSpaceDN w:val="0"/>
        <w:spacing w:line="360" w:lineRule="auto"/>
        <w:ind w:firstLine="480" w:firstLineChars="200"/>
        <w:textAlignment w:val="bottom"/>
        <w:rPr>
          <w:color w:val="auto"/>
          <w:sz w:val="24"/>
        </w:rPr>
      </w:pPr>
      <w:r>
        <w:rPr>
          <w:color w:val="auto"/>
          <w:sz w:val="24"/>
        </w:rPr>
        <w:t>波浪：福鼎海域波浪的常浪向ENE，频率38％，次常浪向NNE，频率18％。强浪向E，最大波高7.7m，次强浪向ENE，最大波高6.2m。平均波高1.4m，平均周期5.9s。最大平均波高3.2m，SE向，出现最多的是3～4级浪，频率94％。沙埕港湾口朝向SE，港内两岸丘陵夹峙，周围有高山掩护，口门有南镇半岛环护，湾口外又有南关岛等阻挡，因此港湾水面平静，是东南沿海良好的避风港。</w:t>
      </w:r>
    </w:p>
    <w:p>
      <w:pPr>
        <w:adjustRightInd w:val="0"/>
        <w:snapToGrid w:val="0"/>
        <w:spacing w:line="360" w:lineRule="auto"/>
        <w:outlineLvl w:val="2"/>
        <w:rPr>
          <w:b/>
          <w:color w:val="auto"/>
          <w:sz w:val="24"/>
        </w:rPr>
      </w:pPr>
      <w:r>
        <w:rPr>
          <w:b/>
          <w:color w:val="auto"/>
          <w:sz w:val="24"/>
        </w:rPr>
        <w:t>3.2.4</w:t>
      </w:r>
      <w:r>
        <w:rPr>
          <w:rFonts w:hint="eastAsia"/>
          <w:b/>
          <w:color w:val="auto"/>
          <w:sz w:val="24"/>
        </w:rPr>
        <w:t>植被概况</w:t>
      </w:r>
    </w:p>
    <w:p>
      <w:pPr>
        <w:adjustRightInd w:val="0"/>
        <w:snapToGrid w:val="0"/>
        <w:spacing w:line="360" w:lineRule="auto"/>
        <w:ind w:firstLine="480" w:firstLineChars="200"/>
        <w:rPr>
          <w:color w:val="auto"/>
          <w:sz w:val="24"/>
        </w:rPr>
      </w:pPr>
      <w:r>
        <w:rPr>
          <w:rFonts w:hint="eastAsia"/>
          <w:color w:val="auto"/>
          <w:sz w:val="24"/>
        </w:rPr>
        <w:t>区域原生植物已无残留，次生植被也较少，大多数为人工栽种植被。山地丘陵地带植被主要以常绿针叶林为主，主要植被类型有马尾松、杉木、木麻黄等，林地植被构成则受人为活动影响而略有差异；交通、水源条件较好，区内主要为人工种植的行道树及各个企业人工绿地植被，同时还有人工栽培的柑桔、桃、李、枇杷等果树。</w:t>
      </w:r>
    </w:p>
    <w:p>
      <w:pPr>
        <w:adjustRightInd w:val="0"/>
        <w:snapToGrid w:val="0"/>
        <w:spacing w:line="360" w:lineRule="auto"/>
        <w:outlineLvl w:val="1"/>
        <w:rPr>
          <w:b/>
          <w:color w:val="auto"/>
          <w:sz w:val="28"/>
          <w:szCs w:val="28"/>
        </w:rPr>
      </w:pPr>
      <w:r>
        <w:rPr>
          <w:b/>
          <w:color w:val="auto"/>
          <w:sz w:val="28"/>
          <w:szCs w:val="28"/>
        </w:rPr>
        <w:t>3.3 福鼎市温州园文渡工业集中区总体规划</w:t>
      </w:r>
    </w:p>
    <w:p>
      <w:pPr>
        <w:adjustRightInd w:val="0"/>
        <w:snapToGrid w:val="0"/>
        <w:spacing w:line="360" w:lineRule="auto"/>
        <w:outlineLvl w:val="2"/>
        <w:rPr>
          <w:b/>
          <w:color w:val="auto"/>
          <w:sz w:val="24"/>
        </w:rPr>
      </w:pPr>
      <w:r>
        <w:rPr>
          <w:b/>
          <w:color w:val="auto"/>
          <w:sz w:val="24"/>
        </w:rPr>
        <w:t>3.3.1文渡工业集中区地理位置</w:t>
      </w:r>
    </w:p>
    <w:p>
      <w:pPr>
        <w:autoSpaceDE w:val="0"/>
        <w:autoSpaceDN w:val="0"/>
        <w:spacing w:line="360" w:lineRule="auto"/>
        <w:ind w:firstLine="480" w:firstLineChars="200"/>
        <w:textAlignment w:val="bottom"/>
        <w:rPr>
          <w:color w:val="auto"/>
          <w:sz w:val="24"/>
        </w:rPr>
      </w:pPr>
      <w:r>
        <w:rPr>
          <w:color w:val="auto"/>
          <w:sz w:val="24"/>
        </w:rPr>
        <w:t>福建福鼎市温州园文渡工业集中区创办于2004年4月，位于福鼎市太姥山镇与硖门乡交界处，是利用原国有盐场和水产养殖公司闲置土地进行开发建设的。在世界地质公园太姥山与牛郎岗海滨度假区之间，距秦屿高速公路3公里，距太姥山火车站5公里。</w:t>
      </w:r>
    </w:p>
    <w:p>
      <w:pPr>
        <w:adjustRightInd w:val="0"/>
        <w:snapToGrid w:val="0"/>
        <w:spacing w:before="156" w:beforeLines="50" w:line="360" w:lineRule="auto"/>
        <w:outlineLvl w:val="2"/>
        <w:rPr>
          <w:b/>
          <w:color w:val="auto"/>
          <w:sz w:val="24"/>
        </w:rPr>
      </w:pPr>
      <w:r>
        <w:rPr>
          <w:b/>
          <w:color w:val="auto"/>
          <w:sz w:val="24"/>
        </w:rPr>
        <w:t>3.3.2文渡工业集中区产业规划</w:t>
      </w:r>
    </w:p>
    <w:p>
      <w:pPr>
        <w:autoSpaceDE w:val="0"/>
        <w:autoSpaceDN w:val="0"/>
        <w:spacing w:line="360" w:lineRule="auto"/>
        <w:ind w:firstLine="480" w:firstLineChars="200"/>
        <w:textAlignment w:val="bottom"/>
        <w:rPr>
          <w:color w:val="auto"/>
          <w:sz w:val="24"/>
        </w:rPr>
      </w:pPr>
      <w:r>
        <w:rPr>
          <w:color w:val="auto"/>
          <w:sz w:val="24"/>
        </w:rPr>
        <w:t>(1) 功能定位、产业定位</w:t>
      </w:r>
    </w:p>
    <w:p>
      <w:pPr>
        <w:autoSpaceDE w:val="0"/>
        <w:autoSpaceDN w:val="0"/>
        <w:spacing w:line="360" w:lineRule="auto"/>
        <w:ind w:firstLine="480" w:firstLineChars="200"/>
        <w:textAlignment w:val="bottom"/>
        <w:rPr>
          <w:color w:val="auto"/>
          <w:sz w:val="24"/>
        </w:rPr>
      </w:pPr>
      <w:r>
        <w:rPr>
          <w:color w:val="auto"/>
          <w:sz w:val="24"/>
        </w:rPr>
        <w:t>功能定位：以工业为主，成为福鼎市南部工业经济和南部各乡镇组团的重要组成部分。其作用地位主要体现在福鼎市工业产业升级的示范基地、展示现代化福鼎风貌的窗口、南部各乡镇的重要组成三方面</w:t>
      </w:r>
      <w:r>
        <w:rPr>
          <w:rFonts w:hint="eastAsia"/>
          <w:color w:val="auto"/>
          <w:sz w:val="24"/>
        </w:rPr>
        <w:t>。</w:t>
      </w:r>
    </w:p>
    <w:p>
      <w:pPr>
        <w:autoSpaceDE w:val="0"/>
        <w:autoSpaceDN w:val="0"/>
        <w:spacing w:line="360" w:lineRule="auto"/>
        <w:ind w:firstLine="480" w:firstLineChars="200"/>
        <w:textAlignment w:val="bottom"/>
        <w:rPr>
          <w:color w:val="auto"/>
          <w:sz w:val="24"/>
        </w:rPr>
      </w:pPr>
      <w:r>
        <w:rPr>
          <w:color w:val="auto"/>
          <w:sz w:val="24"/>
        </w:rPr>
        <w:t>产业定位：以合成革及合成革上游制造业、化学纤维制造业、非家用纺织制成品制造、黑色金属铸造及钢压延加工、通用设备制造、电子元件制造、金属表面处理和石膏、水泥制品制造等既有产业为基础；项目区以经三路(中央大道)为轴，分为东西两片区，合成革及合成革上游产业主要布置于西片区，在西片区南部建设金属表面处理中心，东片区逐步调整为黑色金属铸造及钢压延加工、通用设备制造、电子元件制造、新型建筑材料制造产业组团。</w:t>
      </w:r>
    </w:p>
    <w:p>
      <w:pPr>
        <w:autoSpaceDE w:val="0"/>
        <w:autoSpaceDN w:val="0"/>
        <w:spacing w:line="360" w:lineRule="auto"/>
        <w:ind w:firstLine="480" w:firstLineChars="200"/>
        <w:textAlignment w:val="bottom"/>
        <w:rPr>
          <w:color w:val="auto"/>
          <w:sz w:val="24"/>
        </w:rPr>
      </w:pPr>
      <w:r>
        <w:rPr>
          <w:color w:val="auto"/>
          <w:sz w:val="24"/>
        </w:rPr>
        <w:t>(2) 规划结构及布局</w:t>
      </w:r>
    </w:p>
    <w:p>
      <w:pPr>
        <w:autoSpaceDE w:val="0"/>
        <w:autoSpaceDN w:val="0"/>
        <w:spacing w:line="360" w:lineRule="auto"/>
        <w:ind w:firstLine="480" w:firstLineChars="200"/>
        <w:textAlignment w:val="bottom"/>
        <w:rPr>
          <w:color w:val="auto"/>
          <w:sz w:val="24"/>
        </w:rPr>
      </w:pPr>
      <w:r>
        <w:rPr>
          <w:color w:val="auto"/>
          <w:sz w:val="24"/>
        </w:rPr>
        <w:t>为加强文渡工业集中区与太姥山镇的联系，规划园区内36m主干道(经三路)向北与太姥山镇站前大道相接。根据整个园区的基地特征，规划形成“三横一纵”的道路主骨架，总体规划结构特点为：“一轴、两片”。</w:t>
      </w:r>
    </w:p>
    <w:p>
      <w:pPr>
        <w:autoSpaceDE w:val="0"/>
        <w:autoSpaceDN w:val="0"/>
        <w:spacing w:line="360" w:lineRule="auto"/>
        <w:ind w:firstLine="480" w:firstLineChars="200"/>
        <w:textAlignment w:val="bottom"/>
        <w:rPr>
          <w:color w:val="auto"/>
          <w:sz w:val="24"/>
        </w:rPr>
      </w:pPr>
      <w:r>
        <w:rPr>
          <w:color w:val="auto"/>
          <w:sz w:val="24"/>
        </w:rPr>
        <w:fldChar w:fldCharType="begin"/>
      </w:r>
      <w:r>
        <w:rPr>
          <w:color w:val="auto"/>
          <w:sz w:val="24"/>
        </w:rPr>
        <w:instrText xml:space="preserve"> = 1 \* GB3 \* MERGEFORMAT </w:instrText>
      </w:r>
      <w:r>
        <w:rPr>
          <w:color w:val="auto"/>
          <w:sz w:val="24"/>
        </w:rPr>
        <w:fldChar w:fldCharType="separate"/>
      </w:r>
      <w:r>
        <w:rPr>
          <w:color w:val="auto"/>
          <w:sz w:val="24"/>
        </w:rPr>
        <w:t>①</w:t>
      </w:r>
      <w:r>
        <w:rPr>
          <w:color w:val="auto"/>
          <w:sz w:val="24"/>
        </w:rPr>
        <w:fldChar w:fldCharType="end"/>
      </w:r>
      <w:r>
        <w:rPr>
          <w:color w:val="auto"/>
          <w:sz w:val="24"/>
        </w:rPr>
        <w:t>一轴</w:t>
      </w:r>
    </w:p>
    <w:p>
      <w:pPr>
        <w:autoSpaceDE w:val="0"/>
        <w:autoSpaceDN w:val="0"/>
        <w:spacing w:line="360" w:lineRule="auto"/>
        <w:ind w:firstLine="480" w:firstLineChars="200"/>
        <w:textAlignment w:val="bottom"/>
        <w:rPr>
          <w:color w:val="auto"/>
          <w:sz w:val="24"/>
        </w:rPr>
      </w:pPr>
      <w:r>
        <w:rPr>
          <w:color w:val="auto"/>
          <w:sz w:val="24"/>
        </w:rPr>
        <w:t>中央发展轴：在整个文渡工业集中区南北向布置一条主干道——经三路(中央大道)。通过中央大道联系公共管理区、以及滨水公园，形成完整的产业园发展形象与景观特点。</w:t>
      </w:r>
    </w:p>
    <w:p>
      <w:pPr>
        <w:autoSpaceDE w:val="0"/>
        <w:autoSpaceDN w:val="0"/>
        <w:spacing w:line="360" w:lineRule="auto"/>
        <w:ind w:firstLine="480" w:firstLineChars="200"/>
        <w:textAlignment w:val="bottom"/>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color w:val="auto"/>
          <w:sz w:val="24"/>
        </w:rPr>
        <w:t>②</w:t>
      </w:r>
      <w:r>
        <w:rPr>
          <w:color w:val="auto"/>
          <w:sz w:val="24"/>
        </w:rPr>
        <w:fldChar w:fldCharType="end"/>
      </w:r>
      <w:r>
        <w:rPr>
          <w:color w:val="auto"/>
          <w:sz w:val="24"/>
        </w:rPr>
        <w:t>两片</w:t>
      </w:r>
    </w:p>
    <w:p>
      <w:pPr>
        <w:autoSpaceDE w:val="0"/>
        <w:autoSpaceDN w:val="0"/>
        <w:spacing w:line="360" w:lineRule="auto"/>
        <w:ind w:firstLine="480" w:firstLineChars="200"/>
        <w:textAlignment w:val="bottom"/>
        <w:rPr>
          <w:color w:val="auto"/>
          <w:sz w:val="24"/>
        </w:rPr>
      </w:pPr>
      <w:r>
        <w:rPr>
          <w:color w:val="auto"/>
          <w:sz w:val="24"/>
        </w:rPr>
        <w:t>根据文渡工业集中区用地布置的整体性特点，由中央发展轴的分隔，把文渡工业集中区分为两片。一是中央发展轴的东片区，逐步调整为黑色金属铸造及钢压延加工、通用设备制造、电子元件制造、新型建筑材料制造产业组团。二是中央发展轴的西片区，合成革及合成革上游产业主要布置于西片区，在西片区南部建设金属表面处理中心。</w:t>
      </w:r>
    </w:p>
    <w:p>
      <w:pPr>
        <w:pStyle w:val="2"/>
        <w:rPr>
          <w:color w:val="auto"/>
        </w:rPr>
      </w:pPr>
    </w:p>
    <w:p>
      <w:pPr>
        <w:adjustRightInd w:val="0"/>
        <w:snapToGrid w:val="0"/>
        <w:spacing w:before="156" w:beforeLines="50" w:line="360" w:lineRule="auto"/>
        <w:outlineLvl w:val="2"/>
        <w:rPr>
          <w:b/>
          <w:color w:val="auto"/>
          <w:sz w:val="24"/>
        </w:rPr>
      </w:pPr>
      <w:r>
        <w:rPr>
          <w:b/>
          <w:color w:val="auto"/>
          <w:sz w:val="24"/>
        </w:rPr>
        <w:t>3.3.3区域基础设施现状</w:t>
      </w:r>
    </w:p>
    <w:p>
      <w:pPr>
        <w:autoSpaceDE w:val="0"/>
        <w:autoSpaceDN w:val="0"/>
        <w:spacing w:line="360" w:lineRule="auto"/>
        <w:ind w:firstLine="480" w:firstLineChars="200"/>
        <w:textAlignment w:val="bottom"/>
        <w:rPr>
          <w:color w:val="auto"/>
          <w:sz w:val="24"/>
        </w:rPr>
      </w:pPr>
      <w:r>
        <w:rPr>
          <w:color w:val="auto"/>
          <w:sz w:val="24"/>
        </w:rPr>
        <w:t>(1) 现状道路建设</w:t>
      </w:r>
    </w:p>
    <w:p>
      <w:pPr>
        <w:autoSpaceDE w:val="0"/>
        <w:autoSpaceDN w:val="0"/>
        <w:spacing w:line="360" w:lineRule="auto"/>
        <w:ind w:firstLine="480" w:firstLineChars="200"/>
        <w:textAlignment w:val="bottom"/>
        <w:rPr>
          <w:color w:val="auto"/>
          <w:sz w:val="24"/>
        </w:rPr>
      </w:pPr>
      <w:r>
        <w:rPr>
          <w:color w:val="auto"/>
          <w:sz w:val="24"/>
        </w:rPr>
        <w:t>项目所在区域对外交通以通往核电道路、县道973为主干线。沈海高速公路在柏洋村设柏洋互通口，与项目区纬七路相衔接。通过连接线直通高速，与福鼎市连接。</w:t>
      </w:r>
    </w:p>
    <w:p>
      <w:pPr>
        <w:autoSpaceDE w:val="0"/>
        <w:autoSpaceDN w:val="0"/>
        <w:spacing w:line="360" w:lineRule="auto"/>
        <w:ind w:firstLine="480" w:firstLineChars="200"/>
        <w:textAlignment w:val="bottom"/>
        <w:rPr>
          <w:color w:val="auto"/>
          <w:sz w:val="24"/>
        </w:rPr>
      </w:pPr>
      <w:r>
        <w:rPr>
          <w:color w:val="auto"/>
          <w:sz w:val="24"/>
        </w:rPr>
        <w:t>(2) 供水规划</w:t>
      </w:r>
    </w:p>
    <w:p>
      <w:pPr>
        <w:autoSpaceDE w:val="0"/>
        <w:autoSpaceDN w:val="0"/>
        <w:spacing w:line="360" w:lineRule="auto"/>
        <w:ind w:firstLine="480" w:firstLineChars="200"/>
        <w:textAlignment w:val="bottom"/>
        <w:rPr>
          <w:color w:val="auto"/>
          <w:sz w:val="24"/>
        </w:rPr>
      </w:pPr>
      <w:r>
        <w:rPr>
          <w:color w:val="auto"/>
          <w:sz w:val="24"/>
        </w:rPr>
        <w:t>文渡工业集中区现有可供生产、生活用水的水源有平桥水库、渠洋溪水库、瑞云水库。其中，平桥水库引水量5000t/d，渠洋溪水库引水量3000t/d，瑞云水库引水量12000t/d，共计20000t/d。</w:t>
      </w:r>
    </w:p>
    <w:p>
      <w:pPr>
        <w:autoSpaceDE w:val="0"/>
        <w:autoSpaceDN w:val="0"/>
        <w:spacing w:line="360" w:lineRule="auto"/>
        <w:ind w:firstLine="480" w:firstLineChars="200"/>
        <w:textAlignment w:val="bottom"/>
        <w:rPr>
          <w:color w:val="auto"/>
          <w:sz w:val="24"/>
        </w:rPr>
      </w:pPr>
      <w:r>
        <w:rPr>
          <w:color w:val="auto"/>
          <w:sz w:val="24"/>
        </w:rPr>
        <w:t>(3) 排水及污水处理现状</w:t>
      </w:r>
    </w:p>
    <w:p>
      <w:pPr>
        <w:autoSpaceDE w:val="0"/>
        <w:autoSpaceDN w:val="0"/>
        <w:spacing w:line="360" w:lineRule="auto"/>
        <w:ind w:firstLine="480" w:firstLineChars="200"/>
        <w:textAlignment w:val="bottom"/>
        <w:rPr>
          <w:color w:val="auto"/>
          <w:sz w:val="24"/>
        </w:rPr>
      </w:pPr>
      <w:r>
        <w:rPr>
          <w:color w:val="auto"/>
          <w:sz w:val="24"/>
        </w:rPr>
        <w:t>园区规划污水收集率为100%。园区主要为工业污水，以产污系数90%，截污系数80%测算，最大污水量为2.0万m</w:t>
      </w:r>
      <w:r>
        <w:rPr>
          <w:color w:val="auto"/>
          <w:sz w:val="24"/>
          <w:vertAlign w:val="superscript"/>
        </w:rPr>
        <w:t>3</w:t>
      </w:r>
      <w:r>
        <w:rPr>
          <w:color w:val="auto"/>
          <w:sz w:val="24"/>
        </w:rPr>
        <w:t>/d。园区</w:t>
      </w:r>
      <w:r>
        <w:rPr>
          <w:rFonts w:hint="eastAsia"/>
          <w:color w:val="auto"/>
          <w:sz w:val="24"/>
        </w:rPr>
        <w:t>现有</w:t>
      </w:r>
      <w:r>
        <w:rPr>
          <w:color w:val="auto"/>
          <w:sz w:val="24"/>
        </w:rPr>
        <w:t>2座污水处理厂，一座为园区污水处理厂，在经三路上布置污水干管，管径为Ф800，污水由管道统一收集至园区污水处理厂处理后，排入到园区南侧滞洪区。另外，文渡</w:t>
      </w:r>
      <w:r>
        <w:rPr>
          <w:rFonts w:hint="eastAsia"/>
          <w:color w:val="auto"/>
          <w:sz w:val="24"/>
          <w:lang w:eastAsia="zh-CN"/>
        </w:rPr>
        <w:t>金属表面处理</w:t>
      </w:r>
      <w:r>
        <w:rPr>
          <w:color w:val="auto"/>
          <w:sz w:val="24"/>
        </w:rPr>
        <w:t>集控中心另配套建设污水处理厂一座</w:t>
      </w:r>
      <w:r>
        <w:rPr>
          <w:rFonts w:hint="eastAsia"/>
          <w:color w:val="auto"/>
          <w:sz w:val="24"/>
          <w:lang w:eastAsia="zh-CN"/>
        </w:rPr>
        <w:t>作为入驻企业车间处理措施</w:t>
      </w:r>
      <w:r>
        <w:rPr>
          <w:color w:val="auto"/>
          <w:sz w:val="24"/>
        </w:rPr>
        <w:t>，处理达标后的污水经园区污水处理厂排水管道及排水口排入南侧滞洪区。</w:t>
      </w:r>
    </w:p>
    <w:p>
      <w:pPr>
        <w:pStyle w:val="91"/>
        <w:rPr>
          <w:rFonts w:ascii="Times New Roman" w:hAnsi="Times New Roman"/>
          <w:color w:val="auto"/>
        </w:rPr>
      </w:pPr>
      <w:r>
        <w:rPr>
          <w:rFonts w:hint="eastAsia"/>
          <w:color w:val="auto"/>
        </w:rPr>
        <w:t>本项目生产废水依托文渡电镀集控中心已建成的一期污水站进行处理。</w:t>
      </w:r>
      <w:r>
        <w:rPr>
          <w:rFonts w:ascii="Times New Roman" w:hAnsi="Times New Roman"/>
          <w:color w:val="auto"/>
          <w:kern w:val="0"/>
        </w:rPr>
        <w:t>根据现场调查可知，目前集控中心已建成一期厂房（即2座厂房）并配套一座处理规模为1800t/d的污水处理站（其中含铬废水400t/d，含镍废水200t/d、含氰废水200t/d，含油废水200t/d，综合废水800t/d），二期工程还未建设。根据《</w:t>
      </w:r>
      <w:r>
        <w:rPr>
          <w:rFonts w:ascii="Times New Roman" w:hAnsi="Times New Roman"/>
          <w:color w:val="auto"/>
          <w:szCs w:val="32"/>
        </w:rPr>
        <w:t>福鼎市文渡金属表面处理集控中心环境影响报告书</w:t>
      </w:r>
      <w:r>
        <w:rPr>
          <w:rFonts w:ascii="Times New Roman" w:hAnsi="Times New Roman"/>
          <w:color w:val="auto"/>
          <w:kern w:val="0"/>
        </w:rPr>
        <w:t>》，福鼎市文渡金属表面处理集控中心一期工程污水站处理能力为1800t/d，</w:t>
      </w:r>
      <w:r>
        <w:rPr>
          <w:rFonts w:ascii="Times New Roman" w:hAnsi="Times New Roman"/>
          <w:color w:val="auto"/>
        </w:rPr>
        <w:t>一期工程污水处理站分为五水分离处理系统、综合废水处理系统、废水深度处理系统，集控中心一期工程入驻企业产生的各股废水经相应的管线收集后进入污水站处理进行处理；现根据《福鼎市文渡金属表面处理集控中心新增酸洗废水处理及排放方式变更环境影响补充报告》（2018.3），集控中心一期工程污水站新增150t/d酸洗废水处理系统，接收文渡工业区金属铸造业产生的酸洗废水，该工程还未建设。集控中心一期污水站建设规模见表</w:t>
      </w:r>
      <w:r>
        <w:rPr>
          <w:rFonts w:hint="eastAsia" w:ascii="Times New Roman" w:hAnsi="Times New Roman"/>
          <w:color w:val="auto"/>
        </w:rPr>
        <w:t>3.3</w:t>
      </w:r>
      <w:r>
        <w:rPr>
          <w:rFonts w:ascii="Times New Roman" w:hAnsi="Times New Roman"/>
          <w:color w:val="auto"/>
        </w:rPr>
        <w:t>-1。</w:t>
      </w:r>
    </w:p>
    <w:p>
      <w:pPr>
        <w:pStyle w:val="91"/>
        <w:rPr>
          <w:rFonts w:ascii="Times New Roman" w:hAnsi="Times New Roman"/>
          <w:color w:val="auto"/>
        </w:rPr>
      </w:pPr>
    </w:p>
    <w:p>
      <w:pPr>
        <w:pStyle w:val="91"/>
        <w:rPr>
          <w:rFonts w:ascii="Times New Roman" w:hAnsi="Times New Roman"/>
          <w:color w:val="auto"/>
        </w:rPr>
      </w:pPr>
    </w:p>
    <w:p>
      <w:pPr>
        <w:pStyle w:val="91"/>
        <w:rPr>
          <w:rFonts w:ascii="Times New Roman" w:hAnsi="Times New Roman"/>
          <w:color w:val="auto"/>
        </w:rPr>
      </w:pPr>
    </w:p>
    <w:p>
      <w:pPr>
        <w:pStyle w:val="91"/>
        <w:rPr>
          <w:rFonts w:ascii="Times New Roman" w:hAnsi="Times New Roman"/>
          <w:color w:val="auto"/>
        </w:rPr>
      </w:pPr>
    </w:p>
    <w:p>
      <w:pPr>
        <w:spacing w:line="360" w:lineRule="auto"/>
        <w:ind w:firstLine="482" w:firstLineChars="200"/>
        <w:jc w:val="center"/>
        <w:rPr>
          <w:b/>
          <w:color w:val="auto"/>
          <w:sz w:val="24"/>
          <w:szCs w:val="32"/>
        </w:rPr>
      </w:pPr>
      <w:r>
        <w:rPr>
          <w:b/>
          <w:color w:val="auto"/>
          <w:sz w:val="24"/>
          <w:szCs w:val="32"/>
        </w:rPr>
        <w:t>表</w:t>
      </w:r>
      <w:r>
        <w:rPr>
          <w:rFonts w:hint="eastAsia"/>
          <w:b/>
          <w:color w:val="auto"/>
          <w:sz w:val="24"/>
          <w:szCs w:val="32"/>
        </w:rPr>
        <w:t>3.3</w:t>
      </w:r>
      <w:r>
        <w:rPr>
          <w:b/>
          <w:color w:val="auto"/>
          <w:sz w:val="24"/>
          <w:szCs w:val="32"/>
        </w:rPr>
        <w:t>-1  集控中心一期工程污水站的建设规模一览表</w:t>
      </w:r>
    </w:p>
    <w:tbl>
      <w:tblPr>
        <w:tblStyle w:val="22"/>
        <w:tblW w:w="928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6"/>
        <w:gridCol w:w="1156"/>
        <w:gridCol w:w="5167"/>
        <w:gridCol w:w="23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jc w:val="center"/>
        </w:trPr>
        <w:tc>
          <w:tcPr>
            <w:tcW w:w="646" w:type="dxa"/>
            <w:tcBorders>
              <w:top w:val="single" w:color="000000" w:sz="12" w:space="0"/>
              <w:left w:val="nil"/>
              <w:bottom w:val="single" w:color="000000" w:sz="4" w:space="0"/>
              <w:right w:val="single" w:color="000000" w:sz="4" w:space="0"/>
            </w:tcBorders>
            <w:vAlign w:val="center"/>
          </w:tcPr>
          <w:p>
            <w:pPr>
              <w:autoSpaceDN w:val="0"/>
              <w:snapToGrid w:val="0"/>
              <w:jc w:val="center"/>
              <w:rPr>
                <w:color w:val="auto"/>
                <w:szCs w:val="21"/>
              </w:rPr>
            </w:pPr>
            <w:r>
              <w:rPr>
                <w:b/>
                <w:color w:val="auto"/>
                <w:szCs w:val="21"/>
              </w:rPr>
              <w:t>序号</w:t>
            </w:r>
          </w:p>
        </w:tc>
        <w:tc>
          <w:tcPr>
            <w:tcW w:w="6323" w:type="dxa"/>
            <w:gridSpan w:val="2"/>
            <w:tcBorders>
              <w:top w:val="single" w:color="000000" w:sz="12"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b/>
                <w:color w:val="auto"/>
                <w:szCs w:val="21"/>
              </w:rPr>
              <w:t>主体工程</w:t>
            </w:r>
          </w:p>
        </w:tc>
        <w:tc>
          <w:tcPr>
            <w:tcW w:w="2318" w:type="dxa"/>
            <w:tcBorders>
              <w:top w:val="single" w:color="000000" w:sz="12" w:space="0"/>
              <w:left w:val="single" w:color="000000" w:sz="4" w:space="0"/>
              <w:bottom w:val="single" w:color="000000" w:sz="4" w:space="0"/>
              <w:right w:val="nil"/>
            </w:tcBorders>
            <w:vAlign w:val="center"/>
          </w:tcPr>
          <w:p>
            <w:pPr>
              <w:autoSpaceDN w:val="0"/>
              <w:snapToGrid w:val="0"/>
              <w:jc w:val="center"/>
              <w:rPr>
                <w:color w:val="auto"/>
                <w:szCs w:val="21"/>
              </w:rPr>
            </w:pPr>
            <w:r>
              <w:rPr>
                <w:b/>
                <w:color w:val="auto"/>
                <w:szCs w:val="21"/>
              </w:rPr>
              <w:t>建设规模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1</w:t>
            </w:r>
          </w:p>
        </w:tc>
        <w:tc>
          <w:tcPr>
            <w:tcW w:w="1156"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分流预处理等设施</w:t>
            </w:r>
          </w:p>
        </w:tc>
        <w:tc>
          <w:tcPr>
            <w:tcW w:w="5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含铬废水预处理规模(t/d)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2</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szCs w:val="21"/>
              </w:rPr>
            </w:pPr>
          </w:p>
        </w:tc>
        <w:tc>
          <w:tcPr>
            <w:tcW w:w="5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含氰废水预处理规模(t/d)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3</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szCs w:val="21"/>
              </w:rPr>
            </w:pPr>
          </w:p>
        </w:tc>
        <w:tc>
          <w:tcPr>
            <w:tcW w:w="5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含镍废水预处理规模(t/d)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4</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szCs w:val="21"/>
              </w:rPr>
            </w:pPr>
          </w:p>
        </w:tc>
        <w:tc>
          <w:tcPr>
            <w:tcW w:w="5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综合废水预处理规模(t/d)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800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5</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szCs w:val="21"/>
              </w:rPr>
            </w:pPr>
          </w:p>
        </w:tc>
        <w:tc>
          <w:tcPr>
            <w:tcW w:w="5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含油废水预处理规模(t/d)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6</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color w:val="auto"/>
                <w:szCs w:val="21"/>
              </w:rPr>
            </w:pPr>
          </w:p>
        </w:tc>
        <w:tc>
          <w:tcPr>
            <w:tcW w:w="5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酸洗废水处理规模(t/d)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6" w:type="dxa"/>
            <w:tcBorders>
              <w:top w:val="single" w:color="000000" w:sz="4" w:space="0"/>
              <w:left w:val="nil"/>
              <w:bottom w:val="single" w:color="000000" w:sz="4" w:space="0"/>
              <w:right w:val="single" w:color="000000" w:sz="4" w:space="0"/>
            </w:tcBorders>
            <w:vAlign w:val="center"/>
          </w:tcPr>
          <w:p>
            <w:pPr>
              <w:autoSpaceDN w:val="0"/>
              <w:snapToGrid w:val="0"/>
              <w:jc w:val="center"/>
              <w:rPr>
                <w:color w:val="auto"/>
                <w:szCs w:val="21"/>
              </w:rPr>
            </w:pPr>
            <w:r>
              <w:rPr>
                <w:color w:val="auto"/>
                <w:szCs w:val="21"/>
              </w:rPr>
              <w:t>7</w:t>
            </w:r>
          </w:p>
        </w:tc>
        <w:tc>
          <w:tcPr>
            <w:tcW w:w="6323" w:type="dxa"/>
            <w:gridSpan w:val="2"/>
            <w:tcBorders>
              <w:top w:val="single" w:color="000000" w:sz="4" w:space="0"/>
              <w:left w:val="single" w:color="000000" w:sz="4" w:space="0"/>
              <w:bottom w:val="single" w:color="000000" w:sz="4" w:space="0"/>
              <w:right w:val="single" w:color="000000" w:sz="4" w:space="0"/>
            </w:tcBorders>
            <w:vAlign w:val="center"/>
          </w:tcPr>
          <w:p>
            <w:pPr>
              <w:autoSpaceDN w:val="0"/>
              <w:snapToGrid w:val="0"/>
              <w:jc w:val="center"/>
              <w:rPr>
                <w:color w:val="auto"/>
                <w:szCs w:val="21"/>
              </w:rPr>
            </w:pPr>
            <w:r>
              <w:rPr>
                <w:color w:val="auto"/>
                <w:szCs w:val="21"/>
              </w:rPr>
              <w:t>综合污水处理站规模(t/d)</w:t>
            </w:r>
          </w:p>
        </w:tc>
        <w:tc>
          <w:tcPr>
            <w:tcW w:w="2318" w:type="dxa"/>
            <w:tcBorders>
              <w:top w:val="single" w:color="000000" w:sz="4" w:space="0"/>
              <w:left w:val="single" w:color="000000" w:sz="4" w:space="0"/>
              <w:bottom w:val="single" w:color="000000" w:sz="4" w:space="0"/>
              <w:right w:val="nil"/>
            </w:tcBorders>
            <w:vAlign w:val="center"/>
          </w:tcPr>
          <w:p>
            <w:pPr>
              <w:autoSpaceDN w:val="0"/>
              <w:snapToGrid w:val="0"/>
              <w:jc w:val="center"/>
              <w:rPr>
                <w:color w:val="auto"/>
                <w:szCs w:val="21"/>
              </w:rPr>
            </w:pPr>
            <w:r>
              <w:rPr>
                <w:color w:val="auto"/>
                <w:szCs w:val="21"/>
              </w:rPr>
              <w:t>1</w:t>
            </w:r>
            <w:r>
              <w:rPr>
                <w:rFonts w:hint="eastAsia"/>
                <w:color w:val="auto"/>
                <w:szCs w:val="21"/>
                <w:lang w:val="en-US" w:eastAsia="zh-CN"/>
              </w:rPr>
              <w:t>95</w:t>
            </w:r>
            <w:r>
              <w:rPr>
                <w:color w:val="auto"/>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87" w:type="dxa"/>
            <w:gridSpan w:val="4"/>
            <w:tcBorders>
              <w:top w:val="single" w:color="000000" w:sz="4" w:space="0"/>
              <w:left w:val="nil"/>
              <w:bottom w:val="single" w:color="000000" w:sz="12" w:space="0"/>
              <w:right w:val="nil"/>
            </w:tcBorders>
            <w:vAlign w:val="center"/>
          </w:tcPr>
          <w:p>
            <w:pPr>
              <w:autoSpaceDN w:val="0"/>
              <w:snapToGrid w:val="0"/>
              <w:jc w:val="left"/>
              <w:rPr>
                <w:rFonts w:hint="eastAsia" w:eastAsia="宋体"/>
                <w:color w:val="auto"/>
                <w:szCs w:val="21"/>
                <w:lang w:eastAsia="zh-CN"/>
              </w:rPr>
            </w:pPr>
            <w:r>
              <w:rPr>
                <w:rFonts w:hint="eastAsia"/>
                <w:color w:val="auto"/>
                <w:szCs w:val="21"/>
                <w:lang w:eastAsia="zh-CN"/>
              </w:rPr>
              <w:t>注：酸洗废水处理工程未建成。</w:t>
            </w:r>
          </w:p>
        </w:tc>
      </w:tr>
    </w:tbl>
    <w:p>
      <w:pPr>
        <w:autoSpaceDE w:val="0"/>
        <w:autoSpaceDN w:val="0"/>
        <w:spacing w:line="360" w:lineRule="auto"/>
        <w:ind w:firstLine="480" w:firstLineChars="200"/>
        <w:textAlignment w:val="bottom"/>
        <w:rPr>
          <w:color w:val="auto"/>
          <w:sz w:val="24"/>
        </w:rPr>
      </w:pPr>
      <w:r>
        <w:rPr>
          <w:color w:val="auto"/>
          <w:sz w:val="24"/>
        </w:rPr>
        <w:t>本项目厂内生活污水处理达文渡污水处理厂的设计进水水质标准后直接排入工业集中区污水管网，由文渡污水处理厂进一步处理后排放。</w:t>
      </w:r>
    </w:p>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textAlignment w:val="auto"/>
        <w:rPr>
          <w:rFonts w:hint="default" w:eastAsia="宋体"/>
          <w:color w:val="auto"/>
          <w:lang w:val="en-US" w:eastAsia="zh-CN"/>
        </w:rPr>
      </w:pPr>
      <w:r>
        <w:rPr>
          <w:rFonts w:hint="eastAsia"/>
          <w:color w:val="auto"/>
          <w:sz w:val="24"/>
          <w:lang w:eastAsia="zh-CN"/>
        </w:rPr>
        <w:t>目前</w:t>
      </w:r>
      <w:r>
        <w:rPr>
          <w:color w:val="auto"/>
          <w:sz w:val="24"/>
        </w:rPr>
        <w:t>文渡污水处理厂</w:t>
      </w:r>
      <w:r>
        <w:rPr>
          <w:rFonts w:hint="eastAsia"/>
          <w:color w:val="auto"/>
          <w:sz w:val="24"/>
          <w:lang w:eastAsia="zh-CN"/>
        </w:rPr>
        <w:t>正在进行扩建提标，</w:t>
      </w:r>
      <w:r>
        <w:rPr>
          <w:rFonts w:hint="eastAsia"/>
          <w:color w:val="auto"/>
          <w:lang w:eastAsia="zh-CN"/>
        </w:rPr>
        <w:t>根据</w:t>
      </w:r>
      <w:r>
        <w:rPr>
          <w:rFonts w:hint="eastAsia"/>
          <w:color w:val="auto"/>
          <w:szCs w:val="28"/>
        </w:rPr>
        <w:t>嘉园环保有限公司编制的《福鼎市文渡污水处理有限公司日处理8000 吨污水改扩建工程项目可行性研究报告（报批稿）》，文渡污水处理厂二期污水出水水质按《城镇污水处理厂污染物排放标准》（</w:t>
      </w:r>
      <w:r>
        <w:rPr>
          <w:color w:val="auto"/>
          <w:szCs w:val="28"/>
        </w:rPr>
        <w:t>GB18918</w:t>
      </w:r>
      <w:r>
        <w:rPr>
          <w:rFonts w:hint="eastAsia"/>
          <w:color w:val="auto"/>
          <w:szCs w:val="28"/>
        </w:rPr>
        <w:t>-</w:t>
      </w:r>
      <w:r>
        <w:rPr>
          <w:color w:val="auto"/>
          <w:szCs w:val="28"/>
        </w:rPr>
        <w:t>2002</w:t>
      </w:r>
      <w:r>
        <w:rPr>
          <w:rFonts w:hint="eastAsia"/>
          <w:color w:val="auto"/>
          <w:szCs w:val="28"/>
        </w:rPr>
        <w:t>）中的一级</w:t>
      </w:r>
      <w:r>
        <w:rPr>
          <w:color w:val="auto"/>
          <w:szCs w:val="28"/>
        </w:rPr>
        <w:t xml:space="preserve"> B </w:t>
      </w:r>
      <w:r>
        <w:rPr>
          <w:rFonts w:hint="eastAsia"/>
          <w:color w:val="auto"/>
          <w:szCs w:val="28"/>
        </w:rPr>
        <w:t>标准执行。</w:t>
      </w:r>
    </w:p>
    <w:p>
      <w:pPr>
        <w:adjustRightInd w:val="0"/>
        <w:spacing w:line="360" w:lineRule="auto"/>
        <w:jc w:val="center"/>
        <w:rPr>
          <w:rFonts w:eastAsiaTheme="minorEastAsia"/>
          <w:b/>
          <w:bCs/>
          <w:color w:val="auto"/>
          <w:sz w:val="24"/>
        </w:rPr>
      </w:pPr>
      <w:r>
        <w:rPr>
          <w:rFonts w:eastAsiaTheme="minorEastAsia"/>
          <w:b/>
          <w:bCs/>
          <w:color w:val="auto"/>
          <w:sz w:val="24"/>
        </w:rPr>
        <w:t>表3.3-</w:t>
      </w:r>
      <w:r>
        <w:rPr>
          <w:rFonts w:hint="eastAsia" w:eastAsiaTheme="minorEastAsia"/>
          <w:b/>
          <w:bCs/>
          <w:color w:val="auto"/>
          <w:sz w:val="24"/>
        </w:rPr>
        <w:t>2</w:t>
      </w:r>
      <w:r>
        <w:rPr>
          <w:rFonts w:eastAsiaTheme="minorEastAsia"/>
          <w:b/>
          <w:bCs/>
          <w:color w:val="auto"/>
          <w:sz w:val="24"/>
        </w:rPr>
        <w:t xml:space="preserve">  文渡污水处理厂工程设计</w:t>
      </w:r>
      <w:r>
        <w:rPr>
          <w:rFonts w:hint="eastAsia" w:eastAsiaTheme="minorEastAsia"/>
          <w:b/>
          <w:bCs/>
          <w:color w:val="auto"/>
          <w:sz w:val="24"/>
          <w:lang w:eastAsia="zh-CN"/>
        </w:rPr>
        <w:t>出</w:t>
      </w:r>
      <w:r>
        <w:rPr>
          <w:rFonts w:eastAsiaTheme="minorEastAsia"/>
          <w:b/>
          <w:bCs/>
          <w:color w:val="auto"/>
          <w:sz w:val="24"/>
        </w:rPr>
        <w:t>水水质  单位：mg/L（pH除外）</w:t>
      </w:r>
    </w:p>
    <w:tbl>
      <w:tblPr>
        <w:tblStyle w:val="22"/>
        <w:tblW w:w="907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22"/>
        <w:gridCol w:w="1287"/>
        <w:gridCol w:w="1287"/>
        <w:gridCol w:w="1287"/>
        <w:gridCol w:w="1280"/>
        <w:gridCol w:w="1126"/>
        <w:gridCol w:w="9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822" w:type="dxa"/>
            <w:noWrap w:val="0"/>
            <w:vAlign w:val="center"/>
          </w:tcPr>
          <w:p>
            <w:pPr>
              <w:autoSpaceDE w:val="0"/>
              <w:autoSpaceDN w:val="0"/>
              <w:adjustRightInd w:val="0"/>
              <w:spacing w:line="240" w:lineRule="auto"/>
              <w:jc w:val="center"/>
              <w:rPr>
                <w:rFonts w:cs="Microsoft JhengHei"/>
                <w:color w:val="auto"/>
                <w:kern w:val="0"/>
                <w:sz w:val="21"/>
                <w:szCs w:val="21"/>
              </w:rPr>
            </w:pPr>
            <w:r>
              <w:rPr>
                <w:rFonts w:hint="eastAsia" w:cs="Microsoft JhengHei"/>
                <w:color w:val="auto"/>
                <w:kern w:val="0"/>
                <w:sz w:val="21"/>
                <w:szCs w:val="21"/>
              </w:rPr>
              <w:t>水质参数</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COD</w:t>
            </w:r>
            <w:r>
              <w:rPr>
                <w:rFonts w:cs="Microsoft JhengHei"/>
                <w:color w:val="auto"/>
                <w:kern w:val="0"/>
                <w:sz w:val="21"/>
                <w:szCs w:val="21"/>
                <w:vertAlign w:val="subscript"/>
              </w:rPr>
              <w:t>Cr</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BOD</w:t>
            </w:r>
            <w:r>
              <w:rPr>
                <w:rFonts w:cs="Microsoft JhengHei"/>
                <w:color w:val="auto"/>
                <w:kern w:val="0"/>
                <w:sz w:val="21"/>
                <w:szCs w:val="21"/>
                <w:vertAlign w:val="subscript"/>
              </w:rPr>
              <w:t>5</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SS</w:t>
            </w:r>
          </w:p>
        </w:tc>
        <w:tc>
          <w:tcPr>
            <w:tcW w:w="1280"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NH</w:t>
            </w:r>
            <w:r>
              <w:rPr>
                <w:rFonts w:cs="Microsoft JhengHei"/>
                <w:color w:val="auto"/>
                <w:kern w:val="0"/>
                <w:sz w:val="21"/>
                <w:szCs w:val="21"/>
                <w:vertAlign w:val="subscript"/>
              </w:rPr>
              <w:t>3</w:t>
            </w:r>
            <w:r>
              <w:rPr>
                <w:rFonts w:cs="Microsoft JhengHei"/>
                <w:color w:val="auto"/>
                <w:kern w:val="0"/>
                <w:sz w:val="21"/>
                <w:szCs w:val="21"/>
              </w:rPr>
              <w:t>-N</w:t>
            </w:r>
          </w:p>
        </w:tc>
        <w:tc>
          <w:tcPr>
            <w:tcW w:w="1126"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TN</w:t>
            </w:r>
          </w:p>
        </w:tc>
        <w:tc>
          <w:tcPr>
            <w:tcW w:w="981"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822" w:type="dxa"/>
            <w:noWrap w:val="0"/>
            <w:vAlign w:val="center"/>
          </w:tcPr>
          <w:p>
            <w:pPr>
              <w:autoSpaceDE w:val="0"/>
              <w:autoSpaceDN w:val="0"/>
              <w:adjustRightInd w:val="0"/>
              <w:spacing w:line="240" w:lineRule="auto"/>
              <w:jc w:val="center"/>
              <w:rPr>
                <w:rFonts w:cs="Microsoft JhengHei"/>
                <w:color w:val="auto"/>
                <w:kern w:val="0"/>
                <w:sz w:val="21"/>
                <w:szCs w:val="21"/>
              </w:rPr>
            </w:pPr>
            <w:r>
              <w:rPr>
                <w:rFonts w:hint="eastAsia" w:cs="Microsoft JhengHei"/>
                <w:color w:val="auto"/>
                <w:kern w:val="0"/>
                <w:sz w:val="21"/>
                <w:szCs w:val="21"/>
              </w:rPr>
              <w:t>设计值</w:t>
            </w:r>
            <w:r>
              <w:rPr>
                <w:rFonts w:cs="Microsoft JhengHei"/>
                <w:color w:val="auto"/>
                <w:kern w:val="0"/>
                <w:sz w:val="21"/>
                <w:szCs w:val="21"/>
              </w:rPr>
              <w:t>(mg/l)</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≤60</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≤20</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≤20</w:t>
            </w:r>
          </w:p>
        </w:tc>
        <w:tc>
          <w:tcPr>
            <w:tcW w:w="1280"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≤15</w:t>
            </w:r>
          </w:p>
        </w:tc>
        <w:tc>
          <w:tcPr>
            <w:tcW w:w="1126"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≤20</w:t>
            </w:r>
          </w:p>
        </w:tc>
        <w:tc>
          <w:tcPr>
            <w:tcW w:w="981"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≤1</w:t>
            </w:r>
          </w:p>
        </w:tc>
      </w:tr>
    </w:tbl>
    <w:p>
      <w:pPr>
        <w:autoSpaceDE w:val="0"/>
        <w:autoSpaceDN w:val="0"/>
        <w:spacing w:line="360" w:lineRule="auto"/>
        <w:ind w:firstLine="480" w:firstLineChars="200"/>
        <w:textAlignment w:val="bottom"/>
        <w:rPr>
          <w:color w:val="auto"/>
          <w:sz w:val="24"/>
        </w:rPr>
      </w:pPr>
      <w:r>
        <w:rPr>
          <w:color w:val="auto"/>
          <w:sz w:val="24"/>
        </w:rPr>
        <w:t>(4) 垃圾处理设施</w:t>
      </w:r>
    </w:p>
    <w:p>
      <w:pPr>
        <w:autoSpaceDE w:val="0"/>
        <w:autoSpaceDN w:val="0"/>
        <w:spacing w:line="360" w:lineRule="auto"/>
        <w:ind w:firstLine="480" w:firstLineChars="200"/>
        <w:textAlignment w:val="bottom"/>
        <w:rPr>
          <w:color w:val="auto"/>
          <w:sz w:val="24"/>
        </w:rPr>
      </w:pPr>
      <w:r>
        <w:rPr>
          <w:color w:val="auto"/>
          <w:sz w:val="24"/>
        </w:rPr>
        <w:t>目前工业园区垃圾收集后直接转运至福鼎垃圾填埋场进行填埋处理</w:t>
      </w:r>
      <w:r>
        <w:rPr>
          <w:rFonts w:hint="eastAsia"/>
          <w:color w:val="auto"/>
          <w:sz w:val="24"/>
        </w:rPr>
        <w:t>。</w:t>
      </w:r>
    </w:p>
    <w:p>
      <w:pPr>
        <w:autoSpaceDE w:val="0"/>
        <w:autoSpaceDN w:val="0"/>
        <w:spacing w:line="360" w:lineRule="auto"/>
        <w:ind w:firstLine="480" w:firstLineChars="200"/>
        <w:textAlignment w:val="bottom"/>
        <w:rPr>
          <w:color w:val="auto"/>
          <w:sz w:val="24"/>
        </w:rPr>
      </w:pPr>
      <w:r>
        <w:rPr>
          <w:color w:val="auto"/>
          <w:sz w:val="24"/>
        </w:rPr>
        <w:t>福鼎垃圾无害化处理场位于福鼎市柯岭村下楼自然村，占地面积约250亩，填埋总库容137.45m</w:t>
      </w:r>
      <w:r>
        <w:rPr>
          <w:color w:val="auto"/>
          <w:sz w:val="24"/>
          <w:vertAlign w:val="superscript"/>
        </w:rPr>
        <w:t>3</w:t>
      </w:r>
      <w:r>
        <w:rPr>
          <w:color w:val="auto"/>
          <w:sz w:val="24"/>
        </w:rPr>
        <w:t>，采用卫生填埋处理工艺，设计日处理生活垃圾170吨，使用年限29年。目前日处理垃圾量达130吨。</w:t>
      </w:r>
    </w:p>
    <w:p>
      <w:pPr>
        <w:autoSpaceDE w:val="0"/>
        <w:autoSpaceDN w:val="0"/>
        <w:spacing w:line="360" w:lineRule="auto"/>
        <w:ind w:firstLine="480" w:firstLineChars="200"/>
        <w:textAlignment w:val="bottom"/>
        <w:rPr>
          <w:color w:val="auto"/>
          <w:sz w:val="24"/>
        </w:rPr>
      </w:pPr>
      <w:r>
        <w:rPr>
          <w:color w:val="auto"/>
          <w:sz w:val="24"/>
        </w:rPr>
        <w:t>福鼎市文渡金属表面处理集控中心建设专门的危险废物暂存场所。一期建设一间污泥暂存场，建筑面积80m</w:t>
      </w:r>
      <w:r>
        <w:rPr>
          <w:color w:val="auto"/>
          <w:sz w:val="24"/>
          <w:vertAlign w:val="superscript"/>
        </w:rPr>
        <w:t>2</w:t>
      </w:r>
      <w:r>
        <w:rPr>
          <w:color w:val="auto"/>
          <w:sz w:val="24"/>
        </w:rPr>
        <w:t>，位于污水处理站污泥压滤车间，主要用于暂存电镀废水处理站产生的污泥，一期在污水处理站西侧新建一间150m</w:t>
      </w:r>
      <w:r>
        <w:rPr>
          <w:color w:val="auto"/>
          <w:sz w:val="24"/>
          <w:vertAlign w:val="superscript"/>
        </w:rPr>
        <w:t>2</w:t>
      </w:r>
      <w:r>
        <w:rPr>
          <w:color w:val="auto"/>
          <w:sz w:val="24"/>
        </w:rPr>
        <w:t>的危废暂存间用于储存入驻企业生产过程中产生的各种危废，各企业产生的危险废物统一由集控中心收集暂存于该暂存间。</w:t>
      </w:r>
    </w:p>
    <w:p>
      <w:pPr>
        <w:autoSpaceDE w:val="0"/>
        <w:autoSpaceDN w:val="0"/>
        <w:spacing w:line="360" w:lineRule="auto"/>
        <w:ind w:firstLine="480" w:firstLineChars="200"/>
        <w:textAlignment w:val="bottom"/>
        <w:rPr>
          <w:color w:val="auto"/>
          <w:sz w:val="24"/>
        </w:rPr>
      </w:pPr>
      <w:r>
        <w:rPr>
          <w:color w:val="auto"/>
          <w:sz w:val="24"/>
        </w:rPr>
        <w:t>(5) 集中供热</w:t>
      </w:r>
    </w:p>
    <w:p>
      <w:pPr>
        <w:autoSpaceDE w:val="0"/>
        <w:autoSpaceDN w:val="0"/>
        <w:spacing w:line="360" w:lineRule="auto"/>
        <w:ind w:firstLine="480" w:firstLineChars="200"/>
        <w:textAlignment w:val="bottom"/>
        <w:rPr>
          <w:color w:val="auto"/>
          <w:sz w:val="24"/>
        </w:rPr>
      </w:pPr>
      <w:r>
        <w:rPr>
          <w:color w:val="auto"/>
          <w:sz w:val="24"/>
        </w:rPr>
        <w:t>福鼎文渡工业园集中供热项目建设一座区域集中供热中心，</w:t>
      </w:r>
      <w:r>
        <w:rPr>
          <w:rFonts w:hint="eastAsia"/>
          <w:color w:val="auto"/>
          <w:sz w:val="24"/>
          <w:lang w:eastAsia="zh-CN"/>
        </w:rPr>
        <w:t>设计规模</w:t>
      </w:r>
      <w:r>
        <w:rPr>
          <w:color w:val="auto"/>
          <w:sz w:val="24"/>
        </w:rPr>
        <w:t>包含1</w:t>
      </w:r>
      <w:r>
        <w:rPr>
          <w:rFonts w:hint="eastAsia"/>
          <w:color w:val="auto"/>
          <w:sz w:val="24"/>
          <w:lang w:eastAsia="zh-CN"/>
        </w:rPr>
        <w:t>台</w:t>
      </w:r>
      <w:r>
        <w:rPr>
          <w:color w:val="auto"/>
          <w:sz w:val="24"/>
        </w:rPr>
        <w:t>45t/h</w:t>
      </w:r>
      <w:r>
        <w:rPr>
          <w:rFonts w:hint="eastAsia"/>
          <w:color w:val="auto"/>
          <w:sz w:val="24"/>
          <w:lang w:eastAsia="zh-CN"/>
        </w:rPr>
        <w:t>和</w:t>
      </w:r>
      <w:r>
        <w:rPr>
          <w:color w:val="auto"/>
          <w:sz w:val="24"/>
        </w:rPr>
        <w:t>3</w:t>
      </w:r>
      <w:r>
        <w:rPr>
          <w:rFonts w:hint="eastAsia"/>
          <w:color w:val="auto"/>
          <w:sz w:val="24"/>
          <w:lang w:eastAsia="zh-CN"/>
        </w:rPr>
        <w:t>台</w:t>
      </w:r>
      <w:r>
        <w:rPr>
          <w:color w:val="auto"/>
          <w:sz w:val="24"/>
        </w:rPr>
        <w:t>65t/h煤粉蒸汽锅炉以及配套设施，同时建设配套炉前制粉系统以及约5.10km蒸汽供热管网</w:t>
      </w:r>
      <w:r>
        <w:rPr>
          <w:rFonts w:hint="eastAsia"/>
          <w:color w:val="auto"/>
          <w:sz w:val="24"/>
          <w:lang w:eastAsia="zh-CN"/>
        </w:rPr>
        <w:t>。</w:t>
      </w:r>
      <w:r>
        <w:rPr>
          <w:color w:val="auto"/>
          <w:sz w:val="24"/>
        </w:rPr>
        <w:t>近期建设规模为1</w:t>
      </w:r>
      <w:r>
        <w:rPr>
          <w:rFonts w:hint="eastAsia"/>
          <w:color w:val="auto"/>
          <w:sz w:val="24"/>
          <w:lang w:eastAsia="zh-CN"/>
        </w:rPr>
        <w:t>台</w:t>
      </w:r>
      <w:r>
        <w:rPr>
          <w:color w:val="auto"/>
          <w:sz w:val="24"/>
        </w:rPr>
        <w:t>45t/h</w:t>
      </w:r>
      <w:r>
        <w:rPr>
          <w:rFonts w:hint="eastAsia"/>
          <w:color w:val="auto"/>
          <w:sz w:val="24"/>
          <w:lang w:eastAsia="zh-CN"/>
        </w:rPr>
        <w:t>和</w:t>
      </w:r>
      <w:r>
        <w:rPr>
          <w:color w:val="auto"/>
          <w:sz w:val="24"/>
        </w:rPr>
        <w:t>1</w:t>
      </w:r>
      <w:r>
        <w:rPr>
          <w:rFonts w:hint="eastAsia"/>
          <w:color w:val="auto"/>
          <w:sz w:val="24"/>
          <w:lang w:eastAsia="zh-CN"/>
        </w:rPr>
        <w:t>台</w:t>
      </w:r>
      <w:r>
        <w:rPr>
          <w:color w:val="auto"/>
          <w:sz w:val="24"/>
        </w:rPr>
        <w:t>65t/h煤粉蒸汽锅炉以及配套设施，并为远期预留2台65t/h煤粉蒸汽锅炉安装位置。目前一期工程</w:t>
      </w:r>
      <w:r>
        <w:rPr>
          <w:rFonts w:hint="eastAsia"/>
          <w:color w:val="auto"/>
          <w:sz w:val="24"/>
        </w:rPr>
        <w:t>已经建成</w:t>
      </w:r>
      <w:r>
        <w:rPr>
          <w:color w:val="auto"/>
          <w:sz w:val="24"/>
        </w:rPr>
        <w:t>。</w:t>
      </w:r>
    </w:p>
    <w:p>
      <w:pPr>
        <w:pStyle w:val="37"/>
        <w:adjustRightInd w:val="0"/>
        <w:snapToGrid w:val="0"/>
        <w:spacing w:line="360" w:lineRule="auto"/>
        <w:rPr>
          <w:rFonts w:ascii="Times New Roman" w:hAnsi="Times New Roman"/>
          <w:color w:val="auto"/>
        </w:rPr>
      </w:pPr>
      <w:r>
        <w:rPr>
          <w:rFonts w:ascii="Times New Roman" w:hAnsi="Times New Roman"/>
          <w:color w:val="auto"/>
        </w:rPr>
        <w:t>3.</w:t>
      </w:r>
      <w:r>
        <w:rPr>
          <w:rFonts w:hint="eastAsia" w:ascii="Times New Roman" w:hAnsi="Times New Roman"/>
          <w:color w:val="auto"/>
        </w:rPr>
        <w:t>4环境功能区划情况及执行标准</w:t>
      </w:r>
    </w:p>
    <w:p>
      <w:pPr>
        <w:adjustRightInd w:val="0"/>
        <w:snapToGrid w:val="0"/>
        <w:spacing w:line="360" w:lineRule="auto"/>
        <w:outlineLvl w:val="2"/>
        <w:rPr>
          <w:b/>
          <w:color w:val="auto"/>
          <w:sz w:val="24"/>
        </w:rPr>
      </w:pPr>
      <w:r>
        <w:rPr>
          <w:b/>
          <w:color w:val="auto"/>
          <w:sz w:val="24"/>
        </w:rPr>
        <w:t>3.</w:t>
      </w:r>
      <w:r>
        <w:rPr>
          <w:rFonts w:hint="eastAsia"/>
          <w:b/>
          <w:color w:val="auto"/>
          <w:sz w:val="24"/>
        </w:rPr>
        <w:t>4</w:t>
      </w:r>
      <w:r>
        <w:rPr>
          <w:b/>
          <w:color w:val="auto"/>
          <w:sz w:val="24"/>
        </w:rPr>
        <w:t xml:space="preserve">.1 </w:t>
      </w:r>
      <w:r>
        <w:rPr>
          <w:rFonts w:hint="eastAsia"/>
          <w:b/>
          <w:color w:val="auto"/>
          <w:sz w:val="24"/>
        </w:rPr>
        <w:t>环境功能区划</w:t>
      </w:r>
    </w:p>
    <w:p>
      <w:pPr>
        <w:adjustRightInd w:val="0"/>
        <w:snapToGrid w:val="0"/>
        <w:spacing w:line="360" w:lineRule="auto"/>
        <w:ind w:firstLine="480"/>
        <w:rPr>
          <w:bCs/>
          <w:color w:val="auto"/>
          <w:sz w:val="24"/>
        </w:rPr>
      </w:pPr>
      <w:r>
        <w:rPr>
          <w:rFonts w:hint="eastAsia"/>
          <w:bCs/>
          <w:color w:val="auto"/>
          <w:sz w:val="24"/>
        </w:rPr>
        <w:t>（</w:t>
      </w:r>
      <w:r>
        <w:rPr>
          <w:bCs/>
          <w:color w:val="auto"/>
          <w:sz w:val="24"/>
        </w:rPr>
        <w:t>1</w:t>
      </w:r>
      <w:r>
        <w:rPr>
          <w:rFonts w:hint="eastAsia"/>
          <w:bCs/>
          <w:color w:val="auto"/>
          <w:sz w:val="24"/>
        </w:rPr>
        <w:t>）水环境</w:t>
      </w:r>
    </w:p>
    <w:p>
      <w:pPr>
        <w:adjustRightInd w:val="0"/>
        <w:snapToGrid w:val="0"/>
        <w:spacing w:line="360" w:lineRule="auto"/>
        <w:ind w:firstLine="480"/>
        <w:rPr>
          <w:bCs/>
          <w:color w:val="auto"/>
          <w:sz w:val="24"/>
        </w:rPr>
      </w:pPr>
      <w:r>
        <w:rPr>
          <w:rFonts w:ascii="Calibri" w:hAnsi="Calibri" w:cs="Calibri"/>
          <w:bCs/>
          <w:color w:val="auto"/>
          <w:sz w:val="24"/>
        </w:rPr>
        <w:t>①</w:t>
      </w:r>
      <w:r>
        <w:rPr>
          <w:rFonts w:hint="eastAsia"/>
          <w:bCs/>
          <w:color w:val="auto"/>
          <w:sz w:val="24"/>
        </w:rPr>
        <w:t>地表水环境质量标准</w:t>
      </w:r>
    </w:p>
    <w:p>
      <w:pPr>
        <w:adjustRightInd w:val="0"/>
        <w:snapToGrid w:val="0"/>
        <w:spacing w:line="360" w:lineRule="auto"/>
        <w:ind w:firstLine="480" w:firstLineChars="200"/>
        <w:rPr>
          <w:color w:val="auto"/>
          <w:sz w:val="24"/>
        </w:rPr>
      </w:pPr>
      <w:r>
        <w:rPr>
          <w:rFonts w:hint="eastAsia"/>
          <w:color w:val="auto"/>
          <w:sz w:val="24"/>
        </w:rPr>
        <w:t>本项目所在区域周边主要水域为柏洋溪及文渡滞洪区，主要水环境功能为蓄洪。根据《宁德市地表水环境功能区划定方案》(简称“划定方案”)，该划定方案中未列入柏洋溪和文渡滞洪区，按照“划定方案说明”未列入的水系执行</w:t>
      </w:r>
      <w:r>
        <w:rPr>
          <w:rFonts w:hint="eastAsia" w:ascii="宋体" w:hAnsi="宋体" w:cs="宋体"/>
          <w:color w:val="auto"/>
          <w:sz w:val="24"/>
        </w:rPr>
        <w:t>Ⅲ</w:t>
      </w:r>
      <w:r>
        <w:rPr>
          <w:rFonts w:hint="eastAsia"/>
          <w:color w:val="auto"/>
          <w:sz w:val="24"/>
        </w:rPr>
        <w:t>类水环境功能区，因此该水域执行《地表水环境质量标准》（</w:t>
      </w:r>
      <w:r>
        <w:rPr>
          <w:color w:val="auto"/>
          <w:sz w:val="24"/>
        </w:rPr>
        <w:t>GB3838-2002</w:t>
      </w:r>
      <w:r>
        <w:rPr>
          <w:rFonts w:hint="eastAsia"/>
          <w:color w:val="auto"/>
          <w:sz w:val="24"/>
        </w:rPr>
        <w:t>）表</w:t>
      </w:r>
      <w:r>
        <w:rPr>
          <w:color w:val="auto"/>
          <w:sz w:val="24"/>
        </w:rPr>
        <w:t>1</w:t>
      </w:r>
      <w:r>
        <w:rPr>
          <w:rFonts w:hint="eastAsia"/>
          <w:color w:val="auto"/>
          <w:sz w:val="24"/>
        </w:rPr>
        <w:t>中</w:t>
      </w:r>
      <w:r>
        <w:rPr>
          <w:rFonts w:hint="eastAsia" w:ascii="宋体" w:hAnsi="宋体" w:cs="宋体"/>
          <w:color w:val="auto"/>
          <w:sz w:val="24"/>
        </w:rPr>
        <w:t>Ⅲ</w:t>
      </w:r>
      <w:r>
        <w:rPr>
          <w:rFonts w:hint="eastAsia"/>
          <w:color w:val="auto"/>
          <w:sz w:val="24"/>
        </w:rPr>
        <w:t>类水质标准。具体标准详见表</w:t>
      </w:r>
      <w:r>
        <w:rPr>
          <w:color w:val="auto"/>
          <w:sz w:val="24"/>
        </w:rPr>
        <w:t>3.</w:t>
      </w:r>
      <w:r>
        <w:rPr>
          <w:rFonts w:hint="eastAsia"/>
          <w:color w:val="auto"/>
          <w:sz w:val="24"/>
        </w:rPr>
        <w:t>4</w:t>
      </w:r>
      <w:r>
        <w:rPr>
          <w:color w:val="auto"/>
          <w:sz w:val="24"/>
        </w:rPr>
        <w:t>-1</w:t>
      </w:r>
      <w:r>
        <w:rPr>
          <w:rFonts w:hint="eastAsia"/>
          <w:color w:val="auto"/>
          <w:sz w:val="24"/>
        </w:rPr>
        <w:t>。</w:t>
      </w:r>
    </w:p>
    <w:p>
      <w:pPr>
        <w:pStyle w:val="27"/>
        <w:tabs>
          <w:tab w:val="left" w:pos="3825"/>
          <w:tab w:val="left" w:pos="4680"/>
        </w:tabs>
        <w:rPr>
          <w:rFonts w:hint="eastAsia" w:eastAsia="宋体"/>
          <w:bCs/>
          <w:color w:val="auto"/>
          <w:lang w:val="en-US" w:eastAsia="zh-CN"/>
        </w:rPr>
      </w:pPr>
      <w:r>
        <w:rPr>
          <w:rFonts w:hint="eastAsia"/>
          <w:color w:val="auto"/>
          <w:sz w:val="24"/>
        </w:rPr>
        <w:t>表</w:t>
      </w:r>
      <w:r>
        <w:rPr>
          <w:color w:val="auto"/>
          <w:sz w:val="24"/>
        </w:rPr>
        <w:t>3.</w:t>
      </w:r>
      <w:r>
        <w:rPr>
          <w:rFonts w:hint="eastAsia"/>
          <w:color w:val="auto"/>
          <w:sz w:val="24"/>
        </w:rPr>
        <w:t>4</w:t>
      </w:r>
      <w:r>
        <w:rPr>
          <w:color w:val="auto"/>
          <w:sz w:val="24"/>
        </w:rPr>
        <w:t xml:space="preserve">-1  </w:t>
      </w:r>
      <w:r>
        <w:rPr>
          <w:rFonts w:hint="eastAsia"/>
          <w:color w:val="auto"/>
          <w:sz w:val="24"/>
        </w:rPr>
        <w:t>《地表水环境质量标准》（GB3838－2002）（摘录）</w:t>
      </w:r>
      <w:r>
        <w:rPr>
          <w:rFonts w:hint="eastAsia"/>
          <w:color w:val="auto"/>
          <w:lang w:val="en-US" w:eastAsia="zh-CN"/>
        </w:rPr>
        <w:t xml:space="preserve">    </w:t>
      </w:r>
      <w:r>
        <w:rPr>
          <w:rFonts w:hint="eastAsia" w:ascii="Times New Roman" w:hAnsi="Times New Roman" w:eastAsia="宋体" w:cs="Times New Roman"/>
          <w:b/>
          <w:color w:val="auto"/>
          <w:sz w:val="24"/>
          <w:szCs w:val="24"/>
        </w:rPr>
        <w:t>单位：</w:t>
      </w:r>
      <w:r>
        <w:rPr>
          <w:rFonts w:ascii="Times New Roman" w:hAnsi="Times New Roman" w:eastAsia="宋体" w:cs="Times New Roman"/>
          <w:b/>
          <w:color w:val="auto"/>
          <w:sz w:val="24"/>
          <w:szCs w:val="24"/>
        </w:rPr>
        <w:t>mg/L</w:t>
      </w:r>
    </w:p>
    <w:tbl>
      <w:tblPr>
        <w:tblStyle w:val="22"/>
        <w:tblW w:w="928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
      <w:tblGrid>
        <w:gridCol w:w="1002"/>
        <w:gridCol w:w="2461"/>
        <w:gridCol w:w="1309"/>
        <w:gridCol w:w="1003"/>
        <w:gridCol w:w="1948"/>
        <w:gridCol w:w="15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Ex>
        <w:trPr>
          <w:cantSplit/>
          <w:trHeight w:val="340" w:hRule="atLeast"/>
        </w:trPr>
        <w:tc>
          <w:tcPr>
            <w:tcW w:w="1002" w:type="dxa"/>
            <w:vAlign w:val="center"/>
          </w:tcPr>
          <w:p>
            <w:pPr>
              <w:autoSpaceDN w:val="0"/>
              <w:snapToGrid w:val="0"/>
              <w:jc w:val="center"/>
              <w:rPr>
                <w:color w:val="auto"/>
              </w:rPr>
            </w:pPr>
            <w:r>
              <w:rPr>
                <w:rFonts w:hint="eastAsia"/>
                <w:color w:val="auto"/>
              </w:rPr>
              <w:t>序号</w:t>
            </w:r>
          </w:p>
        </w:tc>
        <w:tc>
          <w:tcPr>
            <w:tcW w:w="2461" w:type="dxa"/>
            <w:vAlign w:val="center"/>
          </w:tcPr>
          <w:p>
            <w:pPr>
              <w:autoSpaceDN w:val="0"/>
              <w:snapToGrid w:val="0"/>
              <w:jc w:val="center"/>
              <w:rPr>
                <w:color w:val="auto"/>
              </w:rPr>
            </w:pPr>
            <w:r>
              <w:rPr>
                <w:rFonts w:hint="eastAsia"/>
                <w:color w:val="auto"/>
              </w:rPr>
              <w:t>项目</w:t>
            </w:r>
          </w:p>
        </w:tc>
        <w:tc>
          <w:tcPr>
            <w:tcW w:w="1309" w:type="dxa"/>
            <w:vAlign w:val="center"/>
          </w:tcPr>
          <w:p>
            <w:pPr>
              <w:autoSpaceDN w:val="0"/>
              <w:snapToGrid w:val="0"/>
              <w:jc w:val="center"/>
              <w:rPr>
                <w:color w:val="auto"/>
              </w:rPr>
            </w:pPr>
            <w:r>
              <w:rPr>
                <w:rFonts w:hint="eastAsia" w:ascii="宋体" w:hAnsi="宋体" w:cs="宋体"/>
                <w:color w:val="auto"/>
              </w:rPr>
              <w:t>Ⅲ</w:t>
            </w:r>
            <w:r>
              <w:rPr>
                <w:rFonts w:hint="eastAsia"/>
                <w:color w:val="auto"/>
              </w:rPr>
              <w:t>类</w:t>
            </w:r>
          </w:p>
        </w:tc>
        <w:tc>
          <w:tcPr>
            <w:tcW w:w="1003" w:type="dxa"/>
            <w:vAlign w:val="center"/>
          </w:tcPr>
          <w:p>
            <w:pPr>
              <w:autoSpaceDN w:val="0"/>
              <w:snapToGrid w:val="0"/>
              <w:jc w:val="center"/>
              <w:rPr>
                <w:color w:val="auto"/>
              </w:rPr>
            </w:pPr>
            <w:r>
              <w:rPr>
                <w:rFonts w:hint="eastAsia"/>
                <w:color w:val="auto"/>
              </w:rPr>
              <w:t>序号</w:t>
            </w:r>
          </w:p>
        </w:tc>
        <w:tc>
          <w:tcPr>
            <w:tcW w:w="1948" w:type="dxa"/>
            <w:vAlign w:val="center"/>
          </w:tcPr>
          <w:p>
            <w:pPr>
              <w:autoSpaceDN w:val="0"/>
              <w:snapToGrid w:val="0"/>
              <w:jc w:val="center"/>
              <w:rPr>
                <w:color w:val="auto"/>
              </w:rPr>
            </w:pPr>
            <w:r>
              <w:rPr>
                <w:rFonts w:hint="eastAsia"/>
                <w:color w:val="auto"/>
              </w:rPr>
              <w:t>项目</w:t>
            </w:r>
          </w:p>
        </w:tc>
        <w:tc>
          <w:tcPr>
            <w:tcW w:w="1562" w:type="dxa"/>
            <w:vAlign w:val="center"/>
          </w:tcPr>
          <w:p>
            <w:pPr>
              <w:autoSpaceDN w:val="0"/>
              <w:snapToGrid w:val="0"/>
              <w:jc w:val="center"/>
              <w:rPr>
                <w:color w:val="auto"/>
              </w:rPr>
            </w:pPr>
            <w:r>
              <w:rPr>
                <w:rFonts w:hint="eastAsia" w:ascii="宋体" w:hAnsi="宋体" w:cs="宋体"/>
                <w:color w:val="auto"/>
              </w:rPr>
              <w:t>Ⅲ</w:t>
            </w:r>
            <w:r>
              <w:rPr>
                <w:rFonts w:hint="eastAsia"/>
                <w:color w:val="auto"/>
              </w:rPr>
              <w:t>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Ex>
        <w:trPr>
          <w:cantSplit/>
          <w:trHeight w:val="340" w:hRule="atLeast"/>
        </w:trPr>
        <w:tc>
          <w:tcPr>
            <w:tcW w:w="1002" w:type="dxa"/>
            <w:vAlign w:val="center"/>
          </w:tcPr>
          <w:p>
            <w:pPr>
              <w:autoSpaceDN w:val="0"/>
              <w:snapToGrid w:val="0"/>
              <w:jc w:val="center"/>
              <w:rPr>
                <w:color w:val="auto"/>
              </w:rPr>
            </w:pPr>
            <w:r>
              <w:rPr>
                <w:color w:val="auto"/>
              </w:rPr>
              <w:t>1</w:t>
            </w:r>
          </w:p>
        </w:tc>
        <w:tc>
          <w:tcPr>
            <w:tcW w:w="2461" w:type="dxa"/>
            <w:vAlign w:val="center"/>
          </w:tcPr>
          <w:p>
            <w:pPr>
              <w:autoSpaceDN w:val="0"/>
              <w:snapToGrid w:val="0"/>
              <w:jc w:val="center"/>
              <w:rPr>
                <w:color w:val="auto"/>
              </w:rPr>
            </w:pPr>
            <w:r>
              <w:rPr>
                <w:color w:val="auto"/>
              </w:rPr>
              <w:t>pH</w:t>
            </w:r>
            <w:r>
              <w:rPr>
                <w:rFonts w:hint="eastAsia"/>
                <w:color w:val="auto"/>
              </w:rPr>
              <w:t>（无量纲）</w:t>
            </w:r>
          </w:p>
        </w:tc>
        <w:tc>
          <w:tcPr>
            <w:tcW w:w="1309" w:type="dxa"/>
            <w:vAlign w:val="center"/>
          </w:tcPr>
          <w:p>
            <w:pPr>
              <w:autoSpaceDN w:val="0"/>
              <w:snapToGrid w:val="0"/>
              <w:jc w:val="center"/>
              <w:rPr>
                <w:color w:val="auto"/>
              </w:rPr>
            </w:pPr>
            <w:r>
              <w:rPr>
                <w:color w:val="auto"/>
              </w:rPr>
              <w:t>6~9</w:t>
            </w:r>
          </w:p>
        </w:tc>
        <w:tc>
          <w:tcPr>
            <w:tcW w:w="1003" w:type="dxa"/>
            <w:vAlign w:val="center"/>
          </w:tcPr>
          <w:p>
            <w:pPr>
              <w:autoSpaceDN w:val="0"/>
              <w:snapToGrid w:val="0"/>
              <w:jc w:val="center"/>
              <w:rPr>
                <w:rFonts w:hint="eastAsia" w:eastAsia="宋体"/>
                <w:color w:val="auto"/>
                <w:lang w:val="en-US" w:eastAsia="zh-CN"/>
              </w:rPr>
            </w:pPr>
            <w:r>
              <w:rPr>
                <w:rFonts w:hint="eastAsia"/>
                <w:color w:val="auto"/>
                <w:lang w:val="en-US" w:eastAsia="zh-CN"/>
              </w:rPr>
              <w:t>5</w:t>
            </w:r>
          </w:p>
        </w:tc>
        <w:tc>
          <w:tcPr>
            <w:tcW w:w="1948" w:type="dxa"/>
            <w:vAlign w:val="center"/>
          </w:tcPr>
          <w:p>
            <w:pPr>
              <w:autoSpaceDN w:val="0"/>
              <w:snapToGrid w:val="0"/>
              <w:jc w:val="center"/>
              <w:rPr>
                <w:color w:val="auto"/>
              </w:rPr>
            </w:pPr>
            <w:r>
              <w:rPr>
                <w:rFonts w:hint="eastAsia"/>
                <w:color w:val="auto"/>
                <w:lang w:eastAsia="zh-CN"/>
              </w:rPr>
              <w:t>总磷（以</w:t>
            </w:r>
            <w:r>
              <w:rPr>
                <w:rFonts w:hint="eastAsia"/>
                <w:color w:val="auto"/>
                <w:lang w:val="en-US" w:eastAsia="zh-CN"/>
              </w:rPr>
              <w:t>P计</w:t>
            </w:r>
            <w:r>
              <w:rPr>
                <w:rFonts w:hint="eastAsia"/>
                <w:color w:val="auto"/>
                <w:lang w:eastAsia="zh-CN"/>
              </w:rPr>
              <w:t>）</w:t>
            </w:r>
            <w:r>
              <w:rPr>
                <w:color w:val="auto"/>
              </w:rPr>
              <w:t>≤</w:t>
            </w:r>
          </w:p>
        </w:tc>
        <w:tc>
          <w:tcPr>
            <w:tcW w:w="1562" w:type="dxa"/>
            <w:vAlign w:val="center"/>
          </w:tcPr>
          <w:p>
            <w:pPr>
              <w:autoSpaceDN w:val="0"/>
              <w:snapToGrid w:val="0"/>
              <w:jc w:val="center"/>
              <w:rPr>
                <w:rFonts w:hint="default" w:eastAsia="宋体"/>
                <w:color w:val="auto"/>
                <w:lang w:val="en-US" w:eastAsia="zh-CN"/>
              </w:rPr>
            </w:pPr>
            <w:r>
              <w:rPr>
                <w:rFonts w:hint="eastAsia"/>
                <w:color w:val="auto"/>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Ex>
        <w:trPr>
          <w:cantSplit/>
          <w:trHeight w:val="340" w:hRule="atLeast"/>
        </w:trPr>
        <w:tc>
          <w:tcPr>
            <w:tcW w:w="1002" w:type="dxa"/>
            <w:vAlign w:val="center"/>
          </w:tcPr>
          <w:p>
            <w:pPr>
              <w:autoSpaceDN w:val="0"/>
              <w:snapToGrid w:val="0"/>
              <w:jc w:val="center"/>
              <w:rPr>
                <w:color w:val="auto"/>
              </w:rPr>
            </w:pPr>
            <w:r>
              <w:rPr>
                <w:color w:val="auto"/>
              </w:rPr>
              <w:t>2</w:t>
            </w:r>
          </w:p>
        </w:tc>
        <w:tc>
          <w:tcPr>
            <w:tcW w:w="2461" w:type="dxa"/>
            <w:vAlign w:val="center"/>
          </w:tcPr>
          <w:p>
            <w:pPr>
              <w:autoSpaceDN w:val="0"/>
              <w:snapToGrid w:val="0"/>
              <w:jc w:val="center"/>
              <w:rPr>
                <w:color w:val="auto"/>
              </w:rPr>
            </w:pPr>
            <w:r>
              <w:rPr>
                <w:color w:val="auto"/>
              </w:rPr>
              <w:t>COD≤</w:t>
            </w:r>
          </w:p>
        </w:tc>
        <w:tc>
          <w:tcPr>
            <w:tcW w:w="1309" w:type="dxa"/>
            <w:vAlign w:val="center"/>
          </w:tcPr>
          <w:p>
            <w:pPr>
              <w:autoSpaceDN w:val="0"/>
              <w:snapToGrid w:val="0"/>
              <w:jc w:val="center"/>
              <w:rPr>
                <w:color w:val="auto"/>
              </w:rPr>
            </w:pPr>
            <w:r>
              <w:rPr>
                <w:color w:val="auto"/>
              </w:rPr>
              <w:t>20</w:t>
            </w:r>
          </w:p>
        </w:tc>
        <w:tc>
          <w:tcPr>
            <w:tcW w:w="1003" w:type="dxa"/>
            <w:vAlign w:val="center"/>
          </w:tcPr>
          <w:p>
            <w:pPr>
              <w:autoSpaceDN w:val="0"/>
              <w:snapToGrid w:val="0"/>
              <w:jc w:val="center"/>
              <w:rPr>
                <w:rFonts w:hint="eastAsia" w:eastAsia="宋体"/>
                <w:color w:val="auto"/>
                <w:lang w:val="en-US" w:eastAsia="zh-CN"/>
              </w:rPr>
            </w:pPr>
            <w:r>
              <w:rPr>
                <w:rFonts w:hint="eastAsia"/>
                <w:color w:val="auto"/>
                <w:lang w:val="en-US" w:eastAsia="zh-CN"/>
              </w:rPr>
              <w:t>6</w:t>
            </w:r>
          </w:p>
        </w:tc>
        <w:tc>
          <w:tcPr>
            <w:tcW w:w="1948" w:type="dxa"/>
            <w:vAlign w:val="center"/>
          </w:tcPr>
          <w:p>
            <w:pPr>
              <w:autoSpaceDN w:val="0"/>
              <w:snapToGrid w:val="0"/>
              <w:jc w:val="center"/>
              <w:rPr>
                <w:color w:val="auto"/>
              </w:rPr>
            </w:pPr>
            <w:r>
              <w:rPr>
                <w:rFonts w:hint="eastAsia"/>
                <w:color w:val="auto"/>
                <w:szCs w:val="21"/>
              </w:rPr>
              <w:t>铬(六价铬)</w:t>
            </w:r>
            <w:r>
              <w:rPr>
                <w:color w:val="auto"/>
              </w:rPr>
              <w:t>≤</w:t>
            </w:r>
          </w:p>
        </w:tc>
        <w:tc>
          <w:tcPr>
            <w:tcW w:w="1562" w:type="dxa"/>
            <w:vAlign w:val="center"/>
          </w:tcPr>
          <w:p>
            <w:pPr>
              <w:autoSpaceDN w:val="0"/>
              <w:snapToGrid w:val="0"/>
              <w:jc w:val="center"/>
              <w:rPr>
                <w:color w:val="auto"/>
              </w:rPr>
            </w:pPr>
            <w:r>
              <w:rPr>
                <w:color w:val="auto"/>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Ex>
        <w:trPr>
          <w:cantSplit/>
          <w:trHeight w:val="340" w:hRule="atLeast"/>
        </w:trPr>
        <w:tc>
          <w:tcPr>
            <w:tcW w:w="1002" w:type="dxa"/>
            <w:vAlign w:val="center"/>
          </w:tcPr>
          <w:p>
            <w:pPr>
              <w:autoSpaceDN w:val="0"/>
              <w:snapToGrid w:val="0"/>
              <w:jc w:val="center"/>
              <w:rPr>
                <w:color w:val="auto"/>
              </w:rPr>
            </w:pPr>
            <w:r>
              <w:rPr>
                <w:color w:val="auto"/>
              </w:rPr>
              <w:t>3</w:t>
            </w:r>
          </w:p>
        </w:tc>
        <w:tc>
          <w:tcPr>
            <w:tcW w:w="2461" w:type="dxa"/>
            <w:vAlign w:val="center"/>
          </w:tcPr>
          <w:p>
            <w:pPr>
              <w:autoSpaceDN w:val="0"/>
              <w:snapToGrid w:val="0"/>
              <w:jc w:val="center"/>
              <w:rPr>
                <w:color w:val="auto"/>
              </w:rPr>
            </w:pPr>
            <w:r>
              <w:rPr>
                <w:rFonts w:hint="eastAsia"/>
                <w:color w:val="auto"/>
              </w:rPr>
              <w:t>氨氮</w:t>
            </w:r>
            <w:r>
              <w:rPr>
                <w:color w:val="auto"/>
              </w:rPr>
              <w:t>≤</w:t>
            </w:r>
          </w:p>
        </w:tc>
        <w:tc>
          <w:tcPr>
            <w:tcW w:w="1309" w:type="dxa"/>
            <w:vAlign w:val="center"/>
          </w:tcPr>
          <w:p>
            <w:pPr>
              <w:autoSpaceDN w:val="0"/>
              <w:snapToGrid w:val="0"/>
              <w:jc w:val="center"/>
              <w:rPr>
                <w:color w:val="auto"/>
              </w:rPr>
            </w:pPr>
            <w:r>
              <w:rPr>
                <w:color w:val="auto"/>
              </w:rPr>
              <w:t>1.0</w:t>
            </w:r>
          </w:p>
        </w:tc>
        <w:tc>
          <w:tcPr>
            <w:tcW w:w="1003" w:type="dxa"/>
            <w:vAlign w:val="center"/>
          </w:tcPr>
          <w:p>
            <w:pPr>
              <w:autoSpaceDN w:val="0"/>
              <w:snapToGrid w:val="0"/>
              <w:jc w:val="center"/>
              <w:rPr>
                <w:rFonts w:hint="eastAsia" w:eastAsia="宋体"/>
                <w:color w:val="auto"/>
                <w:lang w:val="en-US" w:eastAsia="zh-CN"/>
              </w:rPr>
            </w:pPr>
            <w:r>
              <w:rPr>
                <w:rFonts w:hint="eastAsia"/>
                <w:color w:val="auto"/>
                <w:lang w:val="en-US" w:eastAsia="zh-CN"/>
              </w:rPr>
              <w:t>7</w:t>
            </w:r>
          </w:p>
        </w:tc>
        <w:tc>
          <w:tcPr>
            <w:tcW w:w="1948" w:type="dxa"/>
            <w:vAlign w:val="center"/>
          </w:tcPr>
          <w:p>
            <w:pPr>
              <w:autoSpaceDN w:val="0"/>
              <w:snapToGrid w:val="0"/>
              <w:jc w:val="center"/>
              <w:rPr>
                <w:color w:val="auto"/>
              </w:rPr>
            </w:pPr>
            <w:r>
              <w:rPr>
                <w:rFonts w:hint="eastAsia"/>
                <w:color w:val="auto"/>
              </w:rPr>
              <w:t>氟化物(以F计)</w:t>
            </w:r>
            <w:r>
              <w:rPr>
                <w:color w:val="auto"/>
              </w:rPr>
              <w:t>≤</w:t>
            </w:r>
          </w:p>
        </w:tc>
        <w:tc>
          <w:tcPr>
            <w:tcW w:w="1562" w:type="dxa"/>
            <w:vAlign w:val="center"/>
          </w:tcPr>
          <w:p>
            <w:pPr>
              <w:autoSpaceDN w:val="0"/>
              <w:snapToGrid w:val="0"/>
              <w:jc w:val="center"/>
              <w:rPr>
                <w:color w:val="auto"/>
              </w:rPr>
            </w:pPr>
            <w:r>
              <w:rPr>
                <w:rFonts w:hint="eastAsia"/>
                <w:color w:val="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108" w:type="dxa"/>
            <w:bottom w:w="0" w:type="dxa"/>
            <w:right w:w="108" w:type="dxa"/>
          </w:tblCellMar>
        </w:tblPrEx>
        <w:trPr>
          <w:cantSplit/>
          <w:trHeight w:val="340" w:hRule="atLeast"/>
        </w:trPr>
        <w:tc>
          <w:tcPr>
            <w:tcW w:w="1002" w:type="dxa"/>
            <w:vAlign w:val="center"/>
          </w:tcPr>
          <w:p>
            <w:pPr>
              <w:autoSpaceDN w:val="0"/>
              <w:snapToGrid w:val="0"/>
              <w:jc w:val="center"/>
              <w:rPr>
                <w:rFonts w:hint="eastAsia" w:eastAsia="宋体"/>
                <w:color w:val="auto"/>
                <w:lang w:val="en-US" w:eastAsia="zh-CN"/>
              </w:rPr>
            </w:pPr>
            <w:r>
              <w:rPr>
                <w:rFonts w:hint="eastAsia"/>
                <w:color w:val="auto"/>
                <w:lang w:val="en-US" w:eastAsia="zh-CN"/>
              </w:rPr>
              <w:t>4</w:t>
            </w:r>
          </w:p>
        </w:tc>
        <w:tc>
          <w:tcPr>
            <w:tcW w:w="2461" w:type="dxa"/>
            <w:vAlign w:val="center"/>
          </w:tcPr>
          <w:p>
            <w:pPr>
              <w:autoSpaceDN w:val="0"/>
              <w:snapToGrid w:val="0"/>
              <w:jc w:val="center"/>
              <w:rPr>
                <w:rFonts w:hint="eastAsia" w:eastAsia="宋体"/>
                <w:color w:val="auto"/>
                <w:lang w:eastAsia="zh-CN"/>
              </w:rPr>
            </w:pPr>
            <w:r>
              <w:rPr>
                <w:rFonts w:hint="eastAsia"/>
                <w:color w:val="auto"/>
                <w:highlight w:val="none"/>
                <w:lang w:eastAsia="zh-CN"/>
              </w:rPr>
              <w:t>总氮</w:t>
            </w:r>
            <w:r>
              <w:rPr>
                <w:color w:val="auto"/>
              </w:rPr>
              <w:t>≤</w:t>
            </w:r>
          </w:p>
        </w:tc>
        <w:tc>
          <w:tcPr>
            <w:tcW w:w="1309" w:type="dxa"/>
            <w:vAlign w:val="center"/>
          </w:tcPr>
          <w:p>
            <w:pPr>
              <w:autoSpaceDN w:val="0"/>
              <w:snapToGrid w:val="0"/>
              <w:jc w:val="center"/>
              <w:rPr>
                <w:rFonts w:hint="default" w:eastAsia="宋体"/>
                <w:color w:val="auto"/>
                <w:lang w:val="en-US" w:eastAsia="zh-CN"/>
              </w:rPr>
            </w:pPr>
            <w:r>
              <w:rPr>
                <w:rFonts w:hint="eastAsia"/>
                <w:color w:val="auto"/>
                <w:lang w:val="en-US" w:eastAsia="zh-CN"/>
              </w:rPr>
              <w:t>1.0</w:t>
            </w:r>
          </w:p>
        </w:tc>
        <w:tc>
          <w:tcPr>
            <w:tcW w:w="1003" w:type="dxa"/>
            <w:vAlign w:val="center"/>
          </w:tcPr>
          <w:p>
            <w:pPr>
              <w:autoSpaceDN w:val="0"/>
              <w:snapToGrid w:val="0"/>
              <w:jc w:val="center"/>
              <w:rPr>
                <w:rFonts w:hint="default" w:eastAsia="宋体"/>
                <w:color w:val="auto"/>
                <w:lang w:val="en-US" w:eastAsia="zh-CN"/>
              </w:rPr>
            </w:pPr>
            <w:r>
              <w:rPr>
                <w:rFonts w:hint="eastAsia"/>
                <w:color w:val="auto"/>
                <w:lang w:val="en-US" w:eastAsia="zh-CN"/>
              </w:rPr>
              <w:t>8</w:t>
            </w:r>
          </w:p>
        </w:tc>
        <w:tc>
          <w:tcPr>
            <w:tcW w:w="1948" w:type="dxa"/>
            <w:vAlign w:val="center"/>
          </w:tcPr>
          <w:p>
            <w:pPr>
              <w:autoSpaceDN w:val="0"/>
              <w:snapToGrid w:val="0"/>
              <w:jc w:val="center"/>
              <w:rPr>
                <w:rFonts w:hint="eastAsia" w:eastAsia="宋体"/>
                <w:color w:val="auto"/>
                <w:lang w:eastAsia="zh-CN"/>
              </w:rPr>
            </w:pPr>
            <w:r>
              <w:rPr>
                <w:rFonts w:hint="eastAsia"/>
                <w:color w:val="auto"/>
              </w:rPr>
              <w:t>石油类</w:t>
            </w:r>
            <w:r>
              <w:rPr>
                <w:color w:val="auto"/>
              </w:rPr>
              <w:t>≤</w:t>
            </w:r>
          </w:p>
        </w:tc>
        <w:tc>
          <w:tcPr>
            <w:tcW w:w="1562" w:type="dxa"/>
            <w:vAlign w:val="center"/>
          </w:tcPr>
          <w:p>
            <w:pPr>
              <w:autoSpaceDN w:val="0"/>
              <w:snapToGrid w:val="0"/>
              <w:jc w:val="center"/>
              <w:rPr>
                <w:rFonts w:hint="eastAsia"/>
                <w:color w:val="auto"/>
              </w:rPr>
            </w:pPr>
            <w:r>
              <w:rPr>
                <w:color w:val="auto"/>
              </w:rPr>
              <w:t>0.05</w:t>
            </w:r>
          </w:p>
        </w:tc>
      </w:tr>
    </w:tbl>
    <w:p>
      <w:pPr>
        <w:adjustRightInd w:val="0"/>
        <w:snapToGrid w:val="0"/>
        <w:spacing w:before="156" w:beforeLines="50" w:line="360" w:lineRule="auto"/>
        <w:ind w:firstLine="480" w:firstLineChars="200"/>
        <w:rPr>
          <w:rFonts w:ascii="Calibri" w:hAnsi="Calibri" w:cs="Calibri"/>
          <w:bCs/>
          <w:color w:val="auto"/>
          <w:sz w:val="24"/>
        </w:rPr>
      </w:pPr>
      <w:r>
        <w:rPr>
          <w:rFonts w:ascii="Calibri" w:hAnsi="Calibri" w:cs="Calibri"/>
          <w:bCs/>
          <w:color w:val="auto"/>
          <w:sz w:val="24"/>
        </w:rPr>
        <w:t>②</w:t>
      </w:r>
      <w:r>
        <w:rPr>
          <w:rFonts w:hint="eastAsia" w:ascii="Calibri" w:hAnsi="Calibri" w:cs="Calibri"/>
          <w:bCs/>
          <w:color w:val="auto"/>
          <w:sz w:val="24"/>
        </w:rPr>
        <w:t>地下水水质标准</w:t>
      </w:r>
    </w:p>
    <w:p>
      <w:pPr>
        <w:spacing w:line="360" w:lineRule="auto"/>
        <w:ind w:firstLine="480" w:firstLineChars="200"/>
        <w:rPr>
          <w:color w:val="auto"/>
          <w:sz w:val="24"/>
        </w:rPr>
      </w:pPr>
      <w:r>
        <w:rPr>
          <w:rFonts w:hint="eastAsia"/>
          <w:color w:val="auto"/>
          <w:sz w:val="24"/>
        </w:rPr>
        <w:t>根据《福鼎市文渡金属表面处理集控中心环境影响报告书》及审查意见，项目所在区域地下水环境执行《地下水质量标准》（</w:t>
      </w:r>
      <w:r>
        <w:rPr>
          <w:color w:val="auto"/>
          <w:sz w:val="24"/>
        </w:rPr>
        <w:t>GB/T14848-2017</w:t>
      </w:r>
      <w:r>
        <w:rPr>
          <w:rFonts w:hint="eastAsia"/>
          <w:color w:val="auto"/>
          <w:sz w:val="24"/>
        </w:rPr>
        <w:t>）中的</w:t>
      </w:r>
      <w:r>
        <w:rPr>
          <w:rFonts w:hint="eastAsia" w:ascii="宋体" w:hAnsi="宋体" w:cs="宋体"/>
          <w:color w:val="auto"/>
          <w:sz w:val="24"/>
        </w:rPr>
        <w:t>Ⅲ</w:t>
      </w:r>
      <w:r>
        <w:rPr>
          <w:rFonts w:hint="eastAsia"/>
          <w:color w:val="auto"/>
          <w:sz w:val="24"/>
        </w:rPr>
        <w:t>类标准，具体指标见表3.4-2。</w:t>
      </w:r>
    </w:p>
    <w:p>
      <w:pPr>
        <w:pStyle w:val="9"/>
        <w:spacing w:line="360" w:lineRule="auto"/>
        <w:jc w:val="center"/>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表3.4-2</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《地下水环境质量标准》（</w:t>
      </w:r>
      <w:r>
        <w:rPr>
          <w:rFonts w:ascii="Times New Roman" w:hAnsi="Times New Roman" w:eastAsia="宋体" w:cs="Times New Roman"/>
          <w:b/>
          <w:color w:val="auto"/>
          <w:sz w:val="24"/>
          <w:szCs w:val="24"/>
        </w:rPr>
        <w:t>GB/T14848-2017</w:t>
      </w:r>
      <w:r>
        <w:rPr>
          <w:rFonts w:hint="eastAsia" w:ascii="Times New Roman" w:hAnsi="Times New Roman" w:eastAsia="宋体" w:cs="Times New Roman"/>
          <w:b/>
          <w:color w:val="auto"/>
          <w:sz w:val="24"/>
          <w:szCs w:val="24"/>
        </w:rPr>
        <w:t>）摘录</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 xml:space="preserve"> </w:t>
      </w:r>
      <w:r>
        <w:rPr>
          <w:rFonts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rPr>
        <w:t>单位：</w:t>
      </w:r>
      <w:r>
        <w:rPr>
          <w:rFonts w:ascii="Times New Roman" w:hAnsi="Times New Roman" w:eastAsia="宋体" w:cs="Times New Roman"/>
          <w:b/>
          <w:color w:val="auto"/>
          <w:sz w:val="24"/>
          <w:szCs w:val="24"/>
        </w:rPr>
        <w:t>mg/L</w:t>
      </w:r>
    </w:p>
    <w:tbl>
      <w:tblPr>
        <w:tblStyle w:val="22"/>
        <w:tblW w:w="928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192"/>
        <w:gridCol w:w="1603"/>
        <w:gridCol w:w="896"/>
        <w:gridCol w:w="1938"/>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855" w:type="dxa"/>
            <w:tcBorders>
              <w:tl2br w:val="nil"/>
              <w:tr2bl w:val="nil"/>
            </w:tcBorders>
            <w:vAlign w:val="center"/>
          </w:tcPr>
          <w:p>
            <w:pPr>
              <w:jc w:val="center"/>
              <w:rPr>
                <w:b/>
                <w:bCs/>
                <w:color w:val="auto"/>
                <w:szCs w:val="21"/>
              </w:rPr>
            </w:pPr>
            <w:r>
              <w:rPr>
                <w:rFonts w:hint="eastAsia"/>
                <w:b/>
                <w:bCs/>
                <w:color w:val="auto"/>
                <w:szCs w:val="21"/>
              </w:rPr>
              <w:t>序号</w:t>
            </w:r>
          </w:p>
        </w:tc>
        <w:tc>
          <w:tcPr>
            <w:tcW w:w="2192" w:type="dxa"/>
            <w:tcBorders>
              <w:tl2br w:val="nil"/>
              <w:tr2bl w:val="nil"/>
            </w:tcBorders>
            <w:vAlign w:val="center"/>
          </w:tcPr>
          <w:p>
            <w:pPr>
              <w:jc w:val="center"/>
              <w:rPr>
                <w:b/>
                <w:bCs/>
                <w:color w:val="auto"/>
                <w:szCs w:val="21"/>
              </w:rPr>
            </w:pPr>
            <w:r>
              <w:rPr>
                <w:rFonts w:hint="eastAsia"/>
                <w:b/>
                <w:bCs/>
                <w:color w:val="auto"/>
                <w:szCs w:val="21"/>
              </w:rPr>
              <w:t>项目</w:t>
            </w:r>
          </w:p>
        </w:tc>
        <w:tc>
          <w:tcPr>
            <w:tcW w:w="1603" w:type="dxa"/>
            <w:tcBorders>
              <w:tl2br w:val="nil"/>
              <w:tr2bl w:val="nil"/>
            </w:tcBorders>
            <w:vAlign w:val="center"/>
          </w:tcPr>
          <w:p>
            <w:pPr>
              <w:jc w:val="center"/>
              <w:rPr>
                <w:b/>
                <w:bCs/>
                <w:color w:val="auto"/>
                <w:szCs w:val="21"/>
              </w:rPr>
            </w:pPr>
            <w:r>
              <w:rPr>
                <w:rFonts w:hint="eastAsia" w:ascii="宋体" w:hAnsi="宋体" w:cs="宋体"/>
                <w:b/>
                <w:bCs/>
                <w:color w:val="auto"/>
                <w:szCs w:val="21"/>
              </w:rPr>
              <w:t>Ⅲ</w:t>
            </w:r>
            <w:r>
              <w:rPr>
                <w:rFonts w:hint="eastAsia"/>
                <w:b/>
                <w:bCs/>
                <w:color w:val="auto"/>
                <w:szCs w:val="21"/>
              </w:rPr>
              <w:t>类</w:t>
            </w:r>
          </w:p>
        </w:tc>
        <w:tc>
          <w:tcPr>
            <w:tcW w:w="896" w:type="dxa"/>
            <w:tcBorders>
              <w:tl2br w:val="nil"/>
              <w:tr2bl w:val="nil"/>
            </w:tcBorders>
            <w:vAlign w:val="center"/>
          </w:tcPr>
          <w:p>
            <w:pPr>
              <w:jc w:val="center"/>
              <w:rPr>
                <w:b/>
                <w:bCs/>
                <w:color w:val="auto"/>
                <w:szCs w:val="21"/>
              </w:rPr>
            </w:pPr>
            <w:r>
              <w:rPr>
                <w:rFonts w:hint="eastAsia"/>
                <w:b/>
                <w:bCs/>
                <w:color w:val="auto"/>
                <w:szCs w:val="21"/>
              </w:rPr>
              <w:t>序号</w:t>
            </w:r>
          </w:p>
        </w:tc>
        <w:tc>
          <w:tcPr>
            <w:tcW w:w="1938" w:type="dxa"/>
            <w:tcBorders>
              <w:tl2br w:val="nil"/>
              <w:tr2bl w:val="nil"/>
            </w:tcBorders>
            <w:vAlign w:val="center"/>
          </w:tcPr>
          <w:p>
            <w:pPr>
              <w:jc w:val="center"/>
              <w:rPr>
                <w:b/>
                <w:bCs/>
                <w:color w:val="auto"/>
                <w:szCs w:val="21"/>
              </w:rPr>
            </w:pPr>
            <w:r>
              <w:rPr>
                <w:rFonts w:hint="eastAsia"/>
                <w:b/>
                <w:bCs/>
                <w:color w:val="auto"/>
                <w:szCs w:val="21"/>
              </w:rPr>
              <w:t>项目</w:t>
            </w:r>
          </w:p>
        </w:tc>
        <w:tc>
          <w:tcPr>
            <w:tcW w:w="1801" w:type="dxa"/>
            <w:tcBorders>
              <w:tl2br w:val="nil"/>
              <w:tr2bl w:val="nil"/>
            </w:tcBorders>
            <w:vAlign w:val="center"/>
          </w:tcPr>
          <w:p>
            <w:pPr>
              <w:jc w:val="center"/>
              <w:rPr>
                <w:b/>
                <w:bCs/>
                <w:color w:val="auto"/>
                <w:szCs w:val="21"/>
              </w:rPr>
            </w:pPr>
            <w:r>
              <w:rPr>
                <w:rFonts w:hint="eastAsia" w:ascii="宋体" w:hAnsi="宋体" w:cs="宋体"/>
                <w:b/>
                <w:bCs/>
                <w:color w:val="auto"/>
                <w:szCs w:val="21"/>
              </w:rPr>
              <w:t>Ⅲ</w:t>
            </w:r>
            <w:r>
              <w:rPr>
                <w:rFonts w:hint="eastAsia"/>
                <w:b/>
                <w:bCs/>
                <w:color w:val="auto"/>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color w:val="auto"/>
                <w:szCs w:val="21"/>
              </w:rPr>
              <w:t>1</w:t>
            </w:r>
          </w:p>
        </w:tc>
        <w:tc>
          <w:tcPr>
            <w:tcW w:w="2192" w:type="dxa"/>
            <w:tcBorders>
              <w:tl2br w:val="nil"/>
              <w:tr2bl w:val="nil"/>
            </w:tcBorders>
            <w:vAlign w:val="center"/>
          </w:tcPr>
          <w:p>
            <w:pPr>
              <w:jc w:val="center"/>
              <w:rPr>
                <w:color w:val="auto"/>
                <w:szCs w:val="21"/>
              </w:rPr>
            </w:pPr>
            <w:r>
              <w:rPr>
                <w:color w:val="auto"/>
                <w:szCs w:val="21"/>
              </w:rPr>
              <w:t>pH</w:t>
            </w:r>
            <w:r>
              <w:rPr>
                <w:rFonts w:hint="eastAsia"/>
                <w:color w:val="auto"/>
              </w:rPr>
              <w:t>（无量纲）</w:t>
            </w:r>
          </w:p>
        </w:tc>
        <w:tc>
          <w:tcPr>
            <w:tcW w:w="1603" w:type="dxa"/>
            <w:tcBorders>
              <w:tl2br w:val="nil"/>
              <w:tr2bl w:val="nil"/>
            </w:tcBorders>
            <w:vAlign w:val="center"/>
          </w:tcPr>
          <w:p>
            <w:pPr>
              <w:jc w:val="center"/>
              <w:rPr>
                <w:color w:val="auto"/>
                <w:szCs w:val="21"/>
              </w:rPr>
            </w:pPr>
            <w:r>
              <w:rPr>
                <w:color w:val="auto"/>
                <w:szCs w:val="21"/>
              </w:rPr>
              <w:t>6.5</w:t>
            </w:r>
            <w:r>
              <w:rPr>
                <w:rFonts w:hint="eastAsia"/>
                <w:color w:val="auto"/>
                <w:szCs w:val="21"/>
              </w:rPr>
              <w:t>～</w:t>
            </w:r>
            <w:r>
              <w:rPr>
                <w:color w:val="auto"/>
                <w:szCs w:val="21"/>
              </w:rPr>
              <w:t>8.5</w:t>
            </w:r>
          </w:p>
        </w:tc>
        <w:tc>
          <w:tcPr>
            <w:tcW w:w="896"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15</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亚硝酸盐</w:t>
            </w:r>
          </w:p>
          <w:p>
            <w:pPr>
              <w:widowControl/>
              <w:autoSpaceDE w:val="0"/>
              <w:autoSpaceDN w:val="0"/>
              <w:adjustRightInd w:val="0"/>
              <w:snapToGrid w:val="0"/>
              <w:jc w:val="center"/>
              <w:textAlignment w:val="bottom"/>
              <w:rPr>
                <w:color w:val="auto"/>
                <w:szCs w:val="21"/>
              </w:rPr>
            </w:pPr>
            <w:r>
              <w:rPr>
                <w:rFonts w:hint="eastAsia"/>
                <w:color w:val="auto"/>
                <w:szCs w:val="21"/>
              </w:rPr>
              <w:t>（以</w:t>
            </w:r>
            <w:r>
              <w:rPr>
                <w:color w:val="auto"/>
                <w:szCs w:val="21"/>
              </w:rPr>
              <w:t>N</w:t>
            </w:r>
            <w:r>
              <w:rPr>
                <w:rFonts w:hint="eastAsia"/>
                <w:color w:val="auto"/>
                <w:szCs w:val="21"/>
              </w:rPr>
              <w:t>计）</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color w:val="auto"/>
                <w:szCs w:val="21"/>
              </w:rPr>
              <w:t>2</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总硬度</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≤450</w:t>
            </w:r>
          </w:p>
        </w:tc>
        <w:tc>
          <w:tcPr>
            <w:tcW w:w="896" w:type="dxa"/>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16</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硝酸盐（以</w:t>
            </w:r>
            <w:r>
              <w:rPr>
                <w:color w:val="auto"/>
                <w:szCs w:val="21"/>
              </w:rPr>
              <w:t>N</w:t>
            </w:r>
            <w:r>
              <w:rPr>
                <w:rFonts w:hint="eastAsia"/>
                <w:color w:val="auto"/>
                <w:szCs w:val="21"/>
              </w:rPr>
              <w:t>计）</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20</w:t>
            </w: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3</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溶解性总固体</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1000</w:t>
            </w:r>
          </w:p>
        </w:tc>
        <w:tc>
          <w:tcPr>
            <w:tcW w:w="896" w:type="dxa"/>
            <w:tcBorders>
              <w:tl2br w:val="nil"/>
              <w:tr2bl w:val="nil"/>
            </w:tcBorders>
            <w:vAlign w:val="center"/>
          </w:tcPr>
          <w:p>
            <w:pPr>
              <w:jc w:val="center"/>
              <w:rPr>
                <w:color w:val="auto"/>
                <w:szCs w:val="21"/>
              </w:rPr>
            </w:pPr>
            <w:r>
              <w:rPr>
                <w:rFonts w:hint="eastAsia"/>
                <w:color w:val="auto"/>
                <w:szCs w:val="21"/>
              </w:rPr>
              <w:t>17</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氰化物</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4</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硫酸盐</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≤250</w:t>
            </w:r>
          </w:p>
        </w:tc>
        <w:tc>
          <w:tcPr>
            <w:tcW w:w="896" w:type="dxa"/>
            <w:tcBorders>
              <w:tl2br w:val="nil"/>
              <w:tr2bl w:val="nil"/>
            </w:tcBorders>
            <w:vAlign w:val="center"/>
          </w:tcPr>
          <w:p>
            <w:pPr>
              <w:jc w:val="center"/>
              <w:rPr>
                <w:color w:val="auto"/>
                <w:szCs w:val="21"/>
              </w:rPr>
            </w:pPr>
            <w:r>
              <w:rPr>
                <w:rFonts w:hint="eastAsia"/>
                <w:color w:val="auto"/>
                <w:szCs w:val="21"/>
              </w:rPr>
              <w:t>18</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氟化物</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5</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氯化物</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≤250</w:t>
            </w:r>
          </w:p>
        </w:tc>
        <w:tc>
          <w:tcPr>
            <w:tcW w:w="896" w:type="dxa"/>
            <w:tcBorders>
              <w:tl2br w:val="nil"/>
              <w:tr2bl w:val="nil"/>
            </w:tcBorders>
            <w:vAlign w:val="center"/>
          </w:tcPr>
          <w:p>
            <w:pPr>
              <w:jc w:val="center"/>
              <w:rPr>
                <w:color w:val="auto"/>
                <w:szCs w:val="21"/>
              </w:rPr>
            </w:pPr>
            <w:r>
              <w:rPr>
                <w:rFonts w:hint="eastAsia"/>
                <w:color w:val="auto"/>
                <w:szCs w:val="21"/>
              </w:rPr>
              <w:t>19</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镉</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6</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铁</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0.3</w:t>
            </w:r>
          </w:p>
        </w:tc>
        <w:tc>
          <w:tcPr>
            <w:tcW w:w="896" w:type="dxa"/>
            <w:tcBorders>
              <w:tl2br w:val="nil"/>
              <w:tr2bl w:val="nil"/>
            </w:tcBorders>
            <w:vAlign w:val="center"/>
          </w:tcPr>
          <w:p>
            <w:pPr>
              <w:jc w:val="center"/>
              <w:rPr>
                <w:color w:val="auto"/>
                <w:szCs w:val="21"/>
              </w:rPr>
            </w:pPr>
            <w:r>
              <w:rPr>
                <w:rFonts w:hint="eastAsia"/>
                <w:color w:val="auto"/>
                <w:szCs w:val="21"/>
              </w:rPr>
              <w:t>20</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汞</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7</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锰</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0.1</w:t>
            </w:r>
          </w:p>
        </w:tc>
        <w:tc>
          <w:tcPr>
            <w:tcW w:w="896" w:type="dxa"/>
            <w:tcBorders>
              <w:tl2br w:val="nil"/>
              <w:tr2bl w:val="nil"/>
            </w:tcBorders>
            <w:vAlign w:val="center"/>
          </w:tcPr>
          <w:p>
            <w:pPr>
              <w:jc w:val="center"/>
              <w:rPr>
                <w:color w:val="auto"/>
                <w:szCs w:val="21"/>
              </w:rPr>
            </w:pPr>
            <w:r>
              <w:rPr>
                <w:rFonts w:hint="eastAsia"/>
                <w:color w:val="auto"/>
                <w:szCs w:val="21"/>
              </w:rPr>
              <w:t>21</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铬（六价）</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8</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铜</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≤1.0</w:t>
            </w:r>
          </w:p>
        </w:tc>
        <w:tc>
          <w:tcPr>
            <w:tcW w:w="896" w:type="dxa"/>
            <w:tcBorders>
              <w:tl2br w:val="nil"/>
              <w:tr2bl w:val="nil"/>
            </w:tcBorders>
            <w:vAlign w:val="center"/>
          </w:tcPr>
          <w:p>
            <w:pPr>
              <w:jc w:val="center"/>
              <w:rPr>
                <w:color w:val="auto"/>
                <w:szCs w:val="21"/>
              </w:rPr>
            </w:pPr>
            <w:r>
              <w:rPr>
                <w:rFonts w:hint="eastAsia"/>
                <w:color w:val="auto"/>
                <w:szCs w:val="21"/>
              </w:rPr>
              <w:t>22</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砷</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9</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锌</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≤1.0</w:t>
            </w:r>
          </w:p>
        </w:tc>
        <w:tc>
          <w:tcPr>
            <w:tcW w:w="896" w:type="dxa"/>
            <w:tcBorders>
              <w:tl2br w:val="nil"/>
              <w:tr2bl w:val="nil"/>
            </w:tcBorders>
            <w:vAlign w:val="center"/>
          </w:tcPr>
          <w:p>
            <w:pPr>
              <w:jc w:val="center"/>
              <w:rPr>
                <w:color w:val="auto"/>
                <w:szCs w:val="21"/>
              </w:rPr>
            </w:pPr>
            <w:r>
              <w:rPr>
                <w:rFonts w:hint="eastAsia"/>
                <w:color w:val="auto"/>
                <w:szCs w:val="21"/>
              </w:rPr>
              <w:t>23</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铅</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10</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铝</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0.2</w:t>
            </w:r>
          </w:p>
        </w:tc>
        <w:tc>
          <w:tcPr>
            <w:tcW w:w="896" w:type="dxa"/>
            <w:tcBorders>
              <w:tl2br w:val="nil"/>
              <w:tr2bl w:val="nil"/>
            </w:tcBorders>
            <w:vAlign w:val="center"/>
          </w:tcPr>
          <w:p>
            <w:pPr>
              <w:jc w:val="center"/>
              <w:rPr>
                <w:color w:val="auto"/>
                <w:szCs w:val="21"/>
              </w:rPr>
            </w:pPr>
            <w:r>
              <w:rPr>
                <w:rFonts w:hint="eastAsia"/>
                <w:color w:val="auto"/>
                <w:szCs w:val="21"/>
              </w:rPr>
              <w:t>24</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镍</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11</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挥发酚（以苯酚计）</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0.002</w:t>
            </w:r>
          </w:p>
        </w:tc>
        <w:tc>
          <w:tcPr>
            <w:tcW w:w="896" w:type="dxa"/>
            <w:tcBorders>
              <w:tl2br w:val="nil"/>
              <w:tr2bl w:val="nil"/>
            </w:tcBorders>
            <w:vAlign w:val="center"/>
          </w:tcPr>
          <w:p>
            <w:pPr>
              <w:jc w:val="center"/>
              <w:rPr>
                <w:color w:val="auto"/>
                <w:szCs w:val="21"/>
              </w:rPr>
            </w:pPr>
            <w:r>
              <w:rPr>
                <w:rFonts w:hint="eastAsia"/>
                <w:color w:val="auto"/>
                <w:szCs w:val="21"/>
              </w:rPr>
              <w:t>25</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银</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12</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阴离子表面活性剂</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0.3</w:t>
            </w:r>
          </w:p>
        </w:tc>
        <w:tc>
          <w:tcPr>
            <w:tcW w:w="896" w:type="dxa"/>
            <w:tcBorders>
              <w:tl2br w:val="nil"/>
              <w:tr2bl w:val="nil"/>
            </w:tcBorders>
            <w:vAlign w:val="center"/>
          </w:tcPr>
          <w:p>
            <w:pPr>
              <w:jc w:val="center"/>
              <w:rPr>
                <w:color w:val="auto"/>
                <w:szCs w:val="21"/>
              </w:rPr>
            </w:pPr>
            <w:r>
              <w:rPr>
                <w:rFonts w:hint="eastAsia"/>
                <w:color w:val="auto"/>
                <w:szCs w:val="21"/>
              </w:rPr>
              <w:t>26</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硫化物</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w:t>
            </w:r>
            <w:r>
              <w:rPr>
                <w:rFonts w:hint="eastAsia"/>
                <w:color w:val="auto"/>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13</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耗氧量（</w:t>
            </w:r>
            <w:r>
              <w:rPr>
                <w:color w:val="auto"/>
                <w:szCs w:val="21"/>
              </w:rPr>
              <w:t>COD</w:t>
            </w:r>
            <w:r>
              <w:rPr>
                <w:color w:val="auto"/>
                <w:szCs w:val="21"/>
                <w:vertAlign w:val="subscript"/>
              </w:rPr>
              <w:t>Mn</w:t>
            </w:r>
            <w:r>
              <w:rPr>
                <w:rFonts w:hint="eastAsia"/>
                <w:color w:val="auto"/>
                <w:szCs w:val="21"/>
              </w:rPr>
              <w:t>法，以</w:t>
            </w:r>
            <w:r>
              <w:rPr>
                <w:color w:val="auto"/>
                <w:szCs w:val="21"/>
              </w:rPr>
              <w:t>O</w:t>
            </w:r>
            <w:r>
              <w:rPr>
                <w:color w:val="auto"/>
                <w:szCs w:val="21"/>
                <w:vertAlign w:val="subscript"/>
              </w:rPr>
              <w:t>2</w:t>
            </w:r>
            <w:r>
              <w:rPr>
                <w:rFonts w:hint="eastAsia"/>
                <w:color w:val="auto"/>
                <w:szCs w:val="21"/>
              </w:rPr>
              <w:t>计）</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≤3.0</w:t>
            </w:r>
          </w:p>
        </w:tc>
        <w:tc>
          <w:tcPr>
            <w:tcW w:w="896" w:type="dxa"/>
            <w:tcBorders>
              <w:tl2br w:val="nil"/>
              <w:tr2bl w:val="nil"/>
            </w:tcBorders>
            <w:vAlign w:val="center"/>
          </w:tcPr>
          <w:p>
            <w:pPr>
              <w:jc w:val="center"/>
              <w:rPr>
                <w:color w:val="auto"/>
                <w:szCs w:val="21"/>
              </w:rPr>
            </w:pPr>
            <w:r>
              <w:rPr>
                <w:rFonts w:hint="eastAsia"/>
                <w:color w:val="auto"/>
                <w:szCs w:val="21"/>
              </w:rPr>
              <w:t>27</w:t>
            </w: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钠</w:t>
            </w: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≤2</w:t>
            </w:r>
            <w:r>
              <w:rPr>
                <w:rFonts w:hint="eastAsia"/>
                <w:color w:val="auto"/>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5" w:type="dxa"/>
            <w:tcBorders>
              <w:tl2br w:val="nil"/>
              <w:tr2bl w:val="nil"/>
            </w:tcBorders>
            <w:vAlign w:val="center"/>
          </w:tcPr>
          <w:p>
            <w:pPr>
              <w:jc w:val="center"/>
              <w:rPr>
                <w:color w:val="auto"/>
                <w:szCs w:val="21"/>
              </w:rPr>
            </w:pPr>
            <w:r>
              <w:rPr>
                <w:rFonts w:hint="eastAsia"/>
                <w:color w:val="auto"/>
                <w:szCs w:val="21"/>
              </w:rPr>
              <w:t>14</w:t>
            </w:r>
          </w:p>
        </w:tc>
        <w:tc>
          <w:tcPr>
            <w:tcW w:w="2192" w:type="dxa"/>
            <w:tcBorders>
              <w:tl2br w:val="nil"/>
              <w:tr2bl w:val="nil"/>
            </w:tcBorders>
            <w:vAlign w:val="center"/>
          </w:tcPr>
          <w:p>
            <w:pPr>
              <w:widowControl/>
              <w:autoSpaceDE w:val="0"/>
              <w:autoSpaceDN w:val="0"/>
              <w:adjustRightInd w:val="0"/>
              <w:snapToGrid w:val="0"/>
              <w:jc w:val="center"/>
              <w:textAlignment w:val="bottom"/>
              <w:rPr>
                <w:color w:val="auto"/>
                <w:szCs w:val="21"/>
              </w:rPr>
            </w:pPr>
            <w:r>
              <w:rPr>
                <w:rFonts w:hint="eastAsia"/>
                <w:color w:val="auto"/>
                <w:szCs w:val="21"/>
              </w:rPr>
              <w:t>氨氮（以N计）</w:t>
            </w:r>
          </w:p>
        </w:tc>
        <w:tc>
          <w:tcPr>
            <w:tcW w:w="1603" w:type="dxa"/>
            <w:tcBorders>
              <w:tl2br w:val="nil"/>
              <w:tr2bl w:val="nil"/>
            </w:tcBorders>
            <w:vAlign w:val="center"/>
          </w:tcPr>
          <w:p>
            <w:pPr>
              <w:autoSpaceDE w:val="0"/>
              <w:autoSpaceDN w:val="0"/>
              <w:adjustRightInd w:val="0"/>
              <w:snapToGrid w:val="0"/>
              <w:jc w:val="center"/>
              <w:textAlignment w:val="bottom"/>
              <w:rPr>
                <w:color w:val="auto"/>
                <w:szCs w:val="21"/>
              </w:rPr>
            </w:pPr>
            <w:r>
              <w:rPr>
                <w:color w:val="auto"/>
                <w:szCs w:val="21"/>
              </w:rPr>
              <w:t>≤0.5</w:t>
            </w:r>
          </w:p>
        </w:tc>
        <w:tc>
          <w:tcPr>
            <w:tcW w:w="896" w:type="dxa"/>
            <w:tcBorders>
              <w:tl2br w:val="nil"/>
              <w:tr2bl w:val="nil"/>
            </w:tcBorders>
            <w:vAlign w:val="center"/>
          </w:tcPr>
          <w:p>
            <w:pPr>
              <w:jc w:val="center"/>
              <w:rPr>
                <w:color w:val="auto"/>
                <w:szCs w:val="21"/>
              </w:rPr>
            </w:pPr>
          </w:p>
        </w:tc>
        <w:tc>
          <w:tcPr>
            <w:tcW w:w="1938" w:type="dxa"/>
            <w:tcBorders>
              <w:tl2br w:val="nil"/>
              <w:tr2bl w:val="nil"/>
            </w:tcBorders>
            <w:vAlign w:val="center"/>
          </w:tcPr>
          <w:p>
            <w:pPr>
              <w:widowControl/>
              <w:autoSpaceDE w:val="0"/>
              <w:autoSpaceDN w:val="0"/>
              <w:adjustRightInd w:val="0"/>
              <w:snapToGrid w:val="0"/>
              <w:jc w:val="center"/>
              <w:textAlignment w:val="bottom"/>
              <w:rPr>
                <w:color w:val="auto"/>
                <w:szCs w:val="21"/>
              </w:rPr>
            </w:pPr>
          </w:p>
        </w:tc>
        <w:tc>
          <w:tcPr>
            <w:tcW w:w="1801" w:type="dxa"/>
            <w:tcBorders>
              <w:tl2br w:val="nil"/>
              <w:tr2bl w:val="nil"/>
            </w:tcBorders>
            <w:vAlign w:val="center"/>
          </w:tcPr>
          <w:p>
            <w:pPr>
              <w:autoSpaceDE w:val="0"/>
              <w:autoSpaceDN w:val="0"/>
              <w:adjustRightInd w:val="0"/>
              <w:snapToGrid w:val="0"/>
              <w:jc w:val="center"/>
              <w:textAlignment w:val="bottom"/>
              <w:rPr>
                <w:color w:val="auto"/>
                <w:szCs w:val="21"/>
              </w:rPr>
            </w:pPr>
          </w:p>
        </w:tc>
      </w:tr>
    </w:tbl>
    <w:p>
      <w:pPr>
        <w:adjustRightInd w:val="0"/>
        <w:snapToGrid w:val="0"/>
        <w:spacing w:before="156" w:beforeLines="50" w:line="360" w:lineRule="auto"/>
        <w:ind w:firstLine="480" w:firstLineChars="200"/>
        <w:rPr>
          <w:bCs/>
          <w:color w:val="auto"/>
          <w:sz w:val="24"/>
        </w:rPr>
      </w:pPr>
      <w:r>
        <w:rPr>
          <w:rFonts w:ascii="Calibri" w:hAnsi="Calibri" w:cs="Calibri"/>
          <w:bCs/>
          <w:color w:val="auto"/>
          <w:sz w:val="24"/>
        </w:rPr>
        <w:t>③</w:t>
      </w:r>
      <w:r>
        <w:rPr>
          <w:rFonts w:hint="eastAsia"/>
          <w:bCs/>
          <w:color w:val="auto"/>
          <w:sz w:val="24"/>
        </w:rPr>
        <w:t>海水水质标准</w:t>
      </w:r>
    </w:p>
    <w:p>
      <w:pPr>
        <w:spacing w:line="360" w:lineRule="auto"/>
        <w:ind w:firstLine="480" w:firstLineChars="200"/>
        <w:rPr>
          <w:color w:val="auto"/>
          <w:sz w:val="24"/>
        </w:rPr>
      </w:pPr>
      <w:r>
        <w:rPr>
          <w:color w:val="auto"/>
          <w:sz w:val="24"/>
        </w:rPr>
        <w:t>根据《福建省近岸海域环境功能区划（修编）》（2011年），项目周边晴川湾（包含硖门湾）海洋功能区划为：福鼎市东部海区三类区(FJ006-C-Ⅱ)，水质执行《海水水质标准》(GB3097-1997)二类标准，其中水温执行三类标准。具体指标详见表</w:t>
      </w:r>
      <w:r>
        <w:rPr>
          <w:rFonts w:hint="eastAsia"/>
          <w:color w:val="auto"/>
          <w:sz w:val="24"/>
        </w:rPr>
        <w:t>3.4-3</w:t>
      </w:r>
      <w:r>
        <w:rPr>
          <w:color w:val="auto"/>
          <w:sz w:val="24"/>
        </w:rPr>
        <w:t>。</w:t>
      </w:r>
    </w:p>
    <w:p>
      <w:pPr>
        <w:spacing w:line="360" w:lineRule="auto"/>
        <w:ind w:firstLine="482" w:firstLineChars="200"/>
        <w:jc w:val="center"/>
        <w:rPr>
          <w:b/>
          <w:color w:val="auto"/>
          <w:sz w:val="24"/>
        </w:rPr>
      </w:pPr>
      <w:r>
        <w:rPr>
          <w:b/>
          <w:color w:val="auto"/>
          <w:sz w:val="24"/>
        </w:rPr>
        <w:t>表</w:t>
      </w:r>
      <w:r>
        <w:rPr>
          <w:rFonts w:hint="eastAsia"/>
          <w:b/>
          <w:color w:val="auto"/>
          <w:sz w:val="24"/>
        </w:rPr>
        <w:t>3.4-3</w:t>
      </w:r>
      <w:r>
        <w:rPr>
          <w:b/>
          <w:color w:val="auto"/>
          <w:sz w:val="24"/>
        </w:rPr>
        <w:t xml:space="preserve">  海水水质标准（GB3097-1997）</w:t>
      </w:r>
      <w:r>
        <w:rPr>
          <w:rFonts w:hint="eastAsia"/>
          <w:b/>
          <w:color w:val="auto"/>
          <w:sz w:val="24"/>
        </w:rPr>
        <w:t>（</w:t>
      </w:r>
      <w:r>
        <w:rPr>
          <w:b/>
          <w:color w:val="auto"/>
          <w:sz w:val="24"/>
        </w:rPr>
        <w:t>摘录</w:t>
      </w:r>
      <w:r>
        <w:rPr>
          <w:rFonts w:hint="eastAsia"/>
          <w:b/>
          <w:color w:val="auto"/>
          <w:sz w:val="24"/>
        </w:rPr>
        <w:t>）</w:t>
      </w:r>
      <w:r>
        <w:rPr>
          <w:b/>
          <w:color w:val="auto"/>
          <w:sz w:val="24"/>
        </w:rPr>
        <w:t xml:space="preserve"> 单位：mg/L</w:t>
      </w:r>
    </w:p>
    <w:tbl>
      <w:tblPr>
        <w:tblStyle w:val="22"/>
        <w:tblW w:w="9286" w:type="dxa"/>
        <w:jc w:val="center"/>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2321" w:type="dxa"/>
            <w:vAlign w:val="center"/>
          </w:tcPr>
          <w:p>
            <w:pPr>
              <w:widowControl/>
              <w:autoSpaceDE w:val="0"/>
              <w:autoSpaceDN w:val="0"/>
              <w:adjustRightInd w:val="0"/>
              <w:snapToGrid w:val="0"/>
              <w:jc w:val="center"/>
              <w:textAlignment w:val="bottom"/>
              <w:rPr>
                <w:b/>
                <w:color w:val="auto"/>
                <w:szCs w:val="21"/>
              </w:rPr>
            </w:pPr>
            <w:r>
              <w:rPr>
                <w:b/>
                <w:color w:val="auto"/>
                <w:szCs w:val="21"/>
              </w:rPr>
              <w:t>污染物名称</w:t>
            </w:r>
          </w:p>
        </w:tc>
        <w:tc>
          <w:tcPr>
            <w:tcW w:w="2321" w:type="dxa"/>
            <w:vAlign w:val="center"/>
          </w:tcPr>
          <w:p>
            <w:pPr>
              <w:widowControl/>
              <w:autoSpaceDE w:val="0"/>
              <w:autoSpaceDN w:val="0"/>
              <w:adjustRightInd w:val="0"/>
              <w:snapToGrid w:val="0"/>
              <w:jc w:val="center"/>
              <w:textAlignment w:val="bottom"/>
              <w:rPr>
                <w:b/>
                <w:color w:val="auto"/>
                <w:szCs w:val="21"/>
              </w:rPr>
            </w:pPr>
            <w:r>
              <w:rPr>
                <w:b/>
                <w:color w:val="auto"/>
                <w:szCs w:val="21"/>
              </w:rPr>
              <w:t>第二类</w:t>
            </w:r>
          </w:p>
        </w:tc>
        <w:tc>
          <w:tcPr>
            <w:tcW w:w="2322" w:type="dxa"/>
            <w:vAlign w:val="center"/>
          </w:tcPr>
          <w:p>
            <w:pPr>
              <w:widowControl/>
              <w:autoSpaceDE w:val="0"/>
              <w:autoSpaceDN w:val="0"/>
              <w:adjustRightInd w:val="0"/>
              <w:snapToGrid w:val="0"/>
              <w:jc w:val="center"/>
              <w:textAlignment w:val="bottom"/>
              <w:rPr>
                <w:b/>
                <w:color w:val="auto"/>
                <w:szCs w:val="21"/>
              </w:rPr>
            </w:pPr>
            <w:r>
              <w:rPr>
                <w:b/>
                <w:color w:val="auto"/>
                <w:szCs w:val="21"/>
              </w:rPr>
              <w:t>污染物名称</w:t>
            </w:r>
          </w:p>
        </w:tc>
        <w:tc>
          <w:tcPr>
            <w:tcW w:w="2322" w:type="dxa"/>
            <w:vAlign w:val="center"/>
          </w:tcPr>
          <w:p>
            <w:pPr>
              <w:widowControl/>
              <w:autoSpaceDE w:val="0"/>
              <w:autoSpaceDN w:val="0"/>
              <w:adjustRightInd w:val="0"/>
              <w:snapToGrid w:val="0"/>
              <w:jc w:val="center"/>
              <w:textAlignment w:val="bottom"/>
              <w:rPr>
                <w:b/>
                <w:color w:val="auto"/>
                <w:szCs w:val="21"/>
              </w:rPr>
            </w:pPr>
            <w:r>
              <w:rPr>
                <w:b/>
                <w:color w:val="auto"/>
                <w:szCs w:val="21"/>
              </w:rPr>
              <w:t>第二类</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pH</w:t>
            </w:r>
            <w:r>
              <w:rPr>
                <w:rFonts w:hint="eastAsia"/>
                <w:color w:val="auto"/>
              </w:rPr>
              <w:t>（无量纲）</w:t>
            </w:r>
          </w:p>
        </w:tc>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7.8～8.5</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硫化物≤</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0.05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化学需氧量≤</w:t>
            </w:r>
          </w:p>
        </w:tc>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3</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砷≤</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0.030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六价铬≤</w:t>
            </w:r>
          </w:p>
        </w:tc>
        <w:tc>
          <w:tcPr>
            <w:tcW w:w="2321" w:type="dxa"/>
            <w:vAlign w:val="center"/>
          </w:tcPr>
          <w:p>
            <w:pPr>
              <w:autoSpaceDE w:val="0"/>
              <w:autoSpaceDN w:val="0"/>
              <w:adjustRightInd w:val="0"/>
              <w:snapToGrid w:val="0"/>
              <w:jc w:val="center"/>
              <w:textAlignment w:val="bottom"/>
              <w:rPr>
                <w:color w:val="auto"/>
                <w:szCs w:val="21"/>
              </w:rPr>
            </w:pPr>
            <w:r>
              <w:rPr>
                <w:color w:val="auto"/>
                <w:szCs w:val="21"/>
              </w:rPr>
              <w:t>0.010</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汞≤</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0.0002</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镍≤</w:t>
            </w:r>
          </w:p>
        </w:tc>
        <w:tc>
          <w:tcPr>
            <w:tcW w:w="2321" w:type="dxa"/>
            <w:vAlign w:val="center"/>
          </w:tcPr>
          <w:p>
            <w:pPr>
              <w:autoSpaceDE w:val="0"/>
              <w:autoSpaceDN w:val="0"/>
              <w:adjustRightInd w:val="0"/>
              <w:snapToGrid w:val="0"/>
              <w:jc w:val="center"/>
              <w:textAlignment w:val="bottom"/>
              <w:rPr>
                <w:color w:val="auto"/>
                <w:szCs w:val="21"/>
              </w:rPr>
            </w:pPr>
            <w:r>
              <w:rPr>
                <w:color w:val="auto"/>
                <w:szCs w:val="21"/>
              </w:rPr>
              <w:t>0.010</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石油类≤</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0.05</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铜≤</w:t>
            </w:r>
          </w:p>
        </w:tc>
        <w:tc>
          <w:tcPr>
            <w:tcW w:w="2321" w:type="dxa"/>
            <w:vAlign w:val="center"/>
          </w:tcPr>
          <w:p>
            <w:pPr>
              <w:autoSpaceDE w:val="0"/>
              <w:autoSpaceDN w:val="0"/>
              <w:adjustRightInd w:val="0"/>
              <w:snapToGrid w:val="0"/>
              <w:jc w:val="center"/>
              <w:textAlignment w:val="bottom"/>
              <w:rPr>
                <w:color w:val="auto"/>
                <w:szCs w:val="21"/>
              </w:rPr>
            </w:pPr>
            <w:r>
              <w:rPr>
                <w:color w:val="auto"/>
                <w:szCs w:val="21"/>
              </w:rPr>
              <w:t>0.010</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铅≤</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0.010</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锌≤</w:t>
            </w:r>
          </w:p>
        </w:tc>
        <w:tc>
          <w:tcPr>
            <w:tcW w:w="2321" w:type="dxa"/>
            <w:vAlign w:val="center"/>
          </w:tcPr>
          <w:p>
            <w:pPr>
              <w:widowControl/>
              <w:autoSpaceDE w:val="0"/>
              <w:autoSpaceDN w:val="0"/>
              <w:adjustRightInd w:val="0"/>
              <w:snapToGrid w:val="0"/>
              <w:jc w:val="center"/>
              <w:textAlignment w:val="bottom"/>
              <w:rPr>
                <w:color w:val="auto"/>
                <w:szCs w:val="21"/>
              </w:rPr>
            </w:pPr>
            <w:r>
              <w:rPr>
                <w:color w:val="auto"/>
                <w:szCs w:val="21"/>
              </w:rPr>
              <w:t>0.05</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镉≤</w:t>
            </w:r>
          </w:p>
        </w:tc>
        <w:tc>
          <w:tcPr>
            <w:tcW w:w="2322" w:type="dxa"/>
            <w:vAlign w:val="center"/>
          </w:tcPr>
          <w:p>
            <w:pPr>
              <w:widowControl/>
              <w:autoSpaceDE w:val="0"/>
              <w:autoSpaceDN w:val="0"/>
              <w:adjustRightInd w:val="0"/>
              <w:snapToGrid w:val="0"/>
              <w:jc w:val="center"/>
              <w:textAlignment w:val="bottom"/>
              <w:rPr>
                <w:color w:val="auto"/>
                <w:szCs w:val="21"/>
              </w:rPr>
            </w:pPr>
            <w:r>
              <w:rPr>
                <w:color w:val="auto"/>
                <w:szCs w:val="21"/>
              </w:rPr>
              <w:t>0.010</w:t>
            </w:r>
          </w:p>
        </w:tc>
      </w:tr>
    </w:tbl>
    <w:p>
      <w:pPr>
        <w:adjustRightInd w:val="0"/>
        <w:snapToGrid w:val="0"/>
        <w:spacing w:before="156" w:beforeLines="50" w:line="360" w:lineRule="auto"/>
        <w:ind w:firstLine="480" w:firstLineChars="200"/>
        <w:rPr>
          <w:b/>
          <w:color w:val="auto"/>
          <w:sz w:val="24"/>
        </w:rPr>
      </w:pPr>
      <w:r>
        <w:rPr>
          <w:rFonts w:hint="eastAsia"/>
          <w:bCs/>
          <w:color w:val="auto"/>
          <w:sz w:val="24"/>
        </w:rPr>
        <w:t>（</w:t>
      </w:r>
      <w:r>
        <w:rPr>
          <w:bCs/>
          <w:color w:val="auto"/>
          <w:sz w:val="24"/>
        </w:rPr>
        <w:t>2</w:t>
      </w:r>
      <w:r>
        <w:rPr>
          <w:rFonts w:hint="eastAsia"/>
          <w:bCs/>
          <w:color w:val="auto"/>
          <w:sz w:val="24"/>
        </w:rPr>
        <w:t>）大气环境</w:t>
      </w:r>
    </w:p>
    <w:p>
      <w:pPr>
        <w:pStyle w:val="47"/>
        <w:rPr>
          <w:rFonts w:ascii="Times New Roman" w:hAnsi="Times New Roman"/>
          <w:color w:val="auto"/>
        </w:rPr>
      </w:pPr>
      <w:r>
        <w:rPr>
          <w:rFonts w:hint="eastAsia" w:ascii="Times New Roman" w:hAnsi="Times New Roman"/>
          <w:color w:val="auto"/>
        </w:rPr>
        <w:t>项目所在区域为</w:t>
      </w:r>
      <w:r>
        <w:rPr>
          <w:rFonts w:hint="eastAsia" w:ascii="Times New Roman" w:hAnsi="Times New Roman"/>
          <w:snapToGrid w:val="0"/>
          <w:color w:val="auto"/>
        </w:rPr>
        <w:t>文渡工业集中区，根据《福鼎市温州园文渡工业集中区规划环境影响报告书》</w:t>
      </w:r>
      <w:r>
        <w:rPr>
          <w:rFonts w:hint="eastAsia" w:ascii="Times New Roman" w:hAnsi="Times New Roman"/>
          <w:color w:val="auto"/>
        </w:rPr>
        <w:t>，大气环境功能区为二类区。环境空气质量执行《环境空气质量标准》（</w:t>
      </w:r>
      <w:r>
        <w:rPr>
          <w:rFonts w:ascii="Times New Roman" w:hAnsi="Times New Roman"/>
          <w:color w:val="auto"/>
        </w:rPr>
        <w:t>GB3095-2012</w:t>
      </w:r>
      <w:r>
        <w:rPr>
          <w:rFonts w:hint="eastAsia" w:ascii="Times New Roman" w:hAnsi="Times New Roman"/>
          <w:color w:val="auto"/>
        </w:rPr>
        <w:t>）中的二级标准，具体标准详见表3.4-4。特征污染物氯化氢、硫酸雾参照《环境影响评价技术导则</w:t>
      </w:r>
      <w:r>
        <w:rPr>
          <w:rFonts w:ascii="Times New Roman" w:hAnsi="Times New Roman"/>
          <w:color w:val="auto"/>
        </w:rPr>
        <w:t xml:space="preserve">  </w:t>
      </w:r>
      <w:r>
        <w:rPr>
          <w:rFonts w:hint="eastAsia" w:ascii="Times New Roman" w:hAnsi="Times New Roman"/>
          <w:color w:val="auto"/>
        </w:rPr>
        <w:t>大气环境》（</w:t>
      </w:r>
      <w:r>
        <w:rPr>
          <w:rFonts w:ascii="Times New Roman" w:hAnsi="Times New Roman"/>
          <w:color w:val="auto"/>
        </w:rPr>
        <w:t>HJ 2.2-2018</w:t>
      </w:r>
      <w:r>
        <w:rPr>
          <w:rFonts w:hint="eastAsia" w:ascii="Times New Roman" w:hAnsi="Times New Roman"/>
          <w:color w:val="auto"/>
        </w:rPr>
        <w:t>）附录</w:t>
      </w:r>
      <w:r>
        <w:rPr>
          <w:rFonts w:ascii="Times New Roman" w:hAnsi="Times New Roman"/>
          <w:color w:val="auto"/>
        </w:rPr>
        <w:t>D</w:t>
      </w:r>
      <w:r>
        <w:rPr>
          <w:rFonts w:hint="eastAsia" w:ascii="Times New Roman" w:hAnsi="Times New Roman"/>
          <w:color w:val="auto"/>
        </w:rPr>
        <w:t>执行</w:t>
      </w:r>
      <w:r>
        <w:rPr>
          <w:rFonts w:hint="eastAsia" w:ascii="Times New Roman" w:hAnsi="Times New Roman"/>
          <w:color w:val="auto"/>
          <w:lang w:eastAsia="zh-CN"/>
        </w:rPr>
        <w:t>；氟化物参照</w:t>
      </w:r>
      <w:r>
        <w:rPr>
          <w:rFonts w:hint="eastAsia"/>
          <w:color w:val="auto"/>
        </w:rPr>
        <w:t>《环境空气质量标准》（</w:t>
      </w:r>
      <w:r>
        <w:rPr>
          <w:color w:val="auto"/>
        </w:rPr>
        <w:t>GB3095-2012</w:t>
      </w:r>
      <w:r>
        <w:rPr>
          <w:rFonts w:hint="eastAsia"/>
          <w:color w:val="auto"/>
        </w:rPr>
        <w:t>）</w:t>
      </w:r>
      <w:r>
        <w:rPr>
          <w:rFonts w:hint="eastAsia"/>
          <w:color w:val="auto"/>
          <w:lang w:eastAsia="zh-CN"/>
        </w:rPr>
        <w:t>执行；</w:t>
      </w:r>
      <w:r>
        <w:rPr>
          <w:rFonts w:hint="eastAsia" w:ascii="Times New Roman" w:hAnsi="Times New Roman"/>
          <w:color w:val="auto"/>
          <w:lang w:eastAsia="zh-CN"/>
        </w:rPr>
        <w:t>铬酸雾参照</w:t>
      </w:r>
      <w:r>
        <w:rPr>
          <w:rFonts w:ascii="宋体" w:hAnsi="宋体"/>
          <w:color w:val="auto"/>
        </w:rPr>
        <w:t>参</w:t>
      </w:r>
      <w:r>
        <w:rPr>
          <w:rFonts w:hAnsi="宋体"/>
          <w:color w:val="auto"/>
        </w:rPr>
        <w:t>考</w:t>
      </w:r>
      <w:r>
        <w:rPr>
          <w:rFonts w:hint="eastAsia" w:hAnsi="宋体"/>
          <w:color w:val="auto"/>
        </w:rPr>
        <w:t>原</w:t>
      </w:r>
      <w:r>
        <w:rPr>
          <w:rFonts w:hAnsi="宋体"/>
          <w:color w:val="auto"/>
        </w:rPr>
        <w:t>《</w:t>
      </w:r>
      <w:r>
        <w:rPr>
          <w:rFonts w:hAnsi="宋体"/>
          <w:bCs/>
          <w:color w:val="auto"/>
        </w:rPr>
        <w:t>工业企业设计卫生标准</w:t>
      </w:r>
      <w:r>
        <w:rPr>
          <w:rFonts w:hAnsi="宋体"/>
          <w:color w:val="auto"/>
        </w:rPr>
        <w:t>》</w:t>
      </w:r>
      <w:r>
        <w:rPr>
          <w:rFonts w:hint="eastAsia" w:ascii="Times New Roman" w:hAnsi="Times New Roman"/>
          <w:color w:val="auto"/>
        </w:rPr>
        <w:t>（TJ36-79）</w:t>
      </w:r>
      <w:r>
        <w:rPr>
          <w:rFonts w:hint="eastAsia"/>
          <w:color w:val="auto"/>
          <w:lang w:eastAsia="zh-CN"/>
        </w:rPr>
        <w:t>执行；氰化氢参照前苏联居民区大气中有害物质的最大允许浓度</w:t>
      </w:r>
      <w:r>
        <w:rPr>
          <w:rFonts w:hint="eastAsia" w:ascii="Times New Roman" w:hAnsi="Times New Roman"/>
          <w:color w:val="auto"/>
          <w:lang w:eastAsia="zh-CN"/>
        </w:rPr>
        <w:t>（</w:t>
      </w:r>
      <w:r>
        <w:rPr>
          <w:rFonts w:hint="eastAsia" w:ascii="Times New Roman" w:hAnsi="Times New Roman"/>
          <w:color w:val="auto"/>
          <w:lang w:val="en-US" w:eastAsia="zh-CN"/>
        </w:rPr>
        <w:t>CH 245-71</w:t>
      </w:r>
      <w:r>
        <w:rPr>
          <w:rFonts w:hint="eastAsia" w:ascii="Times New Roman" w:hAnsi="Times New Roman"/>
          <w:color w:val="auto"/>
          <w:lang w:eastAsia="zh-CN"/>
        </w:rPr>
        <w:t>）。</w:t>
      </w:r>
    </w:p>
    <w:p>
      <w:pPr>
        <w:pStyle w:val="38"/>
        <w:adjustRightInd w:val="0"/>
        <w:spacing w:beforeLines="0"/>
        <w:outlineLvl w:val="9"/>
        <w:rPr>
          <w:rFonts w:hAnsi="Times New Roman"/>
          <w:color w:val="auto"/>
          <w:sz w:val="24"/>
        </w:rPr>
      </w:pPr>
      <w:r>
        <w:rPr>
          <w:rFonts w:hint="eastAsia" w:hAnsi="Times New Roman"/>
          <w:color w:val="auto"/>
          <w:sz w:val="24"/>
        </w:rPr>
        <w:t>表</w:t>
      </w:r>
      <w:r>
        <w:rPr>
          <w:rFonts w:hAnsi="Times New Roman"/>
          <w:color w:val="auto"/>
          <w:sz w:val="24"/>
        </w:rPr>
        <w:t>3.</w:t>
      </w:r>
      <w:r>
        <w:rPr>
          <w:rFonts w:hint="eastAsia" w:hAnsi="Times New Roman"/>
          <w:color w:val="auto"/>
          <w:sz w:val="24"/>
        </w:rPr>
        <w:t>4</w:t>
      </w:r>
      <w:r>
        <w:rPr>
          <w:rFonts w:hAnsi="Times New Roman"/>
          <w:color w:val="auto"/>
          <w:sz w:val="24"/>
        </w:rPr>
        <w:t>-</w:t>
      </w:r>
      <w:r>
        <w:rPr>
          <w:rFonts w:hint="eastAsia" w:hAnsi="Times New Roman"/>
          <w:color w:val="auto"/>
          <w:sz w:val="24"/>
        </w:rPr>
        <w:t>4  环境空气质量标准</w:t>
      </w:r>
      <w:r>
        <w:rPr>
          <w:rFonts w:hint="eastAsia"/>
          <w:color w:val="auto"/>
          <w:sz w:val="24"/>
        </w:rPr>
        <w:t>（GB3095-2012）</w:t>
      </w:r>
      <w:r>
        <w:rPr>
          <w:rFonts w:hint="eastAsia" w:hAnsi="Times New Roman"/>
          <w:color w:val="auto"/>
          <w:sz w:val="24"/>
        </w:rPr>
        <w:t xml:space="preserve">（摘录）    </w:t>
      </w:r>
    </w:p>
    <w:tbl>
      <w:tblPr>
        <w:tblStyle w:val="22"/>
        <w:tblW w:w="9070"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682"/>
        <w:gridCol w:w="2798"/>
        <w:gridCol w:w="2538"/>
        <w:gridCol w:w="205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51" w:hRule="exact"/>
          <w:tblHeader/>
          <w:jc w:val="center"/>
        </w:trPr>
        <w:tc>
          <w:tcPr>
            <w:tcW w:w="1682" w:type="dxa"/>
            <w:vAlign w:val="center"/>
          </w:tcPr>
          <w:p>
            <w:pPr>
              <w:pStyle w:val="33"/>
              <w:spacing w:line="240" w:lineRule="auto"/>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2798" w:type="dxa"/>
            <w:vAlign w:val="center"/>
          </w:tcPr>
          <w:p>
            <w:pPr>
              <w:pStyle w:val="33"/>
              <w:spacing w:line="240" w:lineRule="auto"/>
              <w:rPr>
                <w:rFonts w:ascii="Times New Roman" w:hAnsi="Times New Roman" w:cs="Times New Roman"/>
                <w:b/>
                <w:bCs/>
                <w:color w:val="auto"/>
                <w:sz w:val="21"/>
                <w:szCs w:val="21"/>
              </w:rPr>
            </w:pPr>
            <w:r>
              <w:rPr>
                <w:rFonts w:ascii="Times New Roman" w:hAnsi="Times New Roman" w:cs="Times New Roman"/>
                <w:b/>
                <w:bCs/>
                <w:color w:val="auto"/>
                <w:sz w:val="21"/>
                <w:szCs w:val="21"/>
              </w:rPr>
              <w:t>取值时间</w:t>
            </w:r>
          </w:p>
        </w:tc>
        <w:tc>
          <w:tcPr>
            <w:tcW w:w="2538" w:type="dxa"/>
            <w:vAlign w:val="center"/>
          </w:tcPr>
          <w:p>
            <w:pPr>
              <w:pStyle w:val="33"/>
              <w:spacing w:line="240" w:lineRule="auto"/>
              <w:rPr>
                <w:rFonts w:ascii="Times New Roman" w:hAnsi="Times New Roman" w:cs="Times New Roman"/>
                <w:b/>
                <w:bCs/>
                <w:color w:val="auto"/>
                <w:sz w:val="21"/>
                <w:szCs w:val="21"/>
              </w:rPr>
            </w:pPr>
            <w:r>
              <w:rPr>
                <w:rFonts w:ascii="Times New Roman" w:hAnsi="Times New Roman" w:cs="Times New Roman"/>
                <w:b/>
                <w:bCs/>
                <w:color w:val="auto"/>
                <w:sz w:val="21"/>
                <w:szCs w:val="21"/>
              </w:rPr>
              <w:t>浓度限值</w:t>
            </w:r>
          </w:p>
        </w:tc>
        <w:tc>
          <w:tcPr>
            <w:tcW w:w="2052" w:type="dxa"/>
            <w:vAlign w:val="center"/>
          </w:tcPr>
          <w:p>
            <w:pPr>
              <w:pStyle w:val="33"/>
              <w:spacing w:line="240" w:lineRule="auto"/>
              <w:rPr>
                <w:rFonts w:ascii="Times New Roman" w:hAnsi="Times New Roman" w:cs="Times New Roman"/>
                <w:b/>
                <w:bCs/>
                <w:color w:val="auto"/>
                <w:sz w:val="21"/>
                <w:szCs w:val="21"/>
              </w:rPr>
            </w:pPr>
            <w:r>
              <w:rPr>
                <w:rFonts w:ascii="Times New Roman" w:hAnsi="Times New Roman" w:cs="Times New Roman"/>
                <w:b/>
                <w:bCs/>
                <w:color w:val="auto"/>
                <w:sz w:val="21"/>
                <w:szCs w:val="21"/>
              </w:rPr>
              <w:t>浓度单位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restart"/>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年平均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2052" w:type="dxa"/>
            <w:vMerge w:val="restart"/>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μg/m³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continue"/>
            <w:vAlign w:val="center"/>
          </w:tcPr>
          <w:p>
            <w:pPr>
              <w:pStyle w:val="33"/>
              <w:spacing w:line="240" w:lineRule="auto"/>
              <w:rPr>
                <w:rFonts w:ascii="Times New Roman" w:hAnsi="Times New Roman" w:cs="Times New Roman"/>
                <w:color w:val="auto"/>
                <w:sz w:val="21"/>
                <w:szCs w:val="21"/>
              </w:rPr>
            </w:pP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24小时平均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150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continue"/>
            <w:vAlign w:val="center"/>
          </w:tcPr>
          <w:p>
            <w:pPr>
              <w:pStyle w:val="33"/>
              <w:spacing w:line="240" w:lineRule="auto"/>
              <w:rPr>
                <w:rFonts w:ascii="Times New Roman" w:hAnsi="Times New Roman" w:cs="Times New Roman"/>
                <w:color w:val="auto"/>
                <w:sz w:val="21"/>
                <w:szCs w:val="21"/>
              </w:rPr>
            </w:pP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1小时平均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restart"/>
            <w:vAlign w:val="center"/>
          </w:tcPr>
          <w:p>
            <w:pPr>
              <w:pStyle w:val="33"/>
              <w:spacing w:line="240" w:lineRule="auto"/>
              <w:rPr>
                <w:rFonts w:ascii="Times New Roman" w:hAnsi="Times New Roman" w:cs="Times New Roman"/>
                <w:color w:val="auto"/>
                <w:sz w:val="21"/>
                <w:szCs w:val="21"/>
                <w:bdr w:val="single" w:color="auto" w:sz="4" w:space="0"/>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2</w:t>
            </w: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年平均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hidden/>
        </w:trPr>
        <w:tc>
          <w:tcPr>
            <w:tcW w:w="1682" w:type="dxa"/>
            <w:vMerge w:val="continue"/>
            <w:vAlign w:val="center"/>
          </w:tcPr>
          <w:p>
            <w:pPr>
              <w:pStyle w:val="33"/>
              <w:spacing w:line="240" w:lineRule="auto"/>
              <w:rPr>
                <w:rStyle w:val="26"/>
                <w:rFonts w:ascii="Times New Roman" w:hAnsi="Times New Roman"/>
                <w:vanish/>
                <w:color w:val="auto"/>
              </w:rPr>
            </w:pP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24小时平均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continue"/>
            <w:vAlign w:val="center"/>
          </w:tcPr>
          <w:p>
            <w:pPr>
              <w:pStyle w:val="33"/>
              <w:spacing w:line="240" w:lineRule="auto"/>
              <w:rPr>
                <w:rFonts w:ascii="Times New Roman" w:hAnsi="Times New Roman" w:cs="Times New Roman"/>
                <w:color w:val="auto"/>
                <w:sz w:val="21"/>
                <w:szCs w:val="21"/>
                <w:bdr w:val="single" w:color="auto" w:sz="4" w:space="0"/>
              </w:rPr>
            </w:pPr>
          </w:p>
        </w:tc>
        <w:tc>
          <w:tcPr>
            <w:tcW w:w="2798" w:type="dxa"/>
            <w:vAlign w:val="center"/>
          </w:tcPr>
          <w:p>
            <w:pPr>
              <w:pStyle w:val="33"/>
              <w:spacing w:line="240" w:lineRule="auto"/>
              <w:rPr>
                <w:rFonts w:ascii="Times New Roman" w:hAnsi="Times New Roman" w:cs="Times New Roman"/>
                <w:color w:val="auto"/>
                <w:sz w:val="21"/>
                <w:szCs w:val="21"/>
                <w:bdr w:val="single" w:color="auto" w:sz="4" w:space="0"/>
              </w:rPr>
            </w:pPr>
            <w:r>
              <w:rPr>
                <w:rFonts w:ascii="Times New Roman" w:hAnsi="Times New Roman" w:cs="Times New Roman"/>
                <w:color w:val="auto"/>
                <w:sz w:val="21"/>
                <w:szCs w:val="21"/>
              </w:rPr>
              <w:t>1小时平均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restart"/>
            <w:vAlign w:val="center"/>
          </w:tcPr>
          <w:p>
            <w:pPr>
              <w:pStyle w:val="33"/>
              <w:spacing w:line="240" w:lineRule="auto"/>
              <w:rPr>
                <w:rFonts w:ascii="Times New Roman" w:hAnsi="Times New Roman" w:cs="Times New Roman"/>
                <w:color w:val="auto"/>
                <w:sz w:val="21"/>
                <w:szCs w:val="21"/>
                <w:bdr w:val="single" w:color="auto" w:sz="4" w:space="0"/>
              </w:rPr>
            </w:pPr>
            <w:r>
              <w:rPr>
                <w:rFonts w:ascii="Times New Roman" w:hAnsi="Times New Roman" w:cs="Times New Roman"/>
                <w:color w:val="auto"/>
                <w:sz w:val="21"/>
                <w:szCs w:val="21"/>
              </w:rPr>
              <w:t>PM</w:t>
            </w:r>
            <w:r>
              <w:rPr>
                <w:rFonts w:ascii="Times New Roman" w:hAnsi="Times New Roman" w:cs="Times New Roman"/>
                <w:color w:val="auto"/>
                <w:sz w:val="21"/>
                <w:szCs w:val="21"/>
                <w:vertAlign w:val="subscript"/>
              </w:rPr>
              <w:t>10</w:t>
            </w: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年平均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70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200" w:hRule="atLeast"/>
          <w:jc w:val="center"/>
        </w:trPr>
        <w:tc>
          <w:tcPr>
            <w:tcW w:w="1682" w:type="dxa"/>
            <w:vMerge w:val="continue"/>
            <w:vAlign w:val="center"/>
          </w:tcPr>
          <w:p>
            <w:pPr>
              <w:pStyle w:val="33"/>
              <w:spacing w:line="240" w:lineRule="auto"/>
              <w:rPr>
                <w:rFonts w:ascii="Times New Roman" w:hAnsi="Times New Roman" w:cs="Times New Roman"/>
                <w:color w:val="auto"/>
                <w:sz w:val="21"/>
                <w:szCs w:val="21"/>
                <w:bdr w:val="single" w:color="auto" w:sz="4" w:space="0"/>
              </w:rPr>
            </w:pP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24小时平均</w:t>
            </w:r>
          </w:p>
        </w:tc>
        <w:tc>
          <w:tcPr>
            <w:tcW w:w="253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150</w:t>
            </w:r>
          </w:p>
        </w:tc>
        <w:tc>
          <w:tcPr>
            <w:tcW w:w="2052" w:type="dxa"/>
            <w:vMerge w:val="continue"/>
            <w:vAlign w:val="center"/>
          </w:tcPr>
          <w:p>
            <w:pPr>
              <w:pStyle w:val="33"/>
              <w:spacing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0" w:hRule="exact"/>
          <w:jc w:val="center"/>
        </w:trPr>
        <w:tc>
          <w:tcPr>
            <w:tcW w:w="1682" w:type="dxa"/>
            <w:vMerge w:val="restart"/>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PM</w:t>
            </w:r>
            <w:r>
              <w:rPr>
                <w:rFonts w:hint="eastAsia" w:ascii="Times New Roman" w:hAnsi="Times New Roman" w:cs="Times New Roman"/>
                <w:color w:val="auto"/>
                <w:sz w:val="21"/>
                <w:szCs w:val="21"/>
                <w:vertAlign w:val="subscript"/>
              </w:rPr>
              <w:t>2.5</w:t>
            </w:r>
          </w:p>
        </w:tc>
        <w:tc>
          <w:tcPr>
            <w:tcW w:w="2798" w:type="dxa"/>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年平均</w:t>
            </w:r>
          </w:p>
        </w:tc>
        <w:tc>
          <w:tcPr>
            <w:tcW w:w="2538" w:type="dxa"/>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35</w:t>
            </w:r>
          </w:p>
        </w:tc>
        <w:tc>
          <w:tcPr>
            <w:tcW w:w="2052" w:type="dxa"/>
            <w:vMerge w:val="continue"/>
            <w:vAlign w:val="center"/>
          </w:tcPr>
          <w:p>
            <w:pPr>
              <w:pStyle w:val="33"/>
              <w:spacing w:before="120" w:after="120"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0" w:hRule="exact"/>
          <w:jc w:val="center"/>
        </w:trPr>
        <w:tc>
          <w:tcPr>
            <w:tcW w:w="1682" w:type="dxa"/>
            <w:vMerge w:val="continue"/>
            <w:vAlign w:val="center"/>
          </w:tcPr>
          <w:p>
            <w:pPr>
              <w:pStyle w:val="33"/>
              <w:spacing w:line="240" w:lineRule="auto"/>
              <w:rPr>
                <w:rFonts w:ascii="Times New Roman" w:hAnsi="Times New Roman" w:cs="Times New Roman"/>
                <w:color w:val="auto"/>
                <w:sz w:val="21"/>
                <w:szCs w:val="21"/>
              </w:rPr>
            </w:pP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24</w:t>
            </w:r>
            <w:r>
              <w:rPr>
                <w:rFonts w:hint="eastAsia" w:ascii="Times New Roman" w:hAnsi="Times New Roman" w:cs="Times New Roman"/>
                <w:color w:val="auto"/>
                <w:sz w:val="21"/>
                <w:szCs w:val="21"/>
              </w:rPr>
              <w:t>小时平均</w:t>
            </w:r>
          </w:p>
        </w:tc>
        <w:tc>
          <w:tcPr>
            <w:tcW w:w="2538" w:type="dxa"/>
            <w:tcBorders>
              <w:bottom w:val="single" w:color="auto" w:sz="4" w:space="0"/>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75</w:t>
            </w:r>
          </w:p>
        </w:tc>
        <w:tc>
          <w:tcPr>
            <w:tcW w:w="2052" w:type="dxa"/>
            <w:vMerge w:val="continue"/>
            <w:tcBorders>
              <w:bottom w:val="single" w:color="auto" w:sz="4" w:space="0"/>
            </w:tcBorders>
            <w:vAlign w:val="center"/>
          </w:tcPr>
          <w:p>
            <w:pPr>
              <w:pStyle w:val="33"/>
              <w:spacing w:before="120" w:after="120"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0" w:hRule="exact"/>
          <w:jc w:val="center"/>
        </w:trPr>
        <w:tc>
          <w:tcPr>
            <w:tcW w:w="1682" w:type="dxa"/>
            <w:vMerge w:val="restart"/>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vertAlign w:val="subscript"/>
                <w:lang w:val="en-US" w:eastAsia="zh-CN"/>
              </w:rPr>
              <w:t>3</w:t>
            </w:r>
          </w:p>
        </w:tc>
        <w:tc>
          <w:tcPr>
            <w:tcW w:w="2798"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color w:val="auto"/>
                <w:sz w:val="21"/>
                <w:szCs w:val="21"/>
              </w:rPr>
              <w:t>日最大8小时平均</w:t>
            </w:r>
          </w:p>
        </w:tc>
        <w:tc>
          <w:tcPr>
            <w:tcW w:w="2538" w:type="dxa"/>
            <w:tcBorders>
              <w:top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hint="eastAsia"/>
                <w:color w:val="auto"/>
                <w:sz w:val="21"/>
                <w:szCs w:val="21"/>
              </w:rPr>
              <w:t>200</w:t>
            </w:r>
          </w:p>
        </w:tc>
        <w:tc>
          <w:tcPr>
            <w:tcW w:w="2052" w:type="dxa"/>
            <w:vMerge w:val="restart"/>
            <w:tcBorders>
              <w:top w:val="single" w:color="auto" w:sz="4" w:space="0"/>
            </w:tcBorders>
            <w:vAlign w:val="center"/>
          </w:tcPr>
          <w:p>
            <w:pPr>
              <w:pStyle w:val="33"/>
              <w:spacing w:before="120" w:after="120" w:line="240" w:lineRule="auto"/>
              <w:rPr>
                <w:rFonts w:ascii="Times New Roman" w:hAnsi="Times New Roman" w:cs="Times New Roman"/>
                <w:color w:val="auto"/>
                <w:sz w:val="21"/>
                <w:szCs w:val="21"/>
              </w:rPr>
            </w:pPr>
            <w:r>
              <w:rPr>
                <w:rFonts w:ascii="Times New Roman" w:hAnsi="Times New Roman" w:cs="Times New Roman"/>
                <w:color w:val="auto"/>
                <w:sz w:val="21"/>
                <w:szCs w:val="21"/>
              </w:rPr>
              <w:t>μg/m³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0" w:hRule="exact"/>
          <w:jc w:val="center"/>
        </w:trPr>
        <w:tc>
          <w:tcPr>
            <w:tcW w:w="1682" w:type="dxa"/>
            <w:vMerge w:val="continue"/>
            <w:vAlign w:val="center"/>
          </w:tcPr>
          <w:p>
            <w:pPr>
              <w:pStyle w:val="33"/>
              <w:spacing w:line="240" w:lineRule="auto"/>
              <w:rPr>
                <w:rFonts w:ascii="Times New Roman" w:hAnsi="Times New Roman" w:cs="Times New Roman"/>
                <w:color w:val="auto"/>
                <w:sz w:val="21"/>
                <w:szCs w:val="21"/>
              </w:rPr>
            </w:pPr>
          </w:p>
        </w:tc>
        <w:tc>
          <w:tcPr>
            <w:tcW w:w="2798"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color w:val="auto"/>
                <w:sz w:val="21"/>
                <w:szCs w:val="21"/>
              </w:rPr>
              <w:t>小时平均</w:t>
            </w:r>
          </w:p>
        </w:tc>
        <w:tc>
          <w:tcPr>
            <w:tcW w:w="2538" w:type="dxa"/>
            <w:vAlign w:val="center"/>
          </w:tcPr>
          <w:p>
            <w:pPr>
              <w:spacing w:line="240" w:lineRule="auto"/>
              <w:ind w:firstLine="0" w:firstLineChars="0"/>
              <w:jc w:val="center"/>
              <w:rPr>
                <w:rFonts w:ascii="Times New Roman" w:hAnsi="Times New Roman" w:cs="Times New Roman"/>
                <w:color w:val="auto"/>
                <w:sz w:val="21"/>
                <w:szCs w:val="21"/>
              </w:rPr>
            </w:pPr>
            <w:r>
              <w:rPr>
                <w:rFonts w:hint="eastAsia"/>
                <w:color w:val="auto"/>
                <w:sz w:val="21"/>
                <w:szCs w:val="21"/>
              </w:rPr>
              <w:t>70</w:t>
            </w:r>
          </w:p>
        </w:tc>
        <w:tc>
          <w:tcPr>
            <w:tcW w:w="2052" w:type="dxa"/>
            <w:vMerge w:val="continue"/>
            <w:vAlign w:val="center"/>
          </w:tcPr>
          <w:p>
            <w:pPr>
              <w:pStyle w:val="33"/>
              <w:spacing w:before="120" w:after="120" w:line="240" w:lineRule="auto"/>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0" w:hRule="exact"/>
          <w:jc w:val="center"/>
        </w:trPr>
        <w:tc>
          <w:tcPr>
            <w:tcW w:w="1682" w:type="dxa"/>
            <w:vMerge w:val="restart"/>
            <w:vAlign w:val="center"/>
          </w:tcPr>
          <w:p>
            <w:pPr>
              <w:pStyle w:val="3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CO</w:t>
            </w: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24</w:t>
            </w:r>
            <w:r>
              <w:rPr>
                <w:rFonts w:hint="eastAsia" w:ascii="Times New Roman" w:hAnsi="Times New Roman" w:cs="Times New Roman"/>
                <w:color w:val="auto"/>
                <w:sz w:val="21"/>
                <w:szCs w:val="21"/>
              </w:rPr>
              <w:t>小时平均</w:t>
            </w:r>
          </w:p>
        </w:tc>
        <w:tc>
          <w:tcPr>
            <w:tcW w:w="2538" w:type="dxa"/>
            <w:vAlign w:val="center"/>
          </w:tcPr>
          <w:p>
            <w:pPr>
              <w:pStyle w:val="33"/>
              <w:spacing w:line="240" w:lineRule="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w:t>
            </w:r>
          </w:p>
        </w:tc>
        <w:tc>
          <w:tcPr>
            <w:tcW w:w="2052" w:type="dxa"/>
            <w:vMerge w:val="restart"/>
            <w:vAlign w:val="center"/>
          </w:tcPr>
          <w:p>
            <w:pPr>
              <w:pStyle w:val="33"/>
              <w:spacing w:before="120" w:after="120"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mg/m</w:t>
            </w:r>
            <w:r>
              <w:rPr>
                <w:rFonts w:hint="eastAsia" w:ascii="Times New Roman" w:hAnsi="Times New Roman" w:cs="Times New Roman"/>
                <w:color w:val="auto"/>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0" w:hRule="exact"/>
          <w:jc w:val="center"/>
        </w:trPr>
        <w:tc>
          <w:tcPr>
            <w:tcW w:w="1682" w:type="dxa"/>
            <w:vMerge w:val="continue"/>
            <w:vAlign w:val="center"/>
          </w:tcPr>
          <w:p>
            <w:pPr>
              <w:pStyle w:val="33"/>
              <w:spacing w:line="240" w:lineRule="auto"/>
              <w:rPr>
                <w:rFonts w:ascii="Times New Roman" w:hAnsi="Times New Roman" w:cs="Times New Roman"/>
                <w:color w:val="auto"/>
                <w:sz w:val="21"/>
                <w:szCs w:val="21"/>
              </w:rPr>
            </w:pPr>
          </w:p>
        </w:tc>
        <w:tc>
          <w:tcPr>
            <w:tcW w:w="2798" w:type="dxa"/>
            <w:vAlign w:val="center"/>
          </w:tcPr>
          <w:p>
            <w:pPr>
              <w:pStyle w:val="33"/>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1</w:t>
            </w:r>
            <w:r>
              <w:rPr>
                <w:rFonts w:hint="eastAsia" w:ascii="Times New Roman" w:hAnsi="Times New Roman" w:cs="Times New Roman"/>
                <w:color w:val="auto"/>
                <w:sz w:val="21"/>
                <w:szCs w:val="21"/>
              </w:rPr>
              <w:t>小时平均</w:t>
            </w:r>
          </w:p>
        </w:tc>
        <w:tc>
          <w:tcPr>
            <w:tcW w:w="2538" w:type="dxa"/>
            <w:vAlign w:val="center"/>
          </w:tcPr>
          <w:p>
            <w:pPr>
              <w:pStyle w:val="33"/>
              <w:spacing w:line="240" w:lineRule="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2052" w:type="dxa"/>
            <w:vMerge w:val="continue"/>
            <w:vAlign w:val="center"/>
          </w:tcPr>
          <w:p>
            <w:pPr>
              <w:pStyle w:val="33"/>
              <w:spacing w:before="120" w:after="120" w:line="240" w:lineRule="auto"/>
              <w:rPr>
                <w:rFonts w:ascii="Times New Roman" w:hAnsi="Times New Roman" w:cs="Times New Roman"/>
                <w:color w:val="auto"/>
                <w:sz w:val="21"/>
                <w:szCs w:val="21"/>
              </w:rPr>
            </w:pPr>
          </w:p>
        </w:tc>
      </w:tr>
    </w:tbl>
    <w:p>
      <w:pPr>
        <w:spacing w:line="360" w:lineRule="auto"/>
        <w:jc w:val="center"/>
        <w:rPr>
          <w:b/>
          <w:color w:val="auto"/>
          <w:sz w:val="24"/>
        </w:rPr>
      </w:pPr>
      <w:r>
        <w:rPr>
          <w:rFonts w:hint="eastAsia"/>
          <w:b/>
          <w:color w:val="auto"/>
          <w:sz w:val="24"/>
        </w:rPr>
        <w:t>表3.4</w:t>
      </w:r>
      <w:r>
        <w:rPr>
          <w:b/>
          <w:color w:val="auto"/>
          <w:sz w:val="24"/>
        </w:rPr>
        <w:t xml:space="preserve">-5  </w:t>
      </w:r>
      <w:r>
        <w:rPr>
          <w:rFonts w:hint="eastAsia"/>
          <w:b/>
          <w:color w:val="auto"/>
          <w:sz w:val="24"/>
        </w:rPr>
        <w:t>大气特征污染物环境控制标准</w:t>
      </w:r>
      <w:r>
        <w:rPr>
          <w:b/>
          <w:color w:val="auto"/>
          <w:sz w:val="24"/>
        </w:rPr>
        <w:t xml:space="preserve">      </w:t>
      </w:r>
    </w:p>
    <w:tbl>
      <w:tblPr>
        <w:tblStyle w:val="22"/>
        <w:tblW w:w="904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9"/>
        <w:gridCol w:w="1553"/>
        <w:gridCol w:w="1645"/>
        <w:gridCol w:w="1767"/>
        <w:gridCol w:w="33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jc w:val="center"/>
        </w:trPr>
        <w:tc>
          <w:tcPr>
            <w:tcW w:w="779" w:type="dxa"/>
            <w:tcBorders>
              <w:tl2br w:val="nil"/>
              <w:tr2bl w:val="nil"/>
            </w:tcBorders>
            <w:vAlign w:val="center"/>
          </w:tcPr>
          <w:p>
            <w:pPr>
              <w:widowControl/>
              <w:autoSpaceDE w:val="0"/>
              <w:autoSpaceDN w:val="0"/>
              <w:snapToGrid w:val="0"/>
              <w:jc w:val="center"/>
              <w:textAlignment w:val="bottom"/>
              <w:rPr>
                <w:b/>
                <w:bCs w:val="0"/>
                <w:color w:val="auto"/>
              </w:rPr>
            </w:pPr>
            <w:r>
              <w:rPr>
                <w:rFonts w:hint="eastAsia"/>
                <w:b/>
                <w:bCs w:val="0"/>
                <w:color w:val="auto"/>
              </w:rPr>
              <w:t>序号</w:t>
            </w:r>
          </w:p>
        </w:tc>
        <w:tc>
          <w:tcPr>
            <w:tcW w:w="1553" w:type="dxa"/>
            <w:tcBorders>
              <w:tl2br w:val="nil"/>
              <w:tr2bl w:val="nil"/>
            </w:tcBorders>
            <w:vAlign w:val="center"/>
          </w:tcPr>
          <w:p>
            <w:pPr>
              <w:widowControl/>
              <w:autoSpaceDE w:val="0"/>
              <w:autoSpaceDN w:val="0"/>
              <w:snapToGrid w:val="0"/>
              <w:jc w:val="center"/>
              <w:textAlignment w:val="bottom"/>
              <w:rPr>
                <w:b/>
                <w:bCs w:val="0"/>
                <w:color w:val="auto"/>
              </w:rPr>
            </w:pPr>
            <w:r>
              <w:rPr>
                <w:rFonts w:hint="eastAsia"/>
                <w:b/>
                <w:bCs w:val="0"/>
                <w:color w:val="auto"/>
              </w:rPr>
              <w:t>污染物名称</w:t>
            </w:r>
          </w:p>
        </w:tc>
        <w:tc>
          <w:tcPr>
            <w:tcW w:w="1645" w:type="dxa"/>
            <w:tcBorders>
              <w:tl2br w:val="nil"/>
              <w:tr2bl w:val="nil"/>
            </w:tcBorders>
            <w:vAlign w:val="center"/>
          </w:tcPr>
          <w:p>
            <w:pPr>
              <w:widowControl/>
              <w:autoSpaceDE w:val="0"/>
              <w:autoSpaceDN w:val="0"/>
              <w:snapToGrid w:val="0"/>
              <w:jc w:val="center"/>
              <w:textAlignment w:val="bottom"/>
              <w:rPr>
                <w:b/>
                <w:bCs w:val="0"/>
                <w:color w:val="auto"/>
              </w:rPr>
            </w:pPr>
            <w:r>
              <w:rPr>
                <w:rFonts w:hint="eastAsia"/>
                <w:b/>
                <w:bCs w:val="0"/>
                <w:color w:val="auto"/>
              </w:rPr>
              <w:t>取值时间</w:t>
            </w:r>
          </w:p>
        </w:tc>
        <w:tc>
          <w:tcPr>
            <w:tcW w:w="1767" w:type="dxa"/>
            <w:tcBorders>
              <w:tl2br w:val="nil"/>
              <w:tr2bl w:val="nil"/>
            </w:tcBorders>
            <w:vAlign w:val="center"/>
          </w:tcPr>
          <w:p>
            <w:pPr>
              <w:autoSpaceDE w:val="0"/>
              <w:autoSpaceDN w:val="0"/>
              <w:snapToGrid w:val="0"/>
              <w:jc w:val="center"/>
              <w:textAlignment w:val="bottom"/>
              <w:rPr>
                <w:b/>
                <w:bCs w:val="0"/>
                <w:color w:val="auto"/>
              </w:rPr>
            </w:pPr>
            <w:r>
              <w:rPr>
                <w:rFonts w:hint="eastAsia"/>
                <w:b/>
                <w:bCs w:val="0"/>
                <w:color w:val="auto"/>
              </w:rPr>
              <w:t>二级标准</w:t>
            </w:r>
          </w:p>
        </w:tc>
        <w:tc>
          <w:tcPr>
            <w:tcW w:w="3300" w:type="dxa"/>
            <w:tcBorders>
              <w:tl2br w:val="nil"/>
              <w:tr2bl w:val="nil"/>
            </w:tcBorders>
            <w:vAlign w:val="center"/>
          </w:tcPr>
          <w:p>
            <w:pPr>
              <w:widowControl/>
              <w:autoSpaceDE w:val="0"/>
              <w:autoSpaceDN w:val="0"/>
              <w:snapToGrid w:val="0"/>
              <w:jc w:val="center"/>
              <w:textAlignment w:val="bottom"/>
              <w:rPr>
                <w:b/>
                <w:bCs w:val="0"/>
                <w:color w:val="auto"/>
              </w:rPr>
            </w:pPr>
            <w:r>
              <w:rPr>
                <w:rFonts w:hint="eastAsia"/>
                <w:b/>
                <w:bCs w:val="0"/>
                <w:color w:val="auto"/>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vMerge w:val="restart"/>
            <w:tcBorders>
              <w:tl2br w:val="nil"/>
              <w:tr2bl w:val="nil"/>
            </w:tcBorders>
            <w:vAlign w:val="center"/>
          </w:tcPr>
          <w:p>
            <w:pPr>
              <w:widowControl/>
              <w:autoSpaceDE w:val="0"/>
              <w:autoSpaceDN w:val="0"/>
              <w:snapToGrid w:val="0"/>
              <w:jc w:val="center"/>
              <w:textAlignment w:val="bottom"/>
              <w:rPr>
                <w:color w:val="auto"/>
              </w:rPr>
            </w:pPr>
            <w:r>
              <w:rPr>
                <w:color w:val="auto"/>
              </w:rPr>
              <w:t>1</w:t>
            </w:r>
          </w:p>
        </w:tc>
        <w:tc>
          <w:tcPr>
            <w:tcW w:w="1553" w:type="dxa"/>
            <w:vMerge w:val="restart"/>
            <w:tcBorders>
              <w:tl2br w:val="nil"/>
              <w:tr2bl w:val="nil"/>
            </w:tcBorders>
            <w:vAlign w:val="center"/>
          </w:tcPr>
          <w:p>
            <w:pPr>
              <w:widowControl/>
              <w:autoSpaceDN w:val="0"/>
              <w:snapToGrid w:val="0"/>
              <w:spacing w:line="440" w:lineRule="exact"/>
              <w:jc w:val="center"/>
              <w:rPr>
                <w:color w:val="auto"/>
              </w:rPr>
            </w:pPr>
            <w:r>
              <w:rPr>
                <w:rFonts w:hint="eastAsia"/>
                <w:color w:val="auto"/>
              </w:rPr>
              <w:t>硫酸雾</w:t>
            </w:r>
            <w:r>
              <w:rPr>
                <w:color w:val="auto"/>
              </w:rPr>
              <w:t>(μg/m</w:t>
            </w:r>
            <w:r>
              <w:rPr>
                <w:color w:val="auto"/>
                <w:vertAlign w:val="superscript"/>
              </w:rPr>
              <w:t>3</w:t>
            </w:r>
            <w:r>
              <w:rPr>
                <w:color w:val="auto"/>
              </w:rPr>
              <w:t>)</w:t>
            </w:r>
          </w:p>
        </w:tc>
        <w:tc>
          <w:tcPr>
            <w:tcW w:w="1645" w:type="dxa"/>
            <w:tcBorders>
              <w:tl2br w:val="nil"/>
              <w:tr2bl w:val="nil"/>
            </w:tcBorders>
            <w:vAlign w:val="center"/>
          </w:tcPr>
          <w:p>
            <w:pPr>
              <w:autoSpaceDN w:val="0"/>
              <w:snapToGrid w:val="0"/>
              <w:jc w:val="center"/>
              <w:rPr>
                <w:color w:val="auto"/>
              </w:rPr>
            </w:pPr>
            <w:r>
              <w:rPr>
                <w:rFonts w:hint="eastAsia"/>
                <w:color w:val="auto"/>
              </w:rPr>
              <w:t>日平均</w:t>
            </w:r>
          </w:p>
        </w:tc>
        <w:tc>
          <w:tcPr>
            <w:tcW w:w="1767" w:type="dxa"/>
            <w:tcBorders>
              <w:tl2br w:val="nil"/>
              <w:tr2bl w:val="nil"/>
            </w:tcBorders>
            <w:vAlign w:val="center"/>
          </w:tcPr>
          <w:p>
            <w:pPr>
              <w:autoSpaceDN w:val="0"/>
              <w:snapToGrid w:val="0"/>
              <w:jc w:val="center"/>
              <w:rPr>
                <w:color w:val="auto"/>
              </w:rPr>
            </w:pPr>
            <w:r>
              <w:rPr>
                <w:color w:val="auto"/>
              </w:rPr>
              <w:t>100</w:t>
            </w:r>
          </w:p>
        </w:tc>
        <w:tc>
          <w:tcPr>
            <w:tcW w:w="3300" w:type="dxa"/>
            <w:vMerge w:val="restart"/>
            <w:tcBorders>
              <w:tl2br w:val="nil"/>
              <w:tr2bl w:val="nil"/>
            </w:tcBorders>
            <w:vAlign w:val="center"/>
          </w:tcPr>
          <w:p>
            <w:pPr>
              <w:autoSpaceDN w:val="0"/>
              <w:rPr>
                <w:color w:val="auto"/>
              </w:rPr>
            </w:pPr>
            <w:r>
              <w:rPr>
                <w:rFonts w:hint="eastAsia"/>
                <w:color w:val="auto"/>
              </w:rPr>
              <w:t>《环境影响评价技术导则</w:t>
            </w:r>
            <w:r>
              <w:rPr>
                <w:color w:val="auto"/>
              </w:rPr>
              <w:t xml:space="preserve">  </w:t>
            </w:r>
            <w:r>
              <w:rPr>
                <w:rFonts w:hint="eastAsia"/>
                <w:color w:val="auto"/>
              </w:rPr>
              <w:t>大气环境》（</w:t>
            </w:r>
            <w:r>
              <w:rPr>
                <w:color w:val="auto"/>
              </w:rPr>
              <w:t>HJ 2.2-2018</w:t>
            </w:r>
            <w:r>
              <w:rPr>
                <w:rFonts w:hint="eastAsia"/>
                <w:color w:val="auto"/>
              </w:rPr>
              <w:t>）附录</w:t>
            </w:r>
            <w:r>
              <w:rPr>
                <w:color w:val="auto"/>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vMerge w:val="continue"/>
            <w:tcBorders>
              <w:tl2br w:val="nil"/>
              <w:tr2bl w:val="nil"/>
            </w:tcBorders>
            <w:vAlign w:val="center"/>
          </w:tcPr>
          <w:p>
            <w:pPr>
              <w:widowControl/>
              <w:jc w:val="left"/>
              <w:rPr>
                <w:color w:val="auto"/>
              </w:rPr>
            </w:pPr>
          </w:p>
        </w:tc>
        <w:tc>
          <w:tcPr>
            <w:tcW w:w="1553" w:type="dxa"/>
            <w:vMerge w:val="continue"/>
            <w:tcBorders>
              <w:tl2br w:val="nil"/>
              <w:tr2bl w:val="nil"/>
            </w:tcBorders>
            <w:vAlign w:val="center"/>
          </w:tcPr>
          <w:p>
            <w:pPr>
              <w:widowControl/>
              <w:jc w:val="left"/>
              <w:rPr>
                <w:color w:val="auto"/>
              </w:rPr>
            </w:pPr>
          </w:p>
        </w:tc>
        <w:tc>
          <w:tcPr>
            <w:tcW w:w="1645" w:type="dxa"/>
            <w:tcBorders>
              <w:tl2br w:val="nil"/>
              <w:tr2bl w:val="nil"/>
            </w:tcBorders>
            <w:vAlign w:val="center"/>
          </w:tcPr>
          <w:p>
            <w:pPr>
              <w:autoSpaceDN w:val="0"/>
              <w:snapToGrid w:val="0"/>
              <w:jc w:val="center"/>
              <w:rPr>
                <w:color w:val="auto"/>
              </w:rPr>
            </w:pPr>
            <w:r>
              <w:rPr>
                <w:rFonts w:hint="eastAsia"/>
                <w:color w:val="auto"/>
              </w:rPr>
              <w:t>1h平均</w:t>
            </w:r>
          </w:p>
        </w:tc>
        <w:tc>
          <w:tcPr>
            <w:tcW w:w="1767" w:type="dxa"/>
            <w:tcBorders>
              <w:tl2br w:val="nil"/>
              <w:tr2bl w:val="nil"/>
            </w:tcBorders>
            <w:vAlign w:val="center"/>
          </w:tcPr>
          <w:p>
            <w:pPr>
              <w:autoSpaceDN w:val="0"/>
              <w:snapToGrid w:val="0"/>
              <w:jc w:val="center"/>
              <w:rPr>
                <w:color w:val="auto"/>
              </w:rPr>
            </w:pPr>
            <w:r>
              <w:rPr>
                <w:color w:val="auto"/>
              </w:rPr>
              <w:t>300</w:t>
            </w:r>
          </w:p>
        </w:tc>
        <w:tc>
          <w:tcPr>
            <w:tcW w:w="3300" w:type="dxa"/>
            <w:vMerge w:val="continue"/>
            <w:tcBorders>
              <w:tl2br w:val="nil"/>
              <w:tr2bl w:val="nil"/>
            </w:tcBorders>
            <w:vAlign w:val="center"/>
          </w:tcPr>
          <w:p>
            <w:pPr>
              <w:widowControl/>
              <w:jc w:val="left"/>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vMerge w:val="restart"/>
            <w:tcBorders>
              <w:tl2br w:val="nil"/>
              <w:tr2bl w:val="nil"/>
            </w:tcBorders>
            <w:vAlign w:val="center"/>
          </w:tcPr>
          <w:p>
            <w:pPr>
              <w:widowControl/>
              <w:jc w:val="center"/>
              <w:rPr>
                <w:color w:val="auto"/>
              </w:rPr>
            </w:pPr>
            <w:r>
              <w:rPr>
                <w:rFonts w:hint="eastAsia"/>
                <w:color w:val="auto"/>
              </w:rPr>
              <w:t>2</w:t>
            </w:r>
          </w:p>
        </w:tc>
        <w:tc>
          <w:tcPr>
            <w:tcW w:w="1553" w:type="dxa"/>
            <w:vMerge w:val="restart"/>
            <w:tcBorders>
              <w:tl2br w:val="nil"/>
              <w:tr2bl w:val="nil"/>
            </w:tcBorders>
            <w:vAlign w:val="center"/>
          </w:tcPr>
          <w:p>
            <w:pPr>
              <w:widowControl/>
              <w:jc w:val="center"/>
              <w:rPr>
                <w:color w:val="auto"/>
              </w:rPr>
            </w:pPr>
            <w:r>
              <w:rPr>
                <w:rFonts w:hint="eastAsia"/>
                <w:color w:val="auto"/>
              </w:rPr>
              <w:t>氯化氢</w:t>
            </w:r>
            <w:r>
              <w:rPr>
                <w:color w:val="auto"/>
              </w:rPr>
              <w:t>(μg/m</w:t>
            </w:r>
            <w:r>
              <w:rPr>
                <w:color w:val="auto"/>
                <w:vertAlign w:val="superscript"/>
              </w:rPr>
              <w:t>3</w:t>
            </w:r>
            <w:r>
              <w:rPr>
                <w:color w:val="auto"/>
              </w:rPr>
              <w:t>)</w:t>
            </w:r>
          </w:p>
        </w:tc>
        <w:tc>
          <w:tcPr>
            <w:tcW w:w="1645" w:type="dxa"/>
            <w:tcBorders>
              <w:tl2br w:val="nil"/>
              <w:tr2bl w:val="nil"/>
            </w:tcBorders>
            <w:vAlign w:val="center"/>
          </w:tcPr>
          <w:p>
            <w:pPr>
              <w:autoSpaceDN w:val="0"/>
              <w:snapToGrid w:val="0"/>
              <w:jc w:val="center"/>
              <w:rPr>
                <w:color w:val="auto"/>
              </w:rPr>
            </w:pPr>
            <w:r>
              <w:rPr>
                <w:rFonts w:hint="eastAsia"/>
                <w:color w:val="auto"/>
              </w:rPr>
              <w:t>日平均</w:t>
            </w:r>
          </w:p>
        </w:tc>
        <w:tc>
          <w:tcPr>
            <w:tcW w:w="1767" w:type="dxa"/>
            <w:tcBorders>
              <w:tl2br w:val="nil"/>
              <w:tr2bl w:val="nil"/>
            </w:tcBorders>
            <w:vAlign w:val="center"/>
          </w:tcPr>
          <w:p>
            <w:pPr>
              <w:autoSpaceDN w:val="0"/>
              <w:snapToGrid w:val="0"/>
              <w:jc w:val="center"/>
              <w:rPr>
                <w:color w:val="auto"/>
              </w:rPr>
            </w:pPr>
            <w:r>
              <w:rPr>
                <w:rFonts w:hint="eastAsia"/>
                <w:color w:val="auto"/>
              </w:rPr>
              <w:t>15</w:t>
            </w:r>
          </w:p>
        </w:tc>
        <w:tc>
          <w:tcPr>
            <w:tcW w:w="3300" w:type="dxa"/>
            <w:vMerge w:val="continue"/>
            <w:tcBorders>
              <w:tl2br w:val="nil"/>
              <w:tr2bl w:val="nil"/>
            </w:tcBorders>
            <w:vAlign w:val="center"/>
          </w:tcPr>
          <w:p>
            <w:pPr>
              <w:widowControl/>
              <w:jc w:val="center"/>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vMerge w:val="continue"/>
            <w:tcBorders>
              <w:tl2br w:val="nil"/>
              <w:tr2bl w:val="nil"/>
            </w:tcBorders>
            <w:vAlign w:val="center"/>
          </w:tcPr>
          <w:p>
            <w:pPr>
              <w:widowControl/>
              <w:jc w:val="left"/>
              <w:rPr>
                <w:color w:val="auto"/>
              </w:rPr>
            </w:pPr>
          </w:p>
        </w:tc>
        <w:tc>
          <w:tcPr>
            <w:tcW w:w="1553" w:type="dxa"/>
            <w:vMerge w:val="continue"/>
            <w:tcBorders>
              <w:tl2br w:val="nil"/>
              <w:tr2bl w:val="nil"/>
            </w:tcBorders>
            <w:vAlign w:val="center"/>
          </w:tcPr>
          <w:p>
            <w:pPr>
              <w:widowControl/>
              <w:jc w:val="left"/>
              <w:rPr>
                <w:color w:val="auto"/>
              </w:rPr>
            </w:pPr>
          </w:p>
        </w:tc>
        <w:tc>
          <w:tcPr>
            <w:tcW w:w="1645" w:type="dxa"/>
            <w:tcBorders>
              <w:tl2br w:val="nil"/>
              <w:tr2bl w:val="nil"/>
            </w:tcBorders>
            <w:vAlign w:val="center"/>
          </w:tcPr>
          <w:p>
            <w:pPr>
              <w:autoSpaceDN w:val="0"/>
              <w:snapToGrid w:val="0"/>
              <w:jc w:val="center"/>
              <w:rPr>
                <w:color w:val="auto"/>
              </w:rPr>
            </w:pPr>
            <w:r>
              <w:rPr>
                <w:rFonts w:hint="eastAsia"/>
                <w:color w:val="auto"/>
              </w:rPr>
              <w:t>1h平均</w:t>
            </w:r>
          </w:p>
        </w:tc>
        <w:tc>
          <w:tcPr>
            <w:tcW w:w="1767" w:type="dxa"/>
            <w:tcBorders>
              <w:tl2br w:val="nil"/>
              <w:tr2bl w:val="nil"/>
            </w:tcBorders>
            <w:vAlign w:val="center"/>
          </w:tcPr>
          <w:p>
            <w:pPr>
              <w:autoSpaceDN w:val="0"/>
              <w:snapToGrid w:val="0"/>
              <w:jc w:val="center"/>
              <w:rPr>
                <w:color w:val="auto"/>
              </w:rPr>
            </w:pPr>
            <w:r>
              <w:rPr>
                <w:rFonts w:hint="eastAsia"/>
                <w:color w:val="auto"/>
              </w:rPr>
              <w:t>50</w:t>
            </w:r>
          </w:p>
        </w:tc>
        <w:tc>
          <w:tcPr>
            <w:tcW w:w="3300" w:type="dxa"/>
            <w:vMerge w:val="continue"/>
            <w:tcBorders>
              <w:tl2br w:val="nil"/>
              <w:tr2bl w:val="nil"/>
            </w:tcBorders>
            <w:vAlign w:val="center"/>
          </w:tcPr>
          <w:p>
            <w:pPr>
              <w:widowControl/>
              <w:jc w:val="left"/>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vMerge w:val="restart"/>
            <w:tcBorders>
              <w:tl2br w:val="nil"/>
              <w:tr2bl w:val="nil"/>
            </w:tcBorders>
            <w:vAlign w:val="center"/>
          </w:tcPr>
          <w:p>
            <w:pPr>
              <w:widowControl/>
              <w:jc w:val="center"/>
              <w:rPr>
                <w:color w:val="auto"/>
              </w:rPr>
            </w:pPr>
            <w:r>
              <w:rPr>
                <w:rFonts w:hint="eastAsia"/>
                <w:color w:val="auto"/>
              </w:rPr>
              <w:t>3</w:t>
            </w:r>
          </w:p>
        </w:tc>
        <w:tc>
          <w:tcPr>
            <w:tcW w:w="1553" w:type="dxa"/>
            <w:vMerge w:val="restart"/>
            <w:tcBorders>
              <w:tl2br w:val="nil"/>
              <w:tr2bl w:val="nil"/>
            </w:tcBorders>
            <w:vAlign w:val="center"/>
          </w:tcPr>
          <w:p>
            <w:pPr>
              <w:pStyle w:val="33"/>
              <w:spacing w:line="240" w:lineRule="auto"/>
              <w:rPr>
                <w:color w:val="auto"/>
              </w:rPr>
            </w:pPr>
            <w:r>
              <w:rPr>
                <w:rFonts w:hint="eastAsia" w:ascii="Times New Roman" w:hAnsi="Times New Roman" w:cs="Times New Roman"/>
                <w:color w:val="auto"/>
                <w:sz w:val="21"/>
                <w:szCs w:val="21"/>
              </w:rPr>
              <w:t>氟化物</w:t>
            </w:r>
            <w:r>
              <w:rPr>
                <w:rFonts w:ascii="Times New Roman" w:hAnsi="Times New Roman" w:cs="Times New Roman"/>
                <w:color w:val="auto"/>
                <w:kern w:val="2"/>
                <w:sz w:val="21"/>
              </w:rPr>
              <w:t>(μg/m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rPr>
              <w:t>)</w:t>
            </w:r>
          </w:p>
        </w:tc>
        <w:tc>
          <w:tcPr>
            <w:tcW w:w="1645" w:type="dxa"/>
            <w:tcBorders>
              <w:tl2br w:val="nil"/>
              <w:tr2bl w:val="nil"/>
            </w:tcBorders>
            <w:vAlign w:val="center"/>
          </w:tcPr>
          <w:p>
            <w:pPr>
              <w:pStyle w:val="33"/>
              <w:spacing w:line="260" w:lineRule="exact"/>
              <w:rPr>
                <w:color w:val="auto"/>
              </w:rPr>
            </w:pPr>
            <w:r>
              <w:rPr>
                <w:rFonts w:ascii="Times New Roman" w:hAnsi="Times New Roman" w:cs="Times New Roman"/>
                <w:color w:val="auto"/>
                <w:sz w:val="21"/>
                <w:szCs w:val="21"/>
              </w:rPr>
              <w:t>日平均</w:t>
            </w:r>
          </w:p>
        </w:tc>
        <w:tc>
          <w:tcPr>
            <w:tcW w:w="1767" w:type="dxa"/>
            <w:tcBorders>
              <w:tl2br w:val="nil"/>
              <w:tr2bl w:val="nil"/>
            </w:tcBorders>
            <w:vAlign w:val="center"/>
          </w:tcPr>
          <w:p>
            <w:pPr>
              <w:pStyle w:val="33"/>
              <w:spacing w:line="240" w:lineRule="auto"/>
              <w:rPr>
                <w:color w:val="auto"/>
              </w:rPr>
            </w:pPr>
            <w:r>
              <w:rPr>
                <w:rFonts w:ascii="Times New Roman" w:hAnsi="Times New Roman" w:cs="Times New Roman"/>
                <w:color w:val="auto"/>
                <w:sz w:val="21"/>
                <w:szCs w:val="21"/>
              </w:rPr>
              <w:t>7</w:t>
            </w:r>
          </w:p>
        </w:tc>
        <w:tc>
          <w:tcPr>
            <w:tcW w:w="3300" w:type="dxa"/>
            <w:vMerge w:val="restart"/>
            <w:tcBorders>
              <w:tl2br w:val="nil"/>
              <w:tr2bl w:val="nil"/>
            </w:tcBorders>
            <w:vAlign w:val="center"/>
          </w:tcPr>
          <w:p>
            <w:pPr>
              <w:widowControl/>
              <w:jc w:val="center"/>
              <w:rPr>
                <w:color w:val="auto"/>
              </w:rPr>
            </w:pPr>
            <w:r>
              <w:rPr>
                <w:rFonts w:hint="eastAsia"/>
                <w:color w:val="auto"/>
              </w:rPr>
              <w:t>《环境空气质量标准》（</w:t>
            </w:r>
            <w:r>
              <w:rPr>
                <w:color w:val="auto"/>
              </w:rPr>
              <w:t>GB3095-2012</w:t>
            </w: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vMerge w:val="continue"/>
            <w:tcBorders>
              <w:tl2br w:val="nil"/>
              <w:tr2bl w:val="nil"/>
            </w:tcBorders>
            <w:vAlign w:val="center"/>
          </w:tcPr>
          <w:p>
            <w:pPr>
              <w:widowControl/>
              <w:jc w:val="left"/>
              <w:rPr>
                <w:color w:val="auto"/>
              </w:rPr>
            </w:pPr>
          </w:p>
        </w:tc>
        <w:tc>
          <w:tcPr>
            <w:tcW w:w="1553" w:type="dxa"/>
            <w:vMerge w:val="continue"/>
            <w:tcBorders>
              <w:tl2br w:val="nil"/>
              <w:tr2bl w:val="nil"/>
            </w:tcBorders>
            <w:vAlign w:val="center"/>
          </w:tcPr>
          <w:p>
            <w:pPr>
              <w:pStyle w:val="33"/>
              <w:spacing w:line="240" w:lineRule="auto"/>
              <w:rPr>
                <w:color w:val="auto"/>
              </w:rPr>
            </w:pPr>
          </w:p>
        </w:tc>
        <w:tc>
          <w:tcPr>
            <w:tcW w:w="1645" w:type="dxa"/>
            <w:tcBorders>
              <w:tl2br w:val="nil"/>
              <w:tr2bl w:val="nil"/>
            </w:tcBorders>
            <w:vAlign w:val="center"/>
          </w:tcPr>
          <w:p>
            <w:pPr>
              <w:pStyle w:val="33"/>
              <w:spacing w:line="260" w:lineRule="exact"/>
              <w:rPr>
                <w:color w:val="auto"/>
              </w:rPr>
            </w:pPr>
            <w:r>
              <w:rPr>
                <w:rFonts w:hint="eastAsia" w:ascii="Times New Roman" w:hAnsi="Times New Roman" w:cs="Times New Roman"/>
                <w:color w:val="auto"/>
                <w:sz w:val="21"/>
                <w:szCs w:val="21"/>
              </w:rPr>
              <w:t>1h平均</w:t>
            </w:r>
          </w:p>
        </w:tc>
        <w:tc>
          <w:tcPr>
            <w:tcW w:w="1767" w:type="dxa"/>
            <w:tcBorders>
              <w:tl2br w:val="nil"/>
              <w:tr2bl w:val="nil"/>
            </w:tcBorders>
            <w:vAlign w:val="center"/>
          </w:tcPr>
          <w:p>
            <w:pPr>
              <w:pStyle w:val="33"/>
              <w:spacing w:line="240" w:lineRule="auto"/>
              <w:rPr>
                <w:color w:val="auto"/>
              </w:rPr>
            </w:pPr>
            <w:r>
              <w:rPr>
                <w:rFonts w:ascii="Times New Roman" w:hAnsi="Times New Roman" w:cs="Times New Roman"/>
                <w:color w:val="auto"/>
                <w:sz w:val="21"/>
                <w:szCs w:val="21"/>
              </w:rPr>
              <w:t>20</w:t>
            </w:r>
          </w:p>
        </w:tc>
        <w:tc>
          <w:tcPr>
            <w:tcW w:w="3300" w:type="dxa"/>
            <w:vMerge w:val="continue"/>
            <w:tcBorders>
              <w:tl2br w:val="nil"/>
              <w:tr2bl w:val="nil"/>
            </w:tcBorders>
            <w:vAlign w:val="center"/>
          </w:tcPr>
          <w:p>
            <w:pPr>
              <w:widowControl/>
              <w:jc w:val="left"/>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widowControl/>
              <w:jc w:val="center"/>
              <w:rPr>
                <w:color w:val="auto"/>
              </w:rPr>
            </w:pPr>
            <w:r>
              <w:rPr>
                <w:rFonts w:hint="eastAsia"/>
                <w:color w:val="auto"/>
              </w:rPr>
              <w:t>4</w:t>
            </w:r>
          </w:p>
        </w:tc>
        <w:tc>
          <w:tcPr>
            <w:tcW w:w="1553" w:type="dxa"/>
            <w:tcBorders>
              <w:tl2br w:val="nil"/>
              <w:tr2bl w:val="nil"/>
            </w:tcBorders>
            <w:vAlign w:val="center"/>
          </w:tcPr>
          <w:p>
            <w:pPr>
              <w:pStyle w:val="33"/>
              <w:spacing w:line="240" w:lineRule="auto"/>
              <w:rPr>
                <w:color w:val="auto"/>
              </w:rPr>
            </w:pPr>
            <w:r>
              <w:rPr>
                <w:rFonts w:hint="eastAsia" w:ascii="Times New Roman" w:hAnsi="Times New Roman" w:cs="Times New Roman"/>
                <w:color w:val="auto"/>
                <w:sz w:val="21"/>
                <w:szCs w:val="21"/>
              </w:rPr>
              <w:t>铬酸雾</w:t>
            </w:r>
            <w:r>
              <w:rPr>
                <w:rFonts w:ascii="Times New Roman" w:hAnsi="Times New Roman" w:cs="Times New Roman"/>
                <w:color w:val="auto"/>
                <w:kern w:val="2"/>
                <w:sz w:val="21"/>
              </w:rPr>
              <w:t>(μg/m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rPr>
              <w:t>)</w:t>
            </w:r>
          </w:p>
        </w:tc>
        <w:tc>
          <w:tcPr>
            <w:tcW w:w="1645" w:type="dxa"/>
            <w:tcBorders>
              <w:tl2br w:val="nil"/>
              <w:tr2bl w:val="nil"/>
            </w:tcBorders>
            <w:vAlign w:val="center"/>
          </w:tcPr>
          <w:p>
            <w:pPr>
              <w:pStyle w:val="33"/>
              <w:spacing w:line="260" w:lineRule="exact"/>
              <w:rPr>
                <w:rFonts w:ascii="Times New Roman" w:hAnsi="Times New Roman" w:cs="Times New Roman"/>
                <w:color w:val="auto"/>
                <w:sz w:val="21"/>
                <w:szCs w:val="21"/>
              </w:rPr>
            </w:pPr>
            <w:r>
              <w:rPr>
                <w:rFonts w:hint="eastAsia" w:ascii="Times New Roman" w:hAnsi="Times New Roman" w:cs="Times New Roman"/>
                <w:color w:val="auto"/>
                <w:sz w:val="21"/>
                <w:szCs w:val="21"/>
              </w:rPr>
              <w:t>一次</w:t>
            </w:r>
          </w:p>
        </w:tc>
        <w:tc>
          <w:tcPr>
            <w:tcW w:w="1767" w:type="dxa"/>
            <w:tcBorders>
              <w:tl2br w:val="nil"/>
              <w:tr2bl w:val="nil"/>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1.5</w:t>
            </w:r>
          </w:p>
        </w:tc>
        <w:tc>
          <w:tcPr>
            <w:tcW w:w="3300" w:type="dxa"/>
            <w:tcBorders>
              <w:tl2br w:val="nil"/>
              <w:tr2bl w:val="nil"/>
            </w:tcBorders>
            <w:vAlign w:val="center"/>
          </w:tcPr>
          <w:p>
            <w:pPr>
              <w:widowControl/>
              <w:jc w:val="center"/>
              <w:rPr>
                <w:color w:val="auto"/>
              </w:rPr>
            </w:pPr>
            <w:r>
              <w:rPr>
                <w:rFonts w:ascii="宋体" w:hAnsi="宋体"/>
                <w:color w:val="auto"/>
              </w:rPr>
              <w:t>参</w:t>
            </w:r>
            <w:r>
              <w:rPr>
                <w:rFonts w:hAnsi="宋体"/>
                <w:color w:val="auto"/>
              </w:rPr>
              <w:t>考</w:t>
            </w:r>
            <w:r>
              <w:rPr>
                <w:rFonts w:hint="eastAsia" w:hAnsi="宋体"/>
                <w:color w:val="auto"/>
              </w:rPr>
              <w:t>原</w:t>
            </w:r>
            <w:r>
              <w:rPr>
                <w:rFonts w:hAnsi="宋体"/>
                <w:color w:val="auto"/>
              </w:rPr>
              <w:t>《</w:t>
            </w:r>
            <w:r>
              <w:rPr>
                <w:rFonts w:hAnsi="宋体"/>
                <w:bCs/>
                <w:color w:val="auto"/>
              </w:rPr>
              <w:t>工业企业设计卫生标准</w:t>
            </w:r>
            <w:r>
              <w:rPr>
                <w:rFonts w:hAnsi="宋体"/>
                <w:color w:val="auto"/>
              </w:rPr>
              <w:t>》（</w:t>
            </w:r>
            <w:r>
              <w:rPr>
                <w:color w:val="auto"/>
              </w:rPr>
              <w:t>TJ36-79</w:t>
            </w:r>
            <w:r>
              <w:rPr>
                <w:rFonts w:hAnsi="宋体"/>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widowControl/>
              <w:jc w:val="center"/>
              <w:rPr>
                <w:color w:val="auto"/>
              </w:rPr>
            </w:pPr>
            <w:r>
              <w:rPr>
                <w:rFonts w:hint="eastAsia"/>
                <w:color w:val="auto"/>
              </w:rPr>
              <w:t>5</w:t>
            </w:r>
          </w:p>
        </w:tc>
        <w:tc>
          <w:tcPr>
            <w:tcW w:w="1553" w:type="dxa"/>
            <w:tcBorders>
              <w:tl2br w:val="nil"/>
              <w:tr2bl w:val="nil"/>
            </w:tcBorders>
            <w:vAlign w:val="center"/>
          </w:tcPr>
          <w:p>
            <w:pPr>
              <w:pStyle w:val="33"/>
              <w:spacing w:line="240" w:lineRule="auto"/>
              <w:rPr>
                <w:color w:val="auto"/>
              </w:rPr>
            </w:pPr>
            <w:r>
              <w:rPr>
                <w:rFonts w:hint="eastAsia" w:ascii="Times New Roman" w:hAnsi="Times New Roman" w:cs="Times New Roman"/>
                <w:color w:val="auto"/>
                <w:sz w:val="21"/>
                <w:szCs w:val="21"/>
              </w:rPr>
              <w:t>氰化氢</w:t>
            </w:r>
            <w:r>
              <w:rPr>
                <w:rFonts w:ascii="Times New Roman" w:hAnsi="Times New Roman" w:cs="Times New Roman"/>
                <w:color w:val="auto"/>
                <w:kern w:val="2"/>
                <w:sz w:val="21"/>
              </w:rPr>
              <w:t>(μg/m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rPr>
              <w:t>)</w:t>
            </w:r>
          </w:p>
        </w:tc>
        <w:tc>
          <w:tcPr>
            <w:tcW w:w="1645" w:type="dxa"/>
            <w:tcBorders>
              <w:tl2br w:val="nil"/>
              <w:tr2bl w:val="nil"/>
            </w:tcBorders>
            <w:vAlign w:val="center"/>
          </w:tcPr>
          <w:p>
            <w:pPr>
              <w:pStyle w:val="33"/>
              <w:spacing w:line="260" w:lineRule="exact"/>
              <w:rPr>
                <w:rFonts w:ascii="Times New Roman" w:hAnsi="Times New Roman" w:cs="Times New Roman"/>
                <w:color w:val="auto"/>
                <w:sz w:val="21"/>
                <w:szCs w:val="21"/>
              </w:rPr>
            </w:pPr>
            <w:r>
              <w:rPr>
                <w:rFonts w:ascii="Times New Roman" w:hAnsi="Times New Roman" w:cs="Times New Roman"/>
                <w:color w:val="auto"/>
                <w:sz w:val="21"/>
                <w:szCs w:val="21"/>
              </w:rPr>
              <w:t>日平均</w:t>
            </w:r>
          </w:p>
        </w:tc>
        <w:tc>
          <w:tcPr>
            <w:tcW w:w="1767" w:type="dxa"/>
            <w:tcBorders>
              <w:tl2br w:val="nil"/>
              <w:tr2bl w:val="nil"/>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3300" w:type="dxa"/>
            <w:tcBorders>
              <w:tl2br w:val="nil"/>
              <w:tr2bl w:val="nil"/>
            </w:tcBorders>
            <w:vAlign w:val="center"/>
          </w:tcPr>
          <w:p>
            <w:pPr>
              <w:widowControl/>
              <w:jc w:val="center"/>
              <w:rPr>
                <w:color w:val="auto"/>
              </w:rPr>
            </w:pPr>
            <w:r>
              <w:rPr>
                <w:rFonts w:ascii="宋体" w:hAnsi="宋体"/>
                <w:color w:val="auto"/>
                <w:position w:val="-2"/>
              </w:rPr>
              <w:t>前苏联环境标准</w:t>
            </w:r>
          </w:p>
        </w:tc>
      </w:tr>
    </w:tbl>
    <w:p>
      <w:pPr>
        <w:adjustRightInd w:val="0"/>
        <w:snapToGrid w:val="0"/>
        <w:spacing w:before="156" w:beforeLines="50" w:line="360" w:lineRule="auto"/>
        <w:ind w:firstLine="480" w:firstLineChars="200"/>
        <w:rPr>
          <w:bCs/>
          <w:color w:val="auto"/>
          <w:sz w:val="24"/>
        </w:rPr>
      </w:pPr>
      <w:r>
        <w:rPr>
          <w:rFonts w:hint="eastAsia"/>
          <w:bCs/>
          <w:color w:val="auto"/>
          <w:sz w:val="24"/>
        </w:rPr>
        <w:t>（</w:t>
      </w:r>
      <w:r>
        <w:rPr>
          <w:bCs/>
          <w:color w:val="auto"/>
          <w:sz w:val="24"/>
        </w:rPr>
        <w:t>3</w:t>
      </w:r>
      <w:r>
        <w:rPr>
          <w:rFonts w:hint="eastAsia"/>
          <w:bCs/>
          <w:color w:val="auto"/>
          <w:sz w:val="24"/>
        </w:rPr>
        <w:t>）声环境</w:t>
      </w:r>
    </w:p>
    <w:p>
      <w:pPr>
        <w:adjustRightInd w:val="0"/>
        <w:snapToGrid w:val="0"/>
        <w:spacing w:line="360" w:lineRule="auto"/>
        <w:ind w:firstLine="480"/>
        <w:jc w:val="left"/>
        <w:rPr>
          <w:color w:val="auto"/>
          <w:sz w:val="24"/>
        </w:rPr>
      </w:pPr>
      <w:r>
        <w:rPr>
          <w:rFonts w:hint="eastAsia"/>
          <w:color w:val="auto"/>
          <w:sz w:val="24"/>
        </w:rPr>
        <w:t>本项目评价区域地处福鼎市温州园文渡项目集中区，区域声环境功能划分为3类区，声环境质量执行《声环境质量标准》（GB3096-2008）中的3类标准。声环境质量标准见表</w:t>
      </w:r>
      <w:r>
        <w:rPr>
          <w:color w:val="auto"/>
          <w:sz w:val="24"/>
        </w:rPr>
        <w:t>3.</w:t>
      </w:r>
      <w:r>
        <w:rPr>
          <w:rFonts w:hint="eastAsia"/>
          <w:color w:val="auto"/>
          <w:sz w:val="24"/>
        </w:rPr>
        <w:t>4</w:t>
      </w:r>
      <w:r>
        <w:rPr>
          <w:color w:val="auto"/>
          <w:sz w:val="24"/>
        </w:rPr>
        <w:t>-</w:t>
      </w:r>
      <w:r>
        <w:rPr>
          <w:rFonts w:hint="eastAsia"/>
          <w:color w:val="auto"/>
          <w:sz w:val="24"/>
        </w:rPr>
        <w:t>6。</w:t>
      </w:r>
    </w:p>
    <w:p>
      <w:pPr>
        <w:pStyle w:val="38"/>
        <w:adjustRightInd w:val="0"/>
        <w:spacing w:beforeLines="0" w:line="360" w:lineRule="auto"/>
        <w:outlineLvl w:val="9"/>
        <w:rPr>
          <w:rFonts w:hAnsi="Times New Roman"/>
          <w:color w:val="auto"/>
          <w:sz w:val="24"/>
        </w:rPr>
      </w:pPr>
      <w:r>
        <w:rPr>
          <w:rFonts w:hint="eastAsia" w:hAnsi="Times New Roman"/>
          <w:color w:val="auto"/>
          <w:sz w:val="24"/>
        </w:rPr>
        <w:t>表</w:t>
      </w:r>
      <w:r>
        <w:rPr>
          <w:rFonts w:hAnsi="Times New Roman"/>
          <w:color w:val="auto"/>
          <w:sz w:val="24"/>
        </w:rPr>
        <w:t>3</w:t>
      </w:r>
      <w:r>
        <w:rPr>
          <w:rFonts w:hint="eastAsia" w:hAnsi="Times New Roman"/>
          <w:color w:val="auto"/>
          <w:sz w:val="24"/>
        </w:rPr>
        <w:t>.4</w:t>
      </w:r>
      <w:r>
        <w:rPr>
          <w:rFonts w:hAnsi="Times New Roman"/>
          <w:color w:val="auto"/>
          <w:sz w:val="24"/>
        </w:rPr>
        <w:t>-</w:t>
      </w:r>
      <w:r>
        <w:rPr>
          <w:rFonts w:hint="eastAsia" w:hAnsi="Times New Roman"/>
          <w:color w:val="auto"/>
          <w:sz w:val="24"/>
        </w:rPr>
        <w:t>6声环境质量标准（摘录）单位：</w:t>
      </w:r>
      <w:r>
        <w:rPr>
          <w:rFonts w:hAnsi="Times New Roman"/>
          <w:color w:val="auto"/>
          <w:sz w:val="24"/>
        </w:rPr>
        <w:t>dB(A)</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02"/>
        <w:gridCol w:w="3658"/>
        <w:gridCol w:w="2041"/>
        <w:gridCol w:w="188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4" w:hRule="atLeast"/>
          <w:jc w:val="center"/>
        </w:trPr>
        <w:tc>
          <w:tcPr>
            <w:tcW w:w="1702" w:type="dxa"/>
            <w:tcBorders>
              <w:top w:val="single" w:color="auto" w:sz="12" w:space="0"/>
            </w:tcBorders>
            <w:vAlign w:val="center"/>
          </w:tcPr>
          <w:p>
            <w:pPr>
              <w:adjustRightInd w:val="0"/>
              <w:snapToGrid w:val="0"/>
              <w:jc w:val="center"/>
              <w:rPr>
                <w:b/>
                <w:bCs/>
                <w:color w:val="auto"/>
                <w:szCs w:val="21"/>
              </w:rPr>
            </w:pPr>
            <w:r>
              <w:rPr>
                <w:rFonts w:hint="eastAsia"/>
                <w:b/>
                <w:bCs/>
                <w:color w:val="auto"/>
                <w:szCs w:val="21"/>
              </w:rPr>
              <w:t>类别</w:t>
            </w:r>
          </w:p>
        </w:tc>
        <w:tc>
          <w:tcPr>
            <w:tcW w:w="3658" w:type="dxa"/>
            <w:tcBorders>
              <w:top w:val="single" w:color="auto" w:sz="12" w:space="0"/>
            </w:tcBorders>
            <w:vAlign w:val="center"/>
          </w:tcPr>
          <w:p>
            <w:pPr>
              <w:adjustRightInd w:val="0"/>
              <w:snapToGrid w:val="0"/>
              <w:jc w:val="center"/>
              <w:rPr>
                <w:b/>
                <w:bCs/>
                <w:color w:val="auto"/>
                <w:szCs w:val="21"/>
              </w:rPr>
            </w:pPr>
            <w:r>
              <w:rPr>
                <w:rFonts w:hint="eastAsia"/>
                <w:b/>
                <w:bCs/>
                <w:color w:val="auto"/>
                <w:szCs w:val="21"/>
              </w:rPr>
              <w:t>适用区域</w:t>
            </w:r>
          </w:p>
        </w:tc>
        <w:tc>
          <w:tcPr>
            <w:tcW w:w="2041" w:type="dxa"/>
            <w:tcBorders>
              <w:top w:val="single" w:color="auto" w:sz="12" w:space="0"/>
            </w:tcBorders>
            <w:vAlign w:val="center"/>
          </w:tcPr>
          <w:p>
            <w:pPr>
              <w:adjustRightInd w:val="0"/>
              <w:snapToGrid w:val="0"/>
              <w:jc w:val="center"/>
              <w:rPr>
                <w:b/>
                <w:bCs/>
                <w:color w:val="auto"/>
                <w:szCs w:val="21"/>
              </w:rPr>
            </w:pPr>
            <w:r>
              <w:rPr>
                <w:rFonts w:hint="eastAsia"/>
                <w:b/>
                <w:bCs/>
                <w:color w:val="auto"/>
                <w:szCs w:val="21"/>
              </w:rPr>
              <w:t>昼间</w:t>
            </w:r>
          </w:p>
        </w:tc>
        <w:tc>
          <w:tcPr>
            <w:tcW w:w="1885" w:type="dxa"/>
            <w:tcBorders>
              <w:top w:val="single" w:color="auto" w:sz="12" w:space="0"/>
            </w:tcBorders>
            <w:vAlign w:val="center"/>
          </w:tcPr>
          <w:p>
            <w:pPr>
              <w:adjustRightInd w:val="0"/>
              <w:snapToGrid w:val="0"/>
              <w:jc w:val="center"/>
              <w:rPr>
                <w:b/>
                <w:bCs/>
                <w:color w:val="auto"/>
                <w:szCs w:val="21"/>
              </w:rPr>
            </w:pPr>
            <w:r>
              <w:rPr>
                <w:rFonts w:hint="eastAsia"/>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0" w:hRule="atLeast"/>
          <w:jc w:val="center"/>
        </w:trPr>
        <w:tc>
          <w:tcPr>
            <w:tcW w:w="1702" w:type="dxa"/>
            <w:vAlign w:val="center"/>
          </w:tcPr>
          <w:p>
            <w:pPr>
              <w:adjustRightInd w:val="0"/>
              <w:snapToGrid w:val="0"/>
              <w:jc w:val="center"/>
              <w:rPr>
                <w:color w:val="auto"/>
                <w:szCs w:val="21"/>
                <w:shd w:val="pct10" w:color="auto" w:fill="FFFFFF"/>
              </w:rPr>
            </w:pPr>
            <w:r>
              <w:rPr>
                <w:color w:val="auto"/>
                <w:szCs w:val="21"/>
              </w:rPr>
              <w:t>3</w:t>
            </w:r>
          </w:p>
        </w:tc>
        <w:tc>
          <w:tcPr>
            <w:tcW w:w="3658" w:type="dxa"/>
            <w:vAlign w:val="center"/>
          </w:tcPr>
          <w:p>
            <w:pPr>
              <w:adjustRightInd w:val="0"/>
              <w:snapToGrid w:val="0"/>
              <w:jc w:val="center"/>
              <w:rPr>
                <w:color w:val="auto"/>
                <w:szCs w:val="21"/>
                <w:shd w:val="pct10" w:color="auto" w:fill="FFFFFF"/>
              </w:rPr>
            </w:pPr>
            <w:r>
              <w:rPr>
                <w:rFonts w:hint="eastAsia"/>
                <w:color w:val="auto"/>
                <w:szCs w:val="21"/>
              </w:rPr>
              <w:t>工业生产、仓储物流</w:t>
            </w:r>
          </w:p>
        </w:tc>
        <w:tc>
          <w:tcPr>
            <w:tcW w:w="2041" w:type="dxa"/>
            <w:vAlign w:val="center"/>
          </w:tcPr>
          <w:p>
            <w:pPr>
              <w:adjustRightInd w:val="0"/>
              <w:snapToGrid w:val="0"/>
              <w:jc w:val="center"/>
              <w:rPr>
                <w:color w:val="auto"/>
                <w:szCs w:val="21"/>
                <w:shd w:val="pct10" w:color="auto" w:fill="FFFFFF"/>
              </w:rPr>
            </w:pPr>
            <w:r>
              <w:rPr>
                <w:color w:val="auto"/>
                <w:szCs w:val="21"/>
              </w:rPr>
              <w:t>65</w:t>
            </w:r>
          </w:p>
        </w:tc>
        <w:tc>
          <w:tcPr>
            <w:tcW w:w="1885" w:type="dxa"/>
            <w:vAlign w:val="center"/>
          </w:tcPr>
          <w:p>
            <w:pPr>
              <w:adjustRightInd w:val="0"/>
              <w:snapToGrid w:val="0"/>
              <w:jc w:val="center"/>
              <w:rPr>
                <w:color w:val="auto"/>
                <w:szCs w:val="21"/>
                <w:shd w:val="pct10" w:color="auto" w:fill="FFFFFF"/>
              </w:rPr>
            </w:pPr>
            <w:r>
              <w:rPr>
                <w:color w:val="auto"/>
                <w:szCs w:val="21"/>
              </w:rPr>
              <w:t>55</w:t>
            </w:r>
          </w:p>
        </w:tc>
      </w:tr>
    </w:tbl>
    <w:p>
      <w:pPr>
        <w:numPr>
          <w:ilvl w:val="0"/>
          <w:numId w:val="4"/>
        </w:numPr>
        <w:adjustRightInd w:val="0"/>
        <w:snapToGrid w:val="0"/>
        <w:spacing w:before="156" w:beforeLines="50" w:line="360" w:lineRule="auto"/>
        <w:ind w:firstLine="480" w:firstLineChars="200"/>
        <w:rPr>
          <w:bCs/>
          <w:color w:val="auto"/>
          <w:sz w:val="24"/>
        </w:rPr>
      </w:pPr>
      <w:r>
        <w:rPr>
          <w:rFonts w:hint="eastAsia"/>
          <w:bCs/>
          <w:color w:val="auto"/>
          <w:sz w:val="24"/>
        </w:rPr>
        <w:t>土壤</w:t>
      </w:r>
    </w:p>
    <w:p>
      <w:pPr>
        <w:spacing w:line="360" w:lineRule="auto"/>
        <w:ind w:firstLine="480" w:firstLineChars="200"/>
        <w:rPr>
          <w:rFonts w:hint="eastAsia"/>
          <w:color w:val="auto"/>
          <w:sz w:val="24"/>
        </w:rPr>
      </w:pPr>
      <w:r>
        <w:rPr>
          <w:rFonts w:hint="eastAsia"/>
          <w:color w:val="auto"/>
          <w:sz w:val="24"/>
        </w:rPr>
        <w:t>规划区域土壤没有进行功能划分，</w:t>
      </w:r>
      <w:r>
        <w:rPr>
          <w:rFonts w:hint="eastAsia"/>
          <w:color w:val="auto"/>
          <w:sz w:val="24"/>
          <w:lang w:eastAsia="zh-CN"/>
        </w:rPr>
        <w:t>本项目所在地为工业用地</w:t>
      </w:r>
      <w:r>
        <w:rPr>
          <w:rFonts w:hint="eastAsia"/>
          <w:color w:val="auto"/>
          <w:sz w:val="24"/>
        </w:rPr>
        <w:t>土壤环境质量执行《土壤环境质量</w:t>
      </w:r>
      <w:r>
        <w:rPr>
          <w:color w:val="auto"/>
          <w:sz w:val="24"/>
        </w:rPr>
        <w:t xml:space="preserve"> </w:t>
      </w:r>
      <w:r>
        <w:rPr>
          <w:rFonts w:hint="eastAsia"/>
          <w:color w:val="auto"/>
          <w:sz w:val="24"/>
        </w:rPr>
        <w:t>建设用地土壤污染风险管控标准（试行）》（</w:t>
      </w:r>
      <w:r>
        <w:rPr>
          <w:color w:val="auto"/>
          <w:sz w:val="24"/>
        </w:rPr>
        <w:t>GB36600-2018</w:t>
      </w:r>
      <w:r>
        <w:rPr>
          <w:rFonts w:hint="eastAsia"/>
          <w:color w:val="auto"/>
          <w:sz w:val="24"/>
        </w:rPr>
        <w:t>）</w:t>
      </w:r>
      <w:r>
        <w:rPr>
          <w:rFonts w:hint="eastAsia"/>
          <w:color w:val="auto"/>
          <w:sz w:val="24"/>
          <w:lang w:eastAsia="zh-CN"/>
        </w:rPr>
        <w:t>筛选值</w:t>
      </w:r>
      <w:r>
        <w:rPr>
          <w:rFonts w:hint="eastAsia"/>
          <w:color w:val="auto"/>
          <w:sz w:val="24"/>
        </w:rPr>
        <w:t>，具体指标详见表3.4-7。</w:t>
      </w:r>
    </w:p>
    <w:p>
      <w:pPr>
        <w:pStyle w:val="2"/>
        <w:rPr>
          <w:rFonts w:hint="eastAsia"/>
          <w:color w:val="auto"/>
          <w:sz w:val="24"/>
        </w:rPr>
      </w:pPr>
    </w:p>
    <w:p>
      <w:pPr>
        <w:pStyle w:val="2"/>
        <w:rPr>
          <w:rFonts w:hint="eastAsia"/>
          <w:color w:val="auto"/>
          <w:sz w:val="24"/>
        </w:rPr>
      </w:pPr>
    </w:p>
    <w:p>
      <w:pPr>
        <w:pStyle w:val="71"/>
        <w:ind w:firstLine="498"/>
        <w:rPr>
          <w:snapToGrid/>
          <w:color w:val="auto"/>
          <w:kern w:val="0"/>
          <w:sz w:val="24"/>
        </w:rPr>
      </w:pPr>
      <w:r>
        <w:rPr>
          <w:rFonts w:hint="eastAsia"/>
          <w:snapToGrid/>
          <w:color w:val="auto"/>
          <w:kern w:val="0"/>
          <w:sz w:val="24"/>
        </w:rPr>
        <w:t>表3.4-7</w:t>
      </w:r>
      <w:r>
        <w:rPr>
          <w:snapToGrid/>
          <w:color w:val="auto"/>
          <w:kern w:val="0"/>
          <w:sz w:val="24"/>
        </w:rPr>
        <w:t xml:space="preserve">  </w:t>
      </w:r>
      <w:r>
        <w:rPr>
          <w:rFonts w:hint="eastAsia"/>
          <w:snapToGrid/>
          <w:color w:val="auto"/>
          <w:kern w:val="0"/>
          <w:sz w:val="24"/>
        </w:rPr>
        <w:t>土壤环境质量标准</w:t>
      </w:r>
      <w:r>
        <w:rPr>
          <w:snapToGrid/>
          <w:color w:val="auto"/>
          <w:kern w:val="0"/>
          <w:sz w:val="24"/>
        </w:rPr>
        <w:t xml:space="preserve">   </w:t>
      </w:r>
      <w:r>
        <w:rPr>
          <w:rFonts w:hint="eastAsia"/>
          <w:snapToGrid/>
          <w:color w:val="auto"/>
          <w:kern w:val="0"/>
          <w:sz w:val="24"/>
        </w:rPr>
        <w:t>单位：</w:t>
      </w:r>
      <w:r>
        <w:rPr>
          <w:snapToGrid/>
          <w:color w:val="auto"/>
          <w:kern w:val="0"/>
          <w:sz w:val="24"/>
        </w:rPr>
        <w:t>mg/kg</w:t>
      </w:r>
    </w:p>
    <w:tbl>
      <w:tblPr>
        <w:tblStyle w:val="22"/>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0"/>
        <w:gridCol w:w="1850"/>
        <w:gridCol w:w="1261"/>
        <w:gridCol w:w="1350"/>
        <w:gridCol w:w="1350"/>
        <w:gridCol w:w="1350"/>
        <w:gridCol w:w="13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560" w:type="dxa"/>
            <w:vMerge w:val="restart"/>
            <w:tcBorders>
              <w:top w:val="single" w:color="auto" w:sz="12" w:space="0"/>
              <w:left w:val="nil"/>
              <w:bottom w:val="single" w:color="auto" w:sz="4" w:space="0"/>
              <w:right w:val="single" w:color="auto" w:sz="4" w:space="0"/>
            </w:tcBorders>
            <w:vAlign w:val="center"/>
          </w:tcPr>
          <w:p>
            <w:pPr>
              <w:pStyle w:val="28"/>
              <w:rPr>
                <w:color w:val="auto"/>
              </w:rPr>
            </w:pPr>
            <w:r>
              <w:rPr>
                <w:rFonts w:hint="eastAsia"/>
                <w:color w:val="auto"/>
              </w:rPr>
              <w:t>序号</w:t>
            </w:r>
          </w:p>
        </w:tc>
        <w:tc>
          <w:tcPr>
            <w:tcW w:w="1850" w:type="dxa"/>
            <w:vMerge w:val="restart"/>
            <w:tcBorders>
              <w:top w:val="single" w:color="auto" w:sz="12" w:space="0"/>
              <w:left w:val="nil"/>
              <w:bottom w:val="single" w:color="auto" w:sz="4" w:space="0"/>
              <w:right w:val="single" w:color="auto" w:sz="4" w:space="0"/>
            </w:tcBorders>
            <w:vAlign w:val="center"/>
          </w:tcPr>
          <w:p>
            <w:pPr>
              <w:pStyle w:val="28"/>
              <w:rPr>
                <w:color w:val="auto"/>
              </w:rPr>
            </w:pPr>
            <w:r>
              <w:rPr>
                <w:rFonts w:hint="eastAsia"/>
                <w:color w:val="auto"/>
              </w:rPr>
              <w:t>污染物项目</w:t>
            </w:r>
          </w:p>
        </w:tc>
        <w:tc>
          <w:tcPr>
            <w:tcW w:w="1261" w:type="dxa"/>
            <w:vMerge w:val="restart"/>
            <w:tcBorders>
              <w:top w:val="single" w:color="auto" w:sz="12" w:space="0"/>
              <w:left w:val="nil"/>
              <w:bottom w:val="single" w:color="auto" w:sz="4" w:space="0"/>
              <w:right w:val="single" w:color="auto" w:sz="4" w:space="0"/>
            </w:tcBorders>
            <w:vAlign w:val="center"/>
          </w:tcPr>
          <w:p>
            <w:pPr>
              <w:pStyle w:val="28"/>
              <w:rPr>
                <w:color w:val="auto"/>
              </w:rPr>
            </w:pPr>
            <w:r>
              <w:rPr>
                <w:color w:val="auto"/>
              </w:rPr>
              <w:t>CAS</w:t>
            </w:r>
            <w:r>
              <w:rPr>
                <w:rFonts w:hint="eastAsia"/>
                <w:color w:val="auto"/>
              </w:rPr>
              <w:t>编号</w:t>
            </w:r>
          </w:p>
        </w:tc>
        <w:tc>
          <w:tcPr>
            <w:tcW w:w="2700" w:type="dxa"/>
            <w:gridSpan w:val="2"/>
            <w:tcBorders>
              <w:top w:val="single" w:color="auto" w:sz="12" w:space="0"/>
              <w:left w:val="nil"/>
              <w:bottom w:val="single" w:color="auto" w:sz="4" w:space="0"/>
              <w:right w:val="single" w:color="auto" w:sz="4" w:space="0"/>
            </w:tcBorders>
            <w:vAlign w:val="center"/>
          </w:tcPr>
          <w:p>
            <w:pPr>
              <w:pStyle w:val="28"/>
              <w:rPr>
                <w:color w:val="auto"/>
              </w:rPr>
            </w:pPr>
            <w:r>
              <w:rPr>
                <w:rFonts w:hint="eastAsia"/>
                <w:color w:val="auto"/>
              </w:rPr>
              <w:t>筛选值</w:t>
            </w:r>
          </w:p>
        </w:tc>
        <w:tc>
          <w:tcPr>
            <w:tcW w:w="2700" w:type="dxa"/>
            <w:gridSpan w:val="2"/>
            <w:tcBorders>
              <w:top w:val="single" w:color="auto" w:sz="12" w:space="0"/>
              <w:left w:val="nil"/>
              <w:bottom w:val="single" w:color="auto" w:sz="4" w:space="0"/>
              <w:right w:val="nil"/>
            </w:tcBorders>
            <w:vAlign w:val="center"/>
          </w:tcPr>
          <w:p>
            <w:pPr>
              <w:pStyle w:val="28"/>
              <w:rPr>
                <w:color w:val="auto"/>
              </w:rPr>
            </w:pPr>
            <w:r>
              <w:rPr>
                <w:rFonts w:hint="eastAsia"/>
                <w:color w:val="auto"/>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560" w:type="dxa"/>
            <w:vMerge w:val="continue"/>
            <w:tcBorders>
              <w:top w:val="single" w:color="auto" w:sz="12" w:space="0"/>
              <w:left w:val="nil"/>
              <w:bottom w:val="single" w:color="auto" w:sz="4" w:space="0"/>
              <w:right w:val="single" w:color="auto" w:sz="4" w:space="0"/>
            </w:tcBorders>
            <w:shd w:val="clear" w:color="auto" w:fill="auto"/>
            <w:vAlign w:val="center"/>
          </w:tcPr>
          <w:p>
            <w:pPr>
              <w:pStyle w:val="28"/>
              <w:rPr>
                <w:color w:val="auto"/>
              </w:rPr>
            </w:pPr>
          </w:p>
        </w:tc>
        <w:tc>
          <w:tcPr>
            <w:tcW w:w="1850" w:type="dxa"/>
            <w:vMerge w:val="continue"/>
            <w:tcBorders>
              <w:top w:val="single" w:color="auto" w:sz="12" w:space="0"/>
              <w:left w:val="nil"/>
              <w:bottom w:val="single" w:color="auto" w:sz="4" w:space="0"/>
              <w:right w:val="single" w:color="auto" w:sz="4" w:space="0"/>
            </w:tcBorders>
            <w:shd w:val="clear" w:color="auto" w:fill="auto"/>
            <w:vAlign w:val="center"/>
          </w:tcPr>
          <w:p>
            <w:pPr>
              <w:pStyle w:val="28"/>
              <w:rPr>
                <w:color w:val="auto"/>
              </w:rPr>
            </w:pPr>
          </w:p>
        </w:tc>
        <w:tc>
          <w:tcPr>
            <w:tcW w:w="1261" w:type="dxa"/>
            <w:vMerge w:val="continue"/>
            <w:tcBorders>
              <w:top w:val="single" w:color="auto" w:sz="12" w:space="0"/>
              <w:left w:val="nil"/>
              <w:bottom w:val="single" w:color="auto" w:sz="4" w:space="0"/>
              <w:right w:val="single" w:color="auto" w:sz="4" w:space="0"/>
            </w:tcBorders>
            <w:shd w:val="clear" w:color="auto" w:fill="auto"/>
            <w:vAlign w:val="center"/>
          </w:tcPr>
          <w:p>
            <w:pPr>
              <w:pStyle w:val="28"/>
              <w:rPr>
                <w:color w:val="auto"/>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第一类用地</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rFonts w:hint="eastAsia"/>
                <w:color w:val="auto"/>
              </w:rPr>
              <w:t>第二类用地</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rFonts w:hint="eastAsia"/>
                <w:color w:val="auto"/>
              </w:rPr>
              <w:t>第一类用地</w:t>
            </w:r>
          </w:p>
        </w:tc>
        <w:tc>
          <w:tcPr>
            <w:tcW w:w="1350" w:type="dxa"/>
            <w:tcBorders>
              <w:top w:val="single" w:color="auto" w:sz="4" w:space="0"/>
              <w:left w:val="nil"/>
              <w:bottom w:val="single" w:color="auto" w:sz="4" w:space="0"/>
              <w:right w:val="nil"/>
            </w:tcBorders>
            <w:vAlign w:val="center"/>
          </w:tcPr>
          <w:p>
            <w:pPr>
              <w:pStyle w:val="28"/>
              <w:rPr>
                <w:color w:val="auto"/>
              </w:rPr>
            </w:pPr>
            <w:r>
              <w:rPr>
                <w:rFonts w:hint="eastAsia"/>
                <w:color w:val="auto"/>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9071" w:type="dxa"/>
            <w:gridSpan w:val="7"/>
            <w:tcBorders>
              <w:top w:val="single" w:color="auto" w:sz="4" w:space="0"/>
              <w:left w:val="nil"/>
              <w:bottom w:val="single" w:color="auto" w:sz="4" w:space="0"/>
              <w:right w:val="nil"/>
            </w:tcBorders>
            <w:shd w:val="clear" w:color="auto" w:fill="D7D7D7" w:themeFill="background1" w:themeFillShade="D8"/>
            <w:vAlign w:val="center"/>
          </w:tcPr>
          <w:p>
            <w:pPr>
              <w:pStyle w:val="28"/>
              <w:rPr>
                <w:color w:val="auto"/>
              </w:rPr>
            </w:pPr>
            <w:r>
              <w:rPr>
                <w:rFonts w:hint="eastAsia"/>
                <w:color w:val="auto"/>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7440-38-2</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20</w:t>
            </w:r>
            <w:r>
              <w:rPr>
                <w:rFonts w:hint="eastAsia"/>
                <w:color w:val="auto"/>
                <w:vertAlign w:val="superscript"/>
              </w:rPr>
              <w:t>①</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60</w:t>
            </w:r>
            <w:r>
              <w:rPr>
                <w:rFonts w:hint="eastAsia"/>
                <w:color w:val="auto"/>
                <w:vertAlign w:val="superscript"/>
              </w:rPr>
              <w:t>①</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120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镉</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7440-43-9</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65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47</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铬（六价）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18540-29-9</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5.7</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30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铜</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7440-50-8</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2000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18000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8000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铅</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7439-92-1</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400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800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800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6</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汞</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7439-97-6</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8</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38</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33</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镍</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7440-02-0</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150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900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600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9071" w:type="dxa"/>
            <w:gridSpan w:val="7"/>
            <w:tcBorders>
              <w:top w:val="single" w:color="auto" w:sz="4" w:space="0"/>
              <w:left w:val="nil"/>
              <w:bottom w:val="single" w:color="auto" w:sz="4" w:space="0"/>
              <w:right w:val="nil"/>
            </w:tcBorders>
            <w:shd w:val="clear" w:color="auto" w:fill="D7D7D7" w:themeFill="background1" w:themeFillShade="D8"/>
            <w:vAlign w:val="center"/>
          </w:tcPr>
          <w:p>
            <w:pPr>
              <w:pStyle w:val="28"/>
              <w:rPr>
                <w:color w:val="auto"/>
              </w:rPr>
            </w:pPr>
            <w:r>
              <w:rPr>
                <w:rFonts w:hint="eastAsia"/>
                <w:color w:val="auto"/>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8</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四氯化碳</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56-23-8</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0.9</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2.8</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9</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氯仿</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67-66-3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0.3</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0.9</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氯甲烷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74-87-3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37</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21</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w:t>
            </w:r>
            <w:r>
              <w:rPr>
                <w:rFonts w:hint="eastAsia"/>
                <w:color w:val="auto"/>
              </w:rPr>
              <w:t>二氯乙烷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75-34-3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9</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w:t>
            </w:r>
            <w:r>
              <w:rPr>
                <w:rFonts w:hint="eastAsia"/>
                <w:color w:val="auto"/>
              </w:rPr>
              <w:t>二氯乙烷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107-06-2</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0.52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6</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13</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w:t>
            </w:r>
            <w:r>
              <w:rPr>
                <w:rFonts w:hint="eastAsia"/>
                <w:color w:val="auto"/>
              </w:rPr>
              <w:t>二氯乙烯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75-35-4</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66</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40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14</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顺</w:t>
            </w:r>
            <w:r>
              <w:rPr>
                <w:color w:val="auto"/>
              </w:rPr>
              <w:t>-1,2-</w:t>
            </w:r>
            <w:r>
              <w:rPr>
                <w:rFonts w:hint="eastAsia"/>
                <w:color w:val="auto"/>
              </w:rPr>
              <w:t>二氯乙烯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156-59-2</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66</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596</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15</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反</w:t>
            </w:r>
            <w:r>
              <w:rPr>
                <w:color w:val="auto"/>
              </w:rPr>
              <w:t>-1,2-</w:t>
            </w:r>
            <w:r>
              <w:rPr>
                <w:rFonts w:hint="eastAsia"/>
                <w:color w:val="auto"/>
              </w:rPr>
              <w:t>二氯乙烯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156-60-5</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54</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31</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16</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二氯甲烷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75-09-2</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94</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616</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300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17</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w:t>
            </w:r>
            <w:r>
              <w:rPr>
                <w:rFonts w:hint="eastAsia"/>
                <w:color w:val="auto"/>
              </w:rPr>
              <w:t>二氯丙烷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78-87-5</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18</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1,1,1,2-</w:t>
            </w:r>
            <w:r>
              <w:rPr>
                <w:rFonts w:hint="eastAsia"/>
                <w:color w:val="auto"/>
              </w:rPr>
              <w:t>四氯乙烷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630-20-6</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2.6</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26</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19</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1,1,2,2-</w:t>
            </w:r>
            <w:r>
              <w:rPr>
                <w:rFonts w:hint="eastAsia"/>
                <w:color w:val="auto"/>
              </w:rPr>
              <w:t>四氯乙烷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79-34-5</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1.6</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6.8</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14</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20</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四氯乙烯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127-18-4</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53</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34</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21</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1,1,1-</w:t>
            </w:r>
            <w:r>
              <w:rPr>
                <w:rFonts w:hint="eastAsia"/>
                <w:color w:val="auto"/>
              </w:rPr>
              <w:t>三氯乙烷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72-55-6</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701</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840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840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22</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1,1,2-</w:t>
            </w:r>
            <w:r>
              <w:rPr>
                <w:rFonts w:hint="eastAsia"/>
                <w:color w:val="auto"/>
              </w:rPr>
              <w:t>三氯乙烷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79-00-5</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0.6</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2.8</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23</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三氯乙烯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79-01-6</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0.7</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2.8</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7</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24</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1,2,3-</w:t>
            </w:r>
            <w:r>
              <w:rPr>
                <w:rFonts w:hint="eastAsia"/>
                <w:color w:val="auto"/>
              </w:rPr>
              <w:t>三氯丙烷</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96-18-4</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0.05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0.5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0.5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25</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75-01-4</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0.12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0.43</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1.2</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26</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71-43-2</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4</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27</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氯苯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80-90-7</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68</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270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28</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w:t>
            </w:r>
            <w:r>
              <w:rPr>
                <w:rFonts w:hint="eastAsia"/>
                <w:color w:val="auto"/>
              </w:rPr>
              <w:t>二氯苯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95-50-1</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560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560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560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29</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1,4-</w:t>
            </w:r>
            <w:r>
              <w:rPr>
                <w:rFonts w:hint="eastAsia"/>
                <w:color w:val="auto"/>
              </w:rPr>
              <w:t>二氯苯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106-46-7</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5.6</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30</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乙苯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100-41-4</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7.2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28</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31</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苯乙烯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100-42-5</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1290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1290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1290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32</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甲苯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108-88-3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1200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1200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1200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33</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间二甲苯</w:t>
            </w:r>
            <w:r>
              <w:rPr>
                <w:color w:val="auto"/>
              </w:rPr>
              <w:t>+</w:t>
            </w:r>
            <w:r>
              <w:rPr>
                <w:rFonts w:hint="eastAsia"/>
                <w:color w:val="auto"/>
              </w:rPr>
              <w:t>对二甲苯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108-38-3</w:t>
            </w:r>
          </w:p>
          <w:p>
            <w:pPr>
              <w:pStyle w:val="28"/>
              <w:rPr>
                <w:color w:val="auto"/>
              </w:rPr>
            </w:pPr>
            <w:r>
              <w:rPr>
                <w:color w:val="auto"/>
              </w:rPr>
              <w:t>106-42-3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163</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570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34</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邻二甲苯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95-47-6</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222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640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640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9071" w:type="dxa"/>
            <w:gridSpan w:val="7"/>
            <w:tcBorders>
              <w:top w:val="single" w:color="auto" w:sz="4" w:space="0"/>
              <w:left w:val="nil"/>
              <w:bottom w:val="single" w:color="auto" w:sz="4" w:space="0"/>
              <w:right w:val="nil"/>
            </w:tcBorders>
            <w:shd w:val="clear" w:color="auto" w:fill="D7D7D7" w:themeFill="background1" w:themeFillShade="D8"/>
            <w:vAlign w:val="center"/>
          </w:tcPr>
          <w:p>
            <w:pPr>
              <w:pStyle w:val="28"/>
              <w:rPr>
                <w:color w:val="auto"/>
              </w:rPr>
            </w:pPr>
            <w:r>
              <w:rPr>
                <w:rFonts w:hint="eastAsia"/>
                <w:color w:val="auto"/>
              </w:rPr>
              <w:t>半挥发有机物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35</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硝基苯</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98-95-3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34</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76</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190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36</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苯胺</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62-53-3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92</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260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211</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37</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w:t>
            </w:r>
            <w:r>
              <w:rPr>
                <w:rFonts w:hint="eastAsia"/>
                <w:color w:val="auto"/>
              </w:rPr>
              <w:t>氯酚</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95-57-8</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250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2256</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38</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苯并</w:t>
            </w:r>
            <w:r>
              <w:rPr>
                <w:color w:val="auto"/>
              </w:rPr>
              <w:t>[a]</w:t>
            </w:r>
            <w:r>
              <w:rPr>
                <w:rFonts w:hint="eastAsia"/>
                <w:color w:val="auto"/>
              </w:rPr>
              <w:t>蒽</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56-55-3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39</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苯并</w:t>
            </w:r>
            <w:r>
              <w:rPr>
                <w:color w:val="auto"/>
              </w:rPr>
              <w:t>[a]</w:t>
            </w:r>
            <w:r>
              <w:rPr>
                <w:rFonts w:hint="eastAsia"/>
                <w:color w:val="auto"/>
              </w:rPr>
              <w:t>芘</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50-32-8</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0.55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40</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苯并荧</w:t>
            </w:r>
            <w:r>
              <w:rPr>
                <w:color w:val="auto"/>
              </w:rPr>
              <w:t>[b]</w:t>
            </w:r>
            <w:r>
              <w:rPr>
                <w:rFonts w:hint="eastAsia"/>
                <w:color w:val="auto"/>
              </w:rPr>
              <w:t>蒽</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205-99-2</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41</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苯并荧</w:t>
            </w:r>
            <w:r>
              <w:rPr>
                <w:color w:val="auto"/>
              </w:rPr>
              <w:t>[K]</w:t>
            </w:r>
            <w:r>
              <w:rPr>
                <w:rFonts w:hint="eastAsia"/>
                <w:color w:val="auto"/>
              </w:rPr>
              <w:t>蒽</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207-08-9</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151</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550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42</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䓛</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218-01-9</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490</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1293</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4900</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43</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二苯并</w:t>
            </w:r>
            <w:r>
              <w:rPr>
                <w:color w:val="auto"/>
              </w:rPr>
              <w:t>[a</w:t>
            </w:r>
            <w:r>
              <w:rPr>
                <w:rFonts w:hint="eastAsia"/>
                <w:color w:val="auto"/>
              </w:rPr>
              <w:t>，</w:t>
            </w:r>
            <w:r>
              <w:rPr>
                <w:color w:val="auto"/>
              </w:rPr>
              <w:t>h]</w:t>
            </w:r>
            <w:r>
              <w:rPr>
                <w:rFonts w:hint="eastAsia"/>
                <w:color w:val="auto"/>
              </w:rPr>
              <w:t>蒽</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23-07-3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0.55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44</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茚并</w:t>
            </w:r>
            <w:r>
              <w:rPr>
                <w:color w:val="auto"/>
              </w:rPr>
              <w:t>[1,2,3-cd]</w:t>
            </w:r>
            <w:r>
              <w:rPr>
                <w:rFonts w:hint="eastAsia"/>
                <w:color w:val="auto"/>
              </w:rPr>
              <w:t>芘</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193-39-5</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5.5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15</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55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7" w:hRule="atLeast"/>
          <w:jc w:val="center"/>
        </w:trPr>
        <w:tc>
          <w:tcPr>
            <w:tcW w:w="56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45</w:t>
            </w:r>
          </w:p>
        </w:tc>
        <w:tc>
          <w:tcPr>
            <w:tcW w:w="18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rFonts w:hint="eastAsia"/>
                <w:color w:val="auto"/>
              </w:rPr>
              <w:t>萘</w:t>
            </w:r>
          </w:p>
        </w:tc>
        <w:tc>
          <w:tcPr>
            <w:tcW w:w="1261"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91-20-3</w:t>
            </w:r>
          </w:p>
        </w:tc>
        <w:tc>
          <w:tcPr>
            <w:tcW w:w="1350" w:type="dxa"/>
            <w:tcBorders>
              <w:top w:val="single" w:color="auto" w:sz="4" w:space="0"/>
              <w:left w:val="nil"/>
              <w:bottom w:val="single" w:color="auto" w:sz="4" w:space="0"/>
              <w:right w:val="single" w:color="auto" w:sz="4" w:space="0"/>
            </w:tcBorders>
            <w:shd w:val="clear" w:color="auto" w:fill="auto"/>
            <w:vAlign w:val="center"/>
          </w:tcPr>
          <w:p>
            <w:pPr>
              <w:pStyle w:val="28"/>
              <w:rPr>
                <w:color w:val="auto"/>
              </w:rPr>
            </w:pPr>
            <w:r>
              <w:rPr>
                <w:color w:val="auto"/>
              </w:rPr>
              <w:t>25</w:t>
            </w:r>
          </w:p>
        </w:tc>
        <w:tc>
          <w:tcPr>
            <w:tcW w:w="1350" w:type="dxa"/>
            <w:tcBorders>
              <w:top w:val="single" w:color="auto" w:sz="4" w:space="0"/>
              <w:left w:val="nil"/>
              <w:bottom w:val="single" w:color="auto" w:sz="4" w:space="0"/>
              <w:right w:val="single" w:color="auto" w:sz="4" w:space="0"/>
            </w:tcBorders>
            <w:shd w:val="clear" w:color="auto" w:fill="D7D7D7" w:themeFill="background1" w:themeFillShade="D8"/>
            <w:vAlign w:val="center"/>
          </w:tcPr>
          <w:p>
            <w:pPr>
              <w:pStyle w:val="28"/>
              <w:rPr>
                <w:color w:val="auto"/>
              </w:rPr>
            </w:pPr>
            <w:r>
              <w:rPr>
                <w:color w:val="auto"/>
              </w:rPr>
              <w:t>70</w:t>
            </w:r>
          </w:p>
        </w:tc>
        <w:tc>
          <w:tcPr>
            <w:tcW w:w="1350" w:type="dxa"/>
            <w:tcBorders>
              <w:top w:val="single" w:color="auto" w:sz="4" w:space="0"/>
              <w:left w:val="nil"/>
              <w:bottom w:val="single" w:color="auto" w:sz="4" w:space="0"/>
              <w:right w:val="single" w:color="auto" w:sz="4" w:space="0"/>
            </w:tcBorders>
            <w:vAlign w:val="center"/>
          </w:tcPr>
          <w:p>
            <w:pPr>
              <w:pStyle w:val="28"/>
              <w:rPr>
                <w:color w:val="auto"/>
              </w:rPr>
            </w:pPr>
            <w:r>
              <w:rPr>
                <w:color w:val="auto"/>
              </w:rPr>
              <w:t>255</w:t>
            </w:r>
          </w:p>
        </w:tc>
        <w:tc>
          <w:tcPr>
            <w:tcW w:w="1350" w:type="dxa"/>
            <w:tcBorders>
              <w:top w:val="single" w:color="auto" w:sz="4" w:space="0"/>
              <w:left w:val="nil"/>
              <w:bottom w:val="single" w:color="auto" w:sz="4" w:space="0"/>
              <w:right w:val="nil"/>
            </w:tcBorders>
            <w:vAlign w:val="center"/>
          </w:tcPr>
          <w:p>
            <w:pPr>
              <w:pStyle w:val="28"/>
              <w:rPr>
                <w:color w:val="auto"/>
              </w:rPr>
            </w:pPr>
            <w:r>
              <w:rPr>
                <w:color w:val="auto"/>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9071" w:type="dxa"/>
            <w:gridSpan w:val="7"/>
            <w:tcBorders>
              <w:top w:val="single" w:color="auto" w:sz="4" w:space="0"/>
              <w:left w:val="nil"/>
              <w:bottom w:val="single" w:color="auto" w:sz="12" w:space="0"/>
              <w:right w:val="nil"/>
            </w:tcBorders>
            <w:vAlign w:val="center"/>
          </w:tcPr>
          <w:p>
            <w:pPr>
              <w:pStyle w:val="28"/>
              <w:jc w:val="left"/>
              <w:rPr>
                <w:color w:val="auto"/>
                <w:sz w:val="18"/>
                <w:szCs w:val="18"/>
              </w:rPr>
            </w:pPr>
            <w:r>
              <w:rPr>
                <w:rFonts w:hint="eastAsia"/>
                <w:color w:val="auto"/>
                <w:sz w:val="18"/>
                <w:szCs w:val="18"/>
              </w:rPr>
              <w:t>注：①具体地块土壤中污染物检测含量超过筛选值，但等于低于土壤环境背景值水平的，不纳入污染地块管理。</w:t>
            </w:r>
          </w:p>
        </w:tc>
      </w:tr>
    </w:tbl>
    <w:p>
      <w:pPr>
        <w:adjustRightInd w:val="0"/>
        <w:snapToGrid w:val="0"/>
        <w:spacing w:before="156" w:beforeLines="50" w:line="360" w:lineRule="auto"/>
        <w:outlineLvl w:val="2"/>
        <w:rPr>
          <w:b/>
          <w:color w:val="auto"/>
          <w:sz w:val="24"/>
        </w:rPr>
      </w:pPr>
      <w:r>
        <w:rPr>
          <w:b/>
          <w:color w:val="auto"/>
          <w:sz w:val="24"/>
        </w:rPr>
        <w:t>3</w:t>
      </w:r>
      <w:r>
        <w:rPr>
          <w:rFonts w:hint="eastAsia"/>
          <w:b/>
          <w:color w:val="auto"/>
          <w:sz w:val="24"/>
        </w:rPr>
        <w:t>.4</w:t>
      </w:r>
      <w:r>
        <w:rPr>
          <w:b/>
          <w:color w:val="auto"/>
          <w:sz w:val="24"/>
        </w:rPr>
        <w:t>.2</w:t>
      </w:r>
      <w:r>
        <w:rPr>
          <w:rFonts w:hint="eastAsia"/>
          <w:b/>
          <w:color w:val="auto"/>
          <w:sz w:val="24"/>
        </w:rPr>
        <w:t>污染物执行排放标准</w:t>
      </w:r>
    </w:p>
    <w:p>
      <w:pPr>
        <w:adjustRightInd w:val="0"/>
        <w:snapToGrid w:val="0"/>
        <w:spacing w:line="360" w:lineRule="auto"/>
        <w:ind w:firstLine="480" w:firstLineChars="200"/>
        <w:rPr>
          <w:color w:val="auto"/>
          <w:sz w:val="24"/>
        </w:rPr>
      </w:pPr>
      <w:r>
        <w:rPr>
          <w:rFonts w:hint="eastAsia"/>
          <w:color w:val="auto"/>
          <w:sz w:val="24"/>
        </w:rPr>
        <w:t>（1）水污染物排放标准</w:t>
      </w:r>
    </w:p>
    <w:p>
      <w:pPr>
        <w:spacing w:line="360" w:lineRule="auto"/>
        <w:ind w:firstLine="480" w:firstLineChars="200"/>
        <w:rPr>
          <w:color w:val="auto"/>
          <w:sz w:val="24"/>
        </w:rPr>
      </w:pPr>
      <w:r>
        <w:rPr>
          <w:rFonts w:hint="eastAsia"/>
          <w:color w:val="auto"/>
          <w:sz w:val="24"/>
        </w:rPr>
        <w:t>本项目生产废水依托</w:t>
      </w:r>
      <w:r>
        <w:rPr>
          <w:rFonts w:hint="eastAsia"/>
          <w:color w:val="auto"/>
          <w:sz w:val="24"/>
          <w:lang w:eastAsia="zh-CN"/>
        </w:rPr>
        <w:t>文渡金属表面处理</w:t>
      </w:r>
      <w:r>
        <w:rPr>
          <w:rFonts w:hint="eastAsia"/>
          <w:color w:val="auto"/>
          <w:sz w:val="24"/>
        </w:rPr>
        <w:t>集控中心一期污水站，《福鼎市众鑫金属表面处理有限公司福鼎市文渡金属表面处理集控中心环境影响报告书》</w:t>
      </w:r>
      <w:r>
        <w:rPr>
          <w:rFonts w:hint="eastAsia"/>
          <w:color w:val="auto"/>
          <w:sz w:val="24"/>
          <w:szCs w:val="32"/>
        </w:rPr>
        <w:t>于</w:t>
      </w:r>
      <w:r>
        <w:rPr>
          <w:color w:val="auto"/>
          <w:sz w:val="24"/>
          <w:szCs w:val="32"/>
        </w:rPr>
        <w:t>2014</w:t>
      </w:r>
      <w:r>
        <w:rPr>
          <w:rFonts w:hint="eastAsia"/>
          <w:color w:val="auto"/>
          <w:sz w:val="24"/>
          <w:szCs w:val="32"/>
        </w:rPr>
        <w:t>年</w:t>
      </w:r>
      <w:r>
        <w:rPr>
          <w:color w:val="auto"/>
          <w:sz w:val="24"/>
          <w:szCs w:val="32"/>
        </w:rPr>
        <w:t>10</w:t>
      </w:r>
      <w:r>
        <w:rPr>
          <w:rFonts w:hint="eastAsia"/>
          <w:color w:val="auto"/>
          <w:sz w:val="24"/>
          <w:szCs w:val="32"/>
        </w:rPr>
        <w:t>月</w:t>
      </w:r>
      <w:r>
        <w:rPr>
          <w:color w:val="auto"/>
          <w:sz w:val="24"/>
          <w:szCs w:val="32"/>
        </w:rPr>
        <w:t>8</w:t>
      </w:r>
      <w:r>
        <w:rPr>
          <w:rFonts w:hint="eastAsia"/>
          <w:color w:val="auto"/>
          <w:sz w:val="24"/>
          <w:szCs w:val="32"/>
        </w:rPr>
        <w:t>日取得了宁德市环保局的批复（附件</w:t>
      </w:r>
      <w:r>
        <w:rPr>
          <w:color w:val="auto"/>
          <w:sz w:val="24"/>
          <w:szCs w:val="32"/>
        </w:rPr>
        <w:t>8</w:t>
      </w:r>
      <w:r>
        <w:rPr>
          <w:rFonts w:hint="eastAsia"/>
          <w:color w:val="auto"/>
          <w:sz w:val="24"/>
          <w:szCs w:val="32"/>
        </w:rPr>
        <w:t>），根据</w:t>
      </w:r>
      <w:r>
        <w:rPr>
          <w:rFonts w:hint="eastAsia"/>
          <w:color w:val="auto"/>
          <w:sz w:val="24"/>
        </w:rPr>
        <w:t>《福鼎市众鑫金属表面处理有限公司福鼎市文渡金属表面处理集控中心环境影响报告书》中对废水接纳企业的要求有：电镀企业的工艺废水必须满足集控中心废水进出水水质设计控制指标后，排入</w:t>
      </w:r>
      <w:bookmarkStart w:id="1" w:name="OLE_LINK8"/>
      <w:bookmarkStart w:id="2" w:name="OLE_LINK9"/>
      <w:r>
        <w:rPr>
          <w:rFonts w:hint="eastAsia"/>
          <w:color w:val="auto"/>
          <w:sz w:val="24"/>
        </w:rPr>
        <w:t>五水分离废水处理系统</w:t>
      </w:r>
      <w:bookmarkEnd w:id="1"/>
      <w:bookmarkEnd w:id="2"/>
      <w:r>
        <w:rPr>
          <w:rFonts w:hint="eastAsia"/>
          <w:color w:val="auto"/>
          <w:sz w:val="24"/>
        </w:rPr>
        <w:t>（含铬废水、含油废水、含镍废水、含氰废水、综合废水）进行分别处理，确保一类污染物在五水分离废水处理系统达《电镀污水排放标准》（</w:t>
      </w:r>
      <w:r>
        <w:rPr>
          <w:color w:val="auto"/>
          <w:sz w:val="24"/>
        </w:rPr>
        <w:t>GB21900-2008</w:t>
      </w:r>
      <w:r>
        <w:rPr>
          <w:rFonts w:hint="eastAsia"/>
          <w:color w:val="auto"/>
          <w:sz w:val="24"/>
        </w:rPr>
        <w:t>）表</w:t>
      </w:r>
      <w:r>
        <w:rPr>
          <w:color w:val="auto"/>
          <w:sz w:val="24"/>
        </w:rPr>
        <w:t>2</w:t>
      </w:r>
      <w:r>
        <w:rPr>
          <w:rFonts w:hint="eastAsia"/>
          <w:color w:val="auto"/>
          <w:sz w:val="24"/>
        </w:rPr>
        <w:t>标准。本项目生产废水（涉及</w:t>
      </w:r>
      <w:r>
        <w:rPr>
          <w:rFonts w:hint="eastAsia"/>
          <w:color w:val="auto"/>
          <w:sz w:val="24"/>
          <w:lang w:val="en-US" w:eastAsia="zh-CN"/>
        </w:rPr>
        <w:t>5</w:t>
      </w:r>
      <w:r>
        <w:rPr>
          <w:rFonts w:hint="eastAsia"/>
          <w:color w:val="auto"/>
          <w:sz w:val="24"/>
        </w:rPr>
        <w:t>类：含铬废水、</w:t>
      </w:r>
      <w:r>
        <w:rPr>
          <w:rFonts w:hint="eastAsia"/>
          <w:color w:val="auto"/>
          <w:sz w:val="24"/>
          <w:lang w:eastAsia="zh-CN"/>
        </w:rPr>
        <w:t>含镍废水、含氰废水、</w:t>
      </w:r>
      <w:r>
        <w:rPr>
          <w:rFonts w:hint="eastAsia"/>
          <w:color w:val="auto"/>
          <w:sz w:val="24"/>
        </w:rPr>
        <w:t>含油废水、综合废水）依托集控中心一期工程污水站进行处理，因此本项目出水需满足集控中心废水进出水水质设计控制指标。</w:t>
      </w:r>
    </w:p>
    <w:p>
      <w:pPr>
        <w:spacing w:line="360" w:lineRule="auto"/>
        <w:ind w:firstLine="480" w:firstLineChars="200"/>
        <w:rPr>
          <w:color w:val="auto"/>
          <w:sz w:val="24"/>
          <w:highlight w:val="none"/>
        </w:rPr>
      </w:pPr>
      <w:r>
        <w:rPr>
          <w:rFonts w:hint="eastAsia"/>
          <w:color w:val="auto"/>
          <w:sz w:val="24"/>
          <w:highlight w:val="none"/>
        </w:rPr>
        <w:t>电镀生产废水经集控中心污水处理站处理达到《电镀污染物排放标准》（</w:t>
      </w:r>
      <w:r>
        <w:rPr>
          <w:color w:val="auto"/>
          <w:sz w:val="24"/>
          <w:highlight w:val="none"/>
        </w:rPr>
        <w:t>GB21900</w:t>
      </w:r>
      <w:r>
        <w:rPr>
          <w:rFonts w:hint="eastAsia"/>
          <w:color w:val="auto"/>
          <w:sz w:val="24"/>
          <w:highlight w:val="none"/>
          <w:lang w:val="en-US" w:eastAsia="zh-CN"/>
        </w:rPr>
        <w:t>-</w:t>
      </w:r>
      <w:r>
        <w:rPr>
          <w:color w:val="auto"/>
          <w:sz w:val="24"/>
          <w:highlight w:val="none"/>
        </w:rPr>
        <w:t>2008</w:t>
      </w:r>
      <w:r>
        <w:rPr>
          <w:rFonts w:hint="eastAsia"/>
          <w:color w:val="auto"/>
          <w:sz w:val="24"/>
          <w:highlight w:val="none"/>
        </w:rPr>
        <w:t>）表</w:t>
      </w:r>
      <w:r>
        <w:rPr>
          <w:color w:val="auto"/>
          <w:sz w:val="24"/>
          <w:highlight w:val="none"/>
        </w:rPr>
        <w:t>2</w:t>
      </w:r>
      <w:r>
        <w:rPr>
          <w:rFonts w:hint="eastAsia"/>
          <w:color w:val="auto"/>
          <w:sz w:val="24"/>
          <w:highlight w:val="none"/>
        </w:rPr>
        <w:t>标准后（其中</w:t>
      </w:r>
      <w:r>
        <w:rPr>
          <w:color w:val="auto"/>
          <w:sz w:val="24"/>
          <w:highlight w:val="none"/>
        </w:rPr>
        <w:t>COD</w:t>
      </w:r>
      <w:r>
        <w:rPr>
          <w:rFonts w:hint="eastAsia"/>
          <w:color w:val="auto"/>
          <w:sz w:val="24"/>
          <w:highlight w:val="none"/>
        </w:rPr>
        <w:t>、NH</w:t>
      </w:r>
      <w:r>
        <w:rPr>
          <w:rFonts w:hint="eastAsia"/>
          <w:color w:val="auto"/>
          <w:sz w:val="24"/>
          <w:highlight w:val="none"/>
          <w:vertAlign w:val="subscript"/>
        </w:rPr>
        <w:t>3</w:t>
      </w:r>
      <w:r>
        <w:rPr>
          <w:rFonts w:hint="eastAsia"/>
          <w:color w:val="auto"/>
          <w:sz w:val="24"/>
          <w:highlight w:val="none"/>
        </w:rPr>
        <w:t>-N达文渡污水厂进水水质要求，即NH</w:t>
      </w:r>
      <w:r>
        <w:rPr>
          <w:rFonts w:hint="eastAsia"/>
          <w:color w:val="auto"/>
          <w:sz w:val="24"/>
          <w:highlight w:val="none"/>
          <w:vertAlign w:val="subscript"/>
        </w:rPr>
        <w:t>3</w:t>
      </w:r>
      <w:r>
        <w:rPr>
          <w:rFonts w:hint="eastAsia"/>
          <w:color w:val="auto"/>
          <w:sz w:val="24"/>
          <w:highlight w:val="none"/>
        </w:rPr>
        <w:t>-N</w:t>
      </w:r>
      <w:r>
        <w:rPr>
          <w:color w:val="auto"/>
          <w:sz w:val="24"/>
          <w:highlight w:val="none"/>
        </w:rPr>
        <w:t>≤120mg/L</w:t>
      </w:r>
      <w:r>
        <w:rPr>
          <w:rFonts w:hint="eastAsia"/>
          <w:color w:val="auto"/>
          <w:sz w:val="24"/>
          <w:highlight w:val="none"/>
        </w:rPr>
        <w:t>，</w:t>
      </w:r>
      <w:r>
        <w:rPr>
          <w:color w:val="auto"/>
          <w:sz w:val="24"/>
          <w:highlight w:val="none"/>
        </w:rPr>
        <w:t>COD≤500 mg/L</w:t>
      </w:r>
      <w:r>
        <w:rPr>
          <w:rFonts w:hint="eastAsia"/>
          <w:color w:val="auto"/>
          <w:sz w:val="24"/>
          <w:highlight w:val="none"/>
        </w:rPr>
        <w:t>）排入福鼎市文渡污水处理厂处理，最终排入滞洪区，项目生产废水排放水质需达到电镀集控中心的接管要求。</w:t>
      </w:r>
    </w:p>
    <w:p>
      <w:pPr>
        <w:spacing w:line="360" w:lineRule="auto"/>
        <w:ind w:firstLine="480" w:firstLineChars="200"/>
        <w:rPr>
          <w:rFonts w:hint="eastAsia"/>
          <w:color w:val="auto"/>
          <w:sz w:val="24"/>
        </w:rPr>
      </w:pPr>
      <w:r>
        <w:rPr>
          <w:rFonts w:hint="eastAsia"/>
          <w:color w:val="auto"/>
          <w:sz w:val="24"/>
        </w:rPr>
        <w:t>项目生活污水经化粪池处理后达《污水综合排放标准》（</w:t>
      </w:r>
      <w:r>
        <w:rPr>
          <w:color w:val="auto"/>
          <w:sz w:val="24"/>
        </w:rPr>
        <w:t>GB8978-1996</w:t>
      </w:r>
      <w:r>
        <w:rPr>
          <w:rFonts w:hint="eastAsia"/>
          <w:color w:val="auto"/>
          <w:sz w:val="24"/>
        </w:rPr>
        <w:t>）表</w:t>
      </w:r>
      <w:r>
        <w:rPr>
          <w:color w:val="auto"/>
          <w:sz w:val="24"/>
        </w:rPr>
        <w:t>4</w:t>
      </w:r>
      <w:r>
        <w:rPr>
          <w:rFonts w:hint="eastAsia"/>
          <w:color w:val="auto"/>
          <w:sz w:val="24"/>
        </w:rPr>
        <w:t>中三级标准（其中NH</w:t>
      </w:r>
      <w:r>
        <w:rPr>
          <w:rFonts w:hint="eastAsia"/>
          <w:color w:val="auto"/>
          <w:sz w:val="24"/>
          <w:vertAlign w:val="subscript"/>
        </w:rPr>
        <w:t>3</w:t>
      </w:r>
      <w:r>
        <w:rPr>
          <w:rFonts w:hint="eastAsia"/>
          <w:color w:val="auto"/>
          <w:sz w:val="24"/>
        </w:rPr>
        <w:t>-N执行《污水排入城镇下水道水质标准》（</w:t>
      </w:r>
      <w:r>
        <w:rPr>
          <w:color w:val="auto"/>
          <w:sz w:val="24"/>
        </w:rPr>
        <w:t>GB/T 31962-2015</w:t>
      </w:r>
      <w:r>
        <w:rPr>
          <w:rFonts w:hint="eastAsia"/>
          <w:color w:val="auto"/>
          <w:sz w:val="24"/>
        </w:rPr>
        <w:t>）表</w:t>
      </w:r>
      <w:r>
        <w:rPr>
          <w:color w:val="auto"/>
          <w:sz w:val="24"/>
        </w:rPr>
        <w:t>1</w:t>
      </w:r>
      <w:r>
        <w:rPr>
          <w:rFonts w:hint="eastAsia"/>
          <w:color w:val="auto"/>
          <w:sz w:val="24"/>
        </w:rPr>
        <w:t>的</w:t>
      </w:r>
      <w:r>
        <w:rPr>
          <w:color w:val="auto"/>
          <w:sz w:val="24"/>
        </w:rPr>
        <w:t>B</w:t>
      </w:r>
      <w:r>
        <w:rPr>
          <w:rFonts w:hint="eastAsia"/>
          <w:color w:val="auto"/>
          <w:sz w:val="24"/>
        </w:rPr>
        <w:t>等级标准）后，排入</w:t>
      </w:r>
      <w:r>
        <w:rPr>
          <w:rFonts w:hint="eastAsia"/>
          <w:color w:val="auto"/>
          <w:kern w:val="0"/>
          <w:sz w:val="24"/>
        </w:rPr>
        <w:t>福鼎市文渡污水处理厂</w:t>
      </w:r>
      <w:r>
        <w:rPr>
          <w:rFonts w:hint="eastAsia"/>
          <w:color w:val="auto"/>
          <w:sz w:val="24"/>
        </w:rPr>
        <w:t>处理。详见表3.4-8~9。</w:t>
      </w:r>
    </w:p>
    <w:p>
      <w:pPr>
        <w:pStyle w:val="85"/>
        <w:ind w:left="480"/>
        <w:rPr>
          <w:color w:val="auto"/>
        </w:rPr>
      </w:pPr>
      <w:r>
        <w:rPr>
          <w:rFonts w:hint="eastAsia"/>
          <w:color w:val="auto"/>
        </w:rPr>
        <w:t>表3.4-8</w:t>
      </w:r>
      <w:r>
        <w:rPr>
          <w:color w:val="auto"/>
        </w:rPr>
        <w:t xml:space="preserve">  </w:t>
      </w:r>
      <w:r>
        <w:rPr>
          <w:rFonts w:hint="eastAsia"/>
          <w:color w:val="auto"/>
        </w:rPr>
        <w:t>本项目生活污水排放执行标准   单位：</w:t>
      </w:r>
      <w:r>
        <w:rPr>
          <w:color w:val="auto"/>
        </w:rPr>
        <w:t>mg/</w:t>
      </w:r>
      <w:r>
        <w:rPr>
          <w:rFonts w:hint="eastAsia"/>
          <w:color w:val="auto"/>
        </w:rPr>
        <w:t>L</w:t>
      </w:r>
    </w:p>
    <w:tbl>
      <w:tblPr>
        <w:tblStyle w:val="22"/>
        <w:tblW w:w="9285" w:type="dxa"/>
        <w:jc w:val="center"/>
        <w:tblInd w:w="0" w:type="dxa"/>
        <w:tblBorders>
          <w:top w:val="single" w:color="000000" w:sz="12" w:space="0"/>
          <w:left w:val="outset" w:color="auto" w:sz="6" w:space="0"/>
          <w:bottom w:val="single" w:color="000000" w:sz="12"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
      <w:tblGrid>
        <w:gridCol w:w="721"/>
        <w:gridCol w:w="1473"/>
        <w:gridCol w:w="1405"/>
        <w:gridCol w:w="5686"/>
      </w:tblGrid>
      <w:tr>
        <w:tblPrEx>
          <w:tblBorders>
            <w:top w:val="single" w:color="000000" w:sz="12" w:space="0"/>
            <w:left w:val="outset" w:color="auto" w:sz="6" w:space="0"/>
            <w:bottom w:val="single" w:color="000000" w:sz="12"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721" w:type="dxa"/>
            <w:tcBorders>
              <w:top w:val="single" w:color="000000" w:sz="12" w:space="0"/>
              <w:left w:val="nil"/>
              <w:bottom w:val="single" w:color="000000" w:sz="4" w:space="0"/>
              <w:right w:val="single" w:color="000000" w:sz="4" w:space="0"/>
            </w:tcBorders>
            <w:vAlign w:val="center"/>
          </w:tcPr>
          <w:p>
            <w:pPr>
              <w:autoSpaceDE w:val="0"/>
              <w:autoSpaceDN w:val="0"/>
              <w:snapToGrid w:val="0"/>
              <w:jc w:val="center"/>
              <w:textAlignment w:val="bottom"/>
              <w:rPr>
                <w:color w:val="auto"/>
              </w:rPr>
            </w:pPr>
            <w:r>
              <w:rPr>
                <w:rFonts w:hint="eastAsia"/>
                <w:color w:val="auto"/>
              </w:rPr>
              <w:t>序号</w:t>
            </w:r>
          </w:p>
        </w:tc>
        <w:tc>
          <w:tcPr>
            <w:tcW w:w="1473" w:type="dxa"/>
            <w:tcBorders>
              <w:top w:val="single" w:color="000000" w:sz="12"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rFonts w:hint="eastAsia"/>
                <w:color w:val="auto"/>
              </w:rPr>
              <w:t>污染物名称</w:t>
            </w:r>
          </w:p>
        </w:tc>
        <w:tc>
          <w:tcPr>
            <w:tcW w:w="1405" w:type="dxa"/>
            <w:tcBorders>
              <w:top w:val="single" w:color="000000" w:sz="12"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rFonts w:hint="eastAsia"/>
                <w:color w:val="auto"/>
              </w:rPr>
              <w:t>排放标准</w:t>
            </w:r>
          </w:p>
        </w:tc>
        <w:tc>
          <w:tcPr>
            <w:tcW w:w="5686" w:type="dxa"/>
            <w:tcBorders>
              <w:top w:val="single" w:color="000000" w:sz="12" w:space="0"/>
              <w:left w:val="single" w:color="000000" w:sz="4" w:space="0"/>
              <w:bottom w:val="single" w:color="000000" w:sz="4" w:space="0"/>
              <w:right w:val="nil"/>
            </w:tcBorders>
            <w:vAlign w:val="center"/>
          </w:tcPr>
          <w:p>
            <w:pPr>
              <w:autoSpaceDE w:val="0"/>
              <w:autoSpaceDN w:val="0"/>
              <w:snapToGrid w:val="0"/>
              <w:jc w:val="center"/>
              <w:textAlignment w:val="bottom"/>
              <w:rPr>
                <w:color w:val="auto"/>
              </w:rPr>
            </w:pPr>
            <w:r>
              <w:rPr>
                <w:rFonts w:hint="eastAsia"/>
                <w:color w:val="auto"/>
              </w:rPr>
              <w:t>标准来源</w:t>
            </w:r>
          </w:p>
        </w:tc>
      </w:tr>
      <w:tr>
        <w:tblPrEx>
          <w:tblBorders>
            <w:top w:val="single" w:color="000000" w:sz="12" w:space="0"/>
            <w:left w:val="outset" w:color="auto" w:sz="6" w:space="0"/>
            <w:bottom w:val="single" w:color="000000" w:sz="12"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721" w:type="dxa"/>
            <w:tcBorders>
              <w:top w:val="single" w:color="000000" w:sz="4" w:space="0"/>
              <w:left w:val="nil"/>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1</w:t>
            </w:r>
          </w:p>
        </w:tc>
        <w:tc>
          <w:tcPr>
            <w:tcW w:w="14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pH</w:t>
            </w:r>
          </w:p>
        </w:tc>
        <w:tc>
          <w:tcPr>
            <w:tcW w:w="14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6-9</w:t>
            </w:r>
          </w:p>
        </w:tc>
        <w:tc>
          <w:tcPr>
            <w:tcW w:w="5686" w:type="dxa"/>
            <w:vMerge w:val="restart"/>
            <w:tcBorders>
              <w:top w:val="single" w:color="000000" w:sz="4" w:space="0"/>
              <w:left w:val="single" w:color="000000" w:sz="4" w:space="0"/>
              <w:bottom w:val="single" w:color="000000" w:sz="4" w:space="0"/>
              <w:right w:val="nil"/>
            </w:tcBorders>
            <w:vAlign w:val="center"/>
          </w:tcPr>
          <w:p>
            <w:pPr>
              <w:autoSpaceDE w:val="0"/>
              <w:autoSpaceDN w:val="0"/>
              <w:snapToGrid w:val="0"/>
              <w:jc w:val="center"/>
              <w:textAlignment w:val="bottom"/>
              <w:rPr>
                <w:color w:val="auto"/>
              </w:rPr>
            </w:pPr>
            <w:r>
              <w:rPr>
                <w:rFonts w:hint="eastAsia"/>
                <w:color w:val="auto"/>
              </w:rPr>
              <w:t>《污水综合排放标准》（</w:t>
            </w:r>
            <w:r>
              <w:rPr>
                <w:color w:val="auto"/>
              </w:rPr>
              <w:t>GB8978</w:t>
            </w:r>
            <w:r>
              <w:rPr>
                <w:rFonts w:hint="eastAsia"/>
                <w:color w:val="auto"/>
              </w:rPr>
              <w:t>－</w:t>
            </w:r>
            <w:r>
              <w:rPr>
                <w:color w:val="auto"/>
              </w:rPr>
              <w:t>1996</w:t>
            </w:r>
            <w:r>
              <w:rPr>
                <w:rFonts w:hint="eastAsia"/>
                <w:color w:val="auto"/>
              </w:rPr>
              <w:t>）表</w:t>
            </w:r>
            <w:r>
              <w:rPr>
                <w:color w:val="auto"/>
              </w:rPr>
              <w:t>4</w:t>
            </w:r>
            <w:r>
              <w:rPr>
                <w:rFonts w:hint="eastAsia"/>
                <w:color w:val="auto"/>
              </w:rPr>
              <w:t>三级</w:t>
            </w:r>
          </w:p>
        </w:tc>
      </w:tr>
      <w:tr>
        <w:tblPrEx>
          <w:tblBorders>
            <w:top w:val="single" w:color="000000" w:sz="12" w:space="0"/>
            <w:left w:val="outset" w:color="auto" w:sz="6" w:space="0"/>
            <w:bottom w:val="single" w:color="000000" w:sz="12"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721" w:type="dxa"/>
            <w:tcBorders>
              <w:top w:val="single" w:color="000000" w:sz="4" w:space="0"/>
              <w:left w:val="nil"/>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2</w:t>
            </w:r>
          </w:p>
        </w:tc>
        <w:tc>
          <w:tcPr>
            <w:tcW w:w="14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COD</w:t>
            </w:r>
          </w:p>
        </w:tc>
        <w:tc>
          <w:tcPr>
            <w:tcW w:w="14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500</w:t>
            </w:r>
          </w:p>
        </w:tc>
        <w:tc>
          <w:tcPr>
            <w:tcW w:w="5686" w:type="dxa"/>
            <w:vMerge w:val="continue"/>
            <w:tcBorders>
              <w:top w:val="single" w:color="000000" w:sz="4" w:space="0"/>
              <w:left w:val="single" w:color="000000" w:sz="4" w:space="0"/>
              <w:bottom w:val="single" w:color="000000" w:sz="4" w:space="0"/>
              <w:right w:val="nil"/>
            </w:tcBorders>
            <w:vAlign w:val="center"/>
          </w:tcPr>
          <w:p>
            <w:pPr>
              <w:widowControl/>
              <w:jc w:val="left"/>
              <w:rPr>
                <w:color w:val="auto"/>
              </w:rPr>
            </w:pPr>
          </w:p>
        </w:tc>
      </w:tr>
      <w:tr>
        <w:tblPrEx>
          <w:tblBorders>
            <w:top w:val="single" w:color="000000" w:sz="12" w:space="0"/>
            <w:left w:val="outset" w:color="auto" w:sz="6" w:space="0"/>
            <w:bottom w:val="single" w:color="000000" w:sz="12"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35" w:hRule="atLeast"/>
          <w:jc w:val="center"/>
        </w:trPr>
        <w:tc>
          <w:tcPr>
            <w:tcW w:w="721" w:type="dxa"/>
            <w:tcBorders>
              <w:top w:val="single" w:color="000000" w:sz="4" w:space="0"/>
              <w:left w:val="nil"/>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3</w:t>
            </w:r>
          </w:p>
        </w:tc>
        <w:tc>
          <w:tcPr>
            <w:tcW w:w="147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BOD</w:t>
            </w:r>
            <w:r>
              <w:rPr>
                <w:color w:val="auto"/>
                <w:vertAlign w:val="subscript"/>
              </w:rPr>
              <w:t>5</w:t>
            </w:r>
          </w:p>
        </w:tc>
        <w:tc>
          <w:tcPr>
            <w:tcW w:w="140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jc w:val="center"/>
              <w:textAlignment w:val="bottom"/>
              <w:rPr>
                <w:color w:val="auto"/>
              </w:rPr>
            </w:pPr>
            <w:r>
              <w:rPr>
                <w:color w:val="auto"/>
              </w:rPr>
              <w:t>300</w:t>
            </w:r>
          </w:p>
        </w:tc>
        <w:tc>
          <w:tcPr>
            <w:tcW w:w="5686" w:type="dxa"/>
            <w:vMerge w:val="continue"/>
            <w:tcBorders>
              <w:top w:val="single" w:color="000000" w:sz="4" w:space="0"/>
              <w:left w:val="single" w:color="000000" w:sz="4" w:space="0"/>
              <w:bottom w:val="single" w:color="000000" w:sz="4" w:space="0"/>
              <w:right w:val="nil"/>
            </w:tcBorders>
            <w:vAlign w:val="center"/>
          </w:tcPr>
          <w:p>
            <w:pPr>
              <w:widowControl/>
              <w:jc w:val="left"/>
              <w:rPr>
                <w:color w:val="auto"/>
              </w:rPr>
            </w:pPr>
          </w:p>
        </w:tc>
      </w:tr>
      <w:tr>
        <w:tblPrEx>
          <w:tblBorders>
            <w:top w:val="single" w:color="000000" w:sz="12" w:space="0"/>
            <w:left w:val="outset" w:color="auto" w:sz="6" w:space="0"/>
            <w:bottom w:val="single" w:color="000000" w:sz="12"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721" w:type="dxa"/>
            <w:tcBorders>
              <w:top w:val="single" w:color="000000" w:sz="4" w:space="0"/>
              <w:left w:val="nil"/>
              <w:bottom w:val="single" w:color="000000" w:sz="12" w:space="0"/>
              <w:right w:val="single" w:color="000000" w:sz="4" w:space="0"/>
            </w:tcBorders>
            <w:vAlign w:val="center"/>
          </w:tcPr>
          <w:p>
            <w:pPr>
              <w:autoSpaceDE w:val="0"/>
              <w:autoSpaceDN w:val="0"/>
              <w:snapToGrid w:val="0"/>
              <w:jc w:val="center"/>
              <w:textAlignment w:val="bottom"/>
              <w:rPr>
                <w:color w:val="auto"/>
              </w:rPr>
            </w:pPr>
            <w:r>
              <w:rPr>
                <w:color w:val="auto"/>
              </w:rPr>
              <w:t>4</w:t>
            </w:r>
          </w:p>
        </w:tc>
        <w:tc>
          <w:tcPr>
            <w:tcW w:w="1473" w:type="dxa"/>
            <w:tcBorders>
              <w:top w:val="single" w:color="000000" w:sz="4" w:space="0"/>
              <w:left w:val="single" w:color="000000" w:sz="4" w:space="0"/>
              <w:bottom w:val="single" w:color="000000" w:sz="12" w:space="0"/>
              <w:right w:val="single" w:color="000000" w:sz="4" w:space="0"/>
            </w:tcBorders>
            <w:vAlign w:val="center"/>
          </w:tcPr>
          <w:p>
            <w:pPr>
              <w:autoSpaceDE w:val="0"/>
              <w:autoSpaceDN w:val="0"/>
              <w:snapToGrid w:val="0"/>
              <w:jc w:val="center"/>
              <w:textAlignment w:val="bottom"/>
              <w:rPr>
                <w:color w:val="auto"/>
              </w:rPr>
            </w:pPr>
            <w:r>
              <w:rPr>
                <w:color w:val="auto"/>
              </w:rPr>
              <w:t>NH</w:t>
            </w:r>
            <w:r>
              <w:rPr>
                <w:color w:val="auto"/>
                <w:vertAlign w:val="subscript"/>
              </w:rPr>
              <w:t>3</w:t>
            </w:r>
            <w:r>
              <w:rPr>
                <w:color w:val="auto"/>
              </w:rPr>
              <w:t>-N</w:t>
            </w:r>
          </w:p>
        </w:tc>
        <w:tc>
          <w:tcPr>
            <w:tcW w:w="1405" w:type="dxa"/>
            <w:tcBorders>
              <w:top w:val="single" w:color="000000" w:sz="4" w:space="0"/>
              <w:left w:val="single" w:color="000000" w:sz="4" w:space="0"/>
              <w:bottom w:val="single" w:color="000000" w:sz="12" w:space="0"/>
              <w:right w:val="single" w:color="000000" w:sz="4" w:space="0"/>
            </w:tcBorders>
            <w:vAlign w:val="center"/>
          </w:tcPr>
          <w:p>
            <w:pPr>
              <w:autoSpaceDE w:val="0"/>
              <w:autoSpaceDN w:val="0"/>
              <w:snapToGrid w:val="0"/>
              <w:jc w:val="center"/>
              <w:textAlignment w:val="bottom"/>
              <w:rPr>
                <w:color w:val="auto"/>
              </w:rPr>
            </w:pPr>
            <w:r>
              <w:rPr>
                <w:color w:val="auto"/>
              </w:rPr>
              <w:t>45</w:t>
            </w:r>
          </w:p>
        </w:tc>
        <w:tc>
          <w:tcPr>
            <w:tcW w:w="5686" w:type="dxa"/>
            <w:tcBorders>
              <w:top w:val="single" w:color="000000" w:sz="4" w:space="0"/>
              <w:left w:val="single" w:color="000000" w:sz="4" w:space="0"/>
              <w:bottom w:val="single" w:color="000000" w:sz="12" w:space="0"/>
              <w:right w:val="nil"/>
            </w:tcBorders>
            <w:vAlign w:val="center"/>
          </w:tcPr>
          <w:p>
            <w:pPr>
              <w:autoSpaceDE w:val="0"/>
              <w:autoSpaceDN w:val="0"/>
              <w:snapToGrid w:val="0"/>
              <w:jc w:val="center"/>
              <w:textAlignment w:val="bottom"/>
              <w:rPr>
                <w:color w:val="auto"/>
              </w:rPr>
            </w:pPr>
            <w:r>
              <w:rPr>
                <w:rFonts w:hint="eastAsia"/>
                <w:color w:val="auto"/>
              </w:rPr>
              <w:t>《污水排入城镇下水道水质标准》（</w:t>
            </w:r>
            <w:r>
              <w:rPr>
                <w:color w:val="auto"/>
              </w:rPr>
              <w:t>GB/T 31962-2015</w:t>
            </w:r>
            <w:r>
              <w:rPr>
                <w:rFonts w:hint="eastAsia"/>
                <w:color w:val="auto"/>
              </w:rPr>
              <w:t>）表</w:t>
            </w:r>
            <w:r>
              <w:rPr>
                <w:color w:val="auto"/>
              </w:rPr>
              <w:t>1</w:t>
            </w:r>
            <w:r>
              <w:rPr>
                <w:rFonts w:hint="eastAsia"/>
                <w:color w:val="auto"/>
              </w:rPr>
              <w:t>的</w:t>
            </w:r>
            <w:r>
              <w:rPr>
                <w:color w:val="auto"/>
              </w:rPr>
              <w:t>B</w:t>
            </w:r>
            <w:r>
              <w:rPr>
                <w:rFonts w:hint="eastAsia"/>
                <w:color w:val="auto"/>
              </w:rPr>
              <w:t>等级标准</w:t>
            </w:r>
          </w:p>
        </w:tc>
      </w:tr>
    </w:tbl>
    <w:p>
      <w:pPr>
        <w:spacing w:line="360" w:lineRule="auto"/>
        <w:ind w:firstLine="482" w:firstLineChars="200"/>
        <w:jc w:val="center"/>
        <w:rPr>
          <w:b/>
          <w:color w:val="auto"/>
          <w:sz w:val="24"/>
          <w:highlight w:val="none"/>
        </w:rPr>
      </w:pPr>
      <w:r>
        <w:rPr>
          <w:rFonts w:hint="eastAsia"/>
          <w:b/>
          <w:color w:val="auto"/>
          <w:sz w:val="24"/>
          <w:highlight w:val="none"/>
        </w:rPr>
        <w:t>表3.4-9</w:t>
      </w:r>
      <w:r>
        <w:rPr>
          <w:b/>
          <w:color w:val="auto"/>
          <w:sz w:val="24"/>
          <w:highlight w:val="none"/>
        </w:rPr>
        <w:t xml:space="preserve">   </w:t>
      </w:r>
      <w:r>
        <w:rPr>
          <w:rFonts w:hint="eastAsia"/>
          <w:b/>
          <w:color w:val="auto"/>
          <w:sz w:val="24"/>
          <w:highlight w:val="none"/>
        </w:rPr>
        <w:t>集控中心污水处理站废水进出水水质设计及控制指标一览表</w:t>
      </w:r>
    </w:p>
    <w:tbl>
      <w:tblPr>
        <w:tblStyle w:val="22"/>
        <w:tblW w:w="928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126"/>
        <w:gridCol w:w="1701"/>
        <w:gridCol w:w="1985"/>
        <w:gridCol w:w="2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12" w:space="0"/>
              <w:left w:val="nil"/>
              <w:bottom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序号</w:t>
            </w:r>
          </w:p>
        </w:tc>
        <w:tc>
          <w:tcPr>
            <w:tcW w:w="2126" w:type="dxa"/>
            <w:tcBorders>
              <w:top w:val="single" w:color="000000" w:sz="12"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控制因子</w:t>
            </w:r>
          </w:p>
        </w:tc>
        <w:tc>
          <w:tcPr>
            <w:tcW w:w="1701" w:type="dxa"/>
            <w:tcBorders>
              <w:top w:val="single" w:color="000000" w:sz="12"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控制位置</w:t>
            </w:r>
          </w:p>
        </w:tc>
        <w:tc>
          <w:tcPr>
            <w:tcW w:w="1985" w:type="dxa"/>
            <w:tcBorders>
              <w:top w:val="single" w:color="000000" w:sz="12"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w:t>
            </w:r>
            <w:r>
              <w:rPr>
                <w:rFonts w:hint="eastAsia"/>
                <w:color w:val="auto"/>
                <w:szCs w:val="21"/>
                <w:highlight w:val="none"/>
              </w:rPr>
              <w:t>企业排水</w:t>
            </w:r>
            <w:r>
              <w:rPr>
                <w:color w:val="auto"/>
                <w:szCs w:val="21"/>
                <w:highlight w:val="none"/>
              </w:rPr>
              <w:t>)</w:t>
            </w:r>
            <w:r>
              <w:rPr>
                <w:rFonts w:hint="eastAsia"/>
                <w:color w:val="auto"/>
                <w:szCs w:val="21"/>
                <w:highlight w:val="none"/>
              </w:rPr>
              <w:t>进水指标控制值</w:t>
            </w:r>
            <w:r>
              <w:rPr>
                <w:color w:val="auto"/>
                <w:szCs w:val="21"/>
                <w:highlight w:val="none"/>
              </w:rPr>
              <w:t>(mg/L)</w:t>
            </w:r>
          </w:p>
        </w:tc>
        <w:tc>
          <w:tcPr>
            <w:tcW w:w="2656" w:type="dxa"/>
            <w:tcBorders>
              <w:top w:val="single" w:color="000000" w:sz="12" w:space="0"/>
              <w:left w:val="single" w:color="000000" w:sz="4" w:space="0"/>
              <w:bottom w:val="single" w:color="000000" w:sz="4" w:space="0"/>
              <w:right w:val="nil"/>
            </w:tcBorders>
            <w:vAlign w:val="center"/>
          </w:tcPr>
          <w:p>
            <w:pPr>
              <w:autoSpaceDN w:val="0"/>
              <w:spacing w:line="320" w:lineRule="atLeast"/>
              <w:jc w:val="center"/>
              <w:rPr>
                <w:color w:val="auto"/>
                <w:szCs w:val="21"/>
                <w:highlight w:val="none"/>
              </w:rPr>
            </w:pPr>
            <w:r>
              <w:rPr>
                <w:rFonts w:hint="eastAsia"/>
                <w:color w:val="auto"/>
                <w:szCs w:val="21"/>
                <w:highlight w:val="none"/>
              </w:rPr>
              <w:t>集控区污水站出水指标标准值</w:t>
            </w:r>
            <w:r>
              <w:rPr>
                <w:color w:val="auto"/>
                <w:szCs w:val="21"/>
                <w:highlight w:val="none"/>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1</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pH</w:t>
            </w:r>
          </w:p>
        </w:tc>
        <w:tc>
          <w:tcPr>
            <w:tcW w:w="1701" w:type="dxa"/>
            <w:vMerge w:val="restart"/>
            <w:tcBorders>
              <w:top w:val="single" w:color="000000" w:sz="4" w:space="0"/>
              <w:left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总排放口</w:t>
            </w: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2-9(</w:t>
            </w:r>
            <w:r>
              <w:rPr>
                <w:rFonts w:hint="eastAsia"/>
                <w:color w:val="auto"/>
                <w:szCs w:val="21"/>
                <w:highlight w:val="none"/>
              </w:rPr>
              <w:t>无量纲</w:t>
            </w:r>
            <w:r>
              <w:rPr>
                <w:color w:val="auto"/>
                <w:szCs w:val="21"/>
                <w:highlight w:val="none"/>
              </w:rPr>
              <w:t>)</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color w:val="auto"/>
                <w:szCs w:val="21"/>
                <w:highlight w:val="none"/>
              </w:rPr>
              <w:t>6-9(</w:t>
            </w:r>
            <w:r>
              <w:rPr>
                <w:rFonts w:hint="eastAsia"/>
                <w:color w:val="auto"/>
                <w:szCs w:val="21"/>
                <w:highlight w:val="none"/>
              </w:rPr>
              <w:t>无量纲</w:t>
            </w:r>
            <w:r>
              <w:rPr>
                <w:color w:val="auto"/>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2</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总铜</w:t>
            </w:r>
          </w:p>
        </w:tc>
        <w:tc>
          <w:tcPr>
            <w:tcW w:w="1701" w:type="dxa"/>
            <w:vMerge w:val="continue"/>
            <w:tcBorders>
              <w:left w:val="single" w:color="000000" w:sz="4" w:space="0"/>
              <w:right w:val="single" w:color="000000" w:sz="4" w:space="0"/>
            </w:tcBorders>
            <w:vAlign w:val="center"/>
          </w:tcPr>
          <w:p>
            <w:pPr>
              <w:autoSpaceDN w:val="0"/>
              <w:jc w:val="center"/>
              <w:rPr>
                <w:rFonts w:hint="eastAsia" w:ascii="Times New Roman" w:hAnsi="Times New Roman" w:cs="Times New Roman"/>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80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石油类</w:t>
            </w:r>
          </w:p>
        </w:tc>
        <w:tc>
          <w:tcPr>
            <w:tcW w:w="1701" w:type="dxa"/>
            <w:vMerge w:val="continue"/>
            <w:tcBorders>
              <w:left w:val="single" w:color="000000" w:sz="4" w:space="0"/>
              <w:right w:val="single" w:color="000000" w:sz="4" w:space="0"/>
            </w:tcBorders>
            <w:vAlign w:val="center"/>
          </w:tcPr>
          <w:p>
            <w:pPr>
              <w:jc w:val="center"/>
              <w:rPr>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80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color w:val="auto"/>
                <w:szCs w:val="21"/>
                <w:highlight w:val="none"/>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4</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COD</w:t>
            </w:r>
          </w:p>
        </w:tc>
        <w:tc>
          <w:tcPr>
            <w:tcW w:w="1701" w:type="dxa"/>
            <w:vMerge w:val="continue"/>
            <w:tcBorders>
              <w:left w:val="single" w:color="000000" w:sz="4" w:space="0"/>
              <w:right w:val="single" w:color="000000" w:sz="4" w:space="0"/>
            </w:tcBorders>
            <w:vAlign w:val="center"/>
          </w:tcPr>
          <w:p>
            <w:pPr>
              <w:jc w:val="center"/>
              <w:rPr>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300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color w:val="auto"/>
                <w:szCs w:val="21"/>
                <w:highlight w:val="none"/>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5</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701" w:type="dxa"/>
            <w:vMerge w:val="continue"/>
            <w:tcBorders>
              <w:left w:val="single" w:color="000000" w:sz="4" w:space="0"/>
              <w:right w:val="single" w:color="000000" w:sz="4" w:space="0"/>
            </w:tcBorders>
            <w:vAlign w:val="center"/>
          </w:tcPr>
          <w:p>
            <w:pPr>
              <w:jc w:val="center"/>
              <w:rPr>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50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color w:val="auto"/>
                <w:szCs w:val="21"/>
                <w:highlight w:val="none"/>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6</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SS</w:t>
            </w:r>
          </w:p>
        </w:tc>
        <w:tc>
          <w:tcPr>
            <w:tcW w:w="1701" w:type="dxa"/>
            <w:vMerge w:val="continue"/>
            <w:tcBorders>
              <w:left w:val="single" w:color="000000" w:sz="4" w:space="0"/>
              <w:right w:val="single" w:color="000000" w:sz="4" w:space="0"/>
            </w:tcBorders>
            <w:vAlign w:val="center"/>
          </w:tcPr>
          <w:p>
            <w:pPr>
              <w:jc w:val="center"/>
              <w:rPr>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200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color w:val="auto"/>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eastAsia="宋体"/>
                <w:color w:val="auto"/>
                <w:szCs w:val="21"/>
                <w:highlight w:val="none"/>
                <w:lang w:val="en-US" w:eastAsia="zh-CN"/>
              </w:rPr>
            </w:pPr>
            <w:r>
              <w:rPr>
                <w:rFonts w:hint="eastAsia"/>
                <w:color w:val="auto"/>
                <w:szCs w:val="21"/>
                <w:highlight w:val="none"/>
                <w:lang w:val="en-US" w:eastAsia="zh-CN"/>
              </w:rPr>
              <w:t>7</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氟化物</w:t>
            </w:r>
          </w:p>
        </w:tc>
        <w:tc>
          <w:tcPr>
            <w:tcW w:w="1701" w:type="dxa"/>
            <w:vMerge w:val="continue"/>
            <w:tcBorders>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rFonts w:hint="eastAsia"/>
                <w:color w:val="auto"/>
                <w:szCs w:val="21"/>
                <w:highlight w:val="none"/>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color w:val="auto"/>
                <w:szCs w:val="21"/>
                <w:highlight w:val="none"/>
                <w:lang w:val="en-US" w:eastAsia="zh-CN"/>
              </w:rPr>
            </w:pPr>
            <w:r>
              <w:rPr>
                <w:rFonts w:hint="eastAsia"/>
                <w:color w:val="auto"/>
                <w:szCs w:val="21"/>
                <w:highlight w:val="none"/>
                <w:lang w:val="en-US" w:eastAsia="zh-CN"/>
              </w:rPr>
              <w:t>8</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color w:val="auto"/>
                <w:szCs w:val="21"/>
                <w:highlight w:val="none"/>
              </w:rPr>
              <w:t>总铬</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color w:val="auto"/>
                <w:szCs w:val="21"/>
                <w:highlight w:val="none"/>
              </w:rPr>
              <w:t>含铬废水排放口</w:t>
            </w: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400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rFonts w:hint="eastAsia"/>
                <w:color w:val="auto"/>
                <w:szCs w:val="21"/>
                <w:highlight w:val="none"/>
              </w:rPr>
            </w:pPr>
            <w:r>
              <w:rPr>
                <w:color w:val="auto"/>
                <w:szCs w:val="21"/>
                <w:highlight w:val="none"/>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color w:val="auto"/>
                <w:szCs w:val="21"/>
                <w:highlight w:val="none"/>
                <w:lang w:val="en-US" w:eastAsia="zh-CN"/>
              </w:rPr>
            </w:pPr>
            <w:r>
              <w:rPr>
                <w:rFonts w:hint="eastAsia"/>
                <w:color w:val="auto"/>
                <w:szCs w:val="21"/>
                <w:highlight w:val="none"/>
                <w:lang w:val="en-US" w:eastAsia="zh-CN"/>
              </w:rPr>
              <w:t>9</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六价铬</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含铬废水排放口</w:t>
            </w: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ascii="Times New Roman" w:hAnsi="Times New Roman" w:cs="Times New Roman"/>
                <w:color w:val="auto"/>
                <w:szCs w:val="21"/>
                <w:highlight w:val="none"/>
              </w:rPr>
              <w:t>50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color w:val="auto"/>
                <w:szCs w:val="21"/>
                <w:highlight w:val="none"/>
                <w:lang w:val="en-US" w:eastAsia="zh-CN"/>
              </w:rPr>
            </w:pPr>
            <w:r>
              <w:rPr>
                <w:rFonts w:hint="eastAsia"/>
                <w:color w:val="auto"/>
                <w:szCs w:val="21"/>
                <w:highlight w:val="none"/>
                <w:lang w:val="en-US" w:eastAsia="zh-CN"/>
              </w:rPr>
              <w:t>10</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总镍</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含镍废水排放口</w:t>
            </w: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ascii="Times New Roman" w:hAnsi="Times New Roman" w:cs="Times New Roman"/>
                <w:color w:val="auto"/>
                <w:szCs w:val="21"/>
                <w:highlight w:val="none"/>
              </w:rPr>
              <w:t>100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tcBorders>
              <w:top w:val="single" w:color="000000" w:sz="4" w:space="0"/>
              <w:left w:val="nil"/>
              <w:bottom w:val="single" w:color="000000" w:sz="4" w:space="0"/>
              <w:right w:val="single" w:color="000000" w:sz="4" w:space="0"/>
            </w:tcBorders>
            <w:vAlign w:val="center"/>
          </w:tcPr>
          <w:p>
            <w:pPr>
              <w:autoSpaceDN w:val="0"/>
              <w:jc w:val="center"/>
              <w:rPr>
                <w:rFonts w:hint="default"/>
                <w:color w:val="auto"/>
                <w:szCs w:val="21"/>
                <w:highlight w:val="none"/>
                <w:lang w:val="en-US" w:eastAsia="zh-CN"/>
              </w:rPr>
            </w:pPr>
            <w:r>
              <w:rPr>
                <w:rFonts w:hint="eastAsia"/>
                <w:color w:val="auto"/>
                <w:szCs w:val="21"/>
                <w:highlight w:val="none"/>
                <w:lang w:val="en-US" w:eastAsia="zh-CN"/>
              </w:rPr>
              <w:t>11</w:t>
            </w:r>
          </w:p>
        </w:tc>
        <w:tc>
          <w:tcPr>
            <w:tcW w:w="2126"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总氰化物（以CN 计）</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含氰废水排放口</w:t>
            </w: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ascii="Times New Roman" w:hAnsi="Times New Roman" w:cs="Times New Roman"/>
                <w:color w:val="auto"/>
                <w:szCs w:val="21"/>
                <w:highlight w:val="none"/>
              </w:rPr>
              <w:t>50</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rFonts w:hint="eastAsia"/>
                <w:color w:val="auto"/>
                <w:szCs w:val="21"/>
                <w:highlight w:val="none"/>
              </w:rPr>
            </w:pPr>
            <w:r>
              <w:rPr>
                <w:rFonts w:hint="eastAsia" w:ascii="Times New Roman" w:hAnsi="Times New Roman" w:cs="Times New Roman"/>
                <w:color w:val="auto"/>
                <w:szCs w:val="21"/>
                <w:highlight w:val="none"/>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Merge w:val="restart"/>
            <w:tcBorders>
              <w:top w:val="single" w:color="000000" w:sz="4" w:space="0"/>
              <w:left w:val="nil"/>
              <w:bottom w:val="single" w:color="000000" w:sz="12" w:space="0"/>
              <w:right w:val="single" w:color="000000" w:sz="4" w:space="0"/>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w:t>
            </w:r>
          </w:p>
        </w:tc>
        <w:tc>
          <w:tcPr>
            <w:tcW w:w="2126" w:type="dxa"/>
            <w:vMerge w:val="restart"/>
            <w:tcBorders>
              <w:top w:val="single" w:color="000000" w:sz="4" w:space="0"/>
              <w:left w:val="single" w:color="000000" w:sz="4" w:space="0"/>
              <w:bottom w:val="single" w:color="000000" w:sz="12"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单位产品基准排水量，</w:t>
            </w:r>
            <w:r>
              <w:rPr>
                <w:color w:val="auto"/>
                <w:szCs w:val="21"/>
                <w:highlight w:val="none"/>
              </w:rPr>
              <w:t>L/m</w:t>
            </w:r>
            <w:r>
              <w:rPr>
                <w:color w:val="auto"/>
                <w:szCs w:val="21"/>
                <w:highlight w:val="none"/>
                <w:vertAlign w:val="superscript"/>
              </w:rPr>
              <w:t>2</w:t>
            </w:r>
            <w:r>
              <w:rPr>
                <w:color w:val="auto"/>
                <w:szCs w:val="21"/>
                <w:highlight w:val="none"/>
              </w:rPr>
              <w:t>(</w:t>
            </w:r>
            <w:r>
              <w:rPr>
                <w:rFonts w:hint="eastAsia"/>
                <w:color w:val="auto"/>
                <w:szCs w:val="21"/>
                <w:highlight w:val="none"/>
              </w:rPr>
              <w:t>镀件镀层</w:t>
            </w:r>
            <w:r>
              <w:rPr>
                <w:color w:val="auto"/>
                <w:szCs w:val="21"/>
                <w:highlight w:val="none"/>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多层镀</w:t>
            </w:r>
          </w:p>
        </w:tc>
        <w:tc>
          <w:tcPr>
            <w:tcW w:w="1985" w:type="dxa"/>
            <w:tcBorders>
              <w:top w:val="single" w:color="000000" w:sz="4" w:space="0"/>
              <w:left w:val="single" w:color="000000" w:sz="4" w:space="0"/>
              <w:bottom w:val="single" w:color="000000" w:sz="4" w:space="0"/>
              <w:right w:val="single" w:color="000000" w:sz="4" w:space="0"/>
            </w:tcBorders>
            <w:vAlign w:val="center"/>
          </w:tcPr>
          <w:p>
            <w:pPr>
              <w:autoSpaceDN w:val="0"/>
              <w:jc w:val="center"/>
              <w:rPr>
                <w:color w:val="auto"/>
                <w:szCs w:val="21"/>
                <w:highlight w:val="none"/>
              </w:rPr>
            </w:pPr>
            <w:r>
              <w:rPr>
                <w:color w:val="auto"/>
                <w:szCs w:val="21"/>
                <w:highlight w:val="none"/>
              </w:rPr>
              <w:t>--</w:t>
            </w:r>
          </w:p>
        </w:tc>
        <w:tc>
          <w:tcPr>
            <w:tcW w:w="2656" w:type="dxa"/>
            <w:tcBorders>
              <w:top w:val="single" w:color="000000" w:sz="4" w:space="0"/>
              <w:left w:val="single" w:color="000000" w:sz="4" w:space="0"/>
              <w:bottom w:val="single" w:color="000000" w:sz="4" w:space="0"/>
              <w:right w:val="nil"/>
            </w:tcBorders>
            <w:vAlign w:val="center"/>
          </w:tcPr>
          <w:p>
            <w:pPr>
              <w:autoSpaceDN w:val="0"/>
              <w:jc w:val="center"/>
              <w:rPr>
                <w:color w:val="auto"/>
                <w:szCs w:val="21"/>
                <w:highlight w:val="none"/>
              </w:rPr>
            </w:pPr>
            <w:r>
              <w:rPr>
                <w:color w:val="auto"/>
                <w:szCs w:val="21"/>
                <w:highlight w:val="none"/>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Merge w:val="continue"/>
            <w:tcBorders>
              <w:top w:val="single" w:color="000000" w:sz="4" w:space="0"/>
              <w:left w:val="nil"/>
              <w:bottom w:val="single" w:color="000000" w:sz="12" w:space="0"/>
              <w:right w:val="single" w:color="000000" w:sz="4" w:space="0"/>
            </w:tcBorders>
            <w:vAlign w:val="center"/>
          </w:tcPr>
          <w:p>
            <w:pPr>
              <w:widowControl/>
              <w:jc w:val="left"/>
              <w:rPr>
                <w:color w:val="auto"/>
                <w:szCs w:val="21"/>
                <w:highlight w:val="none"/>
              </w:rPr>
            </w:pPr>
          </w:p>
        </w:tc>
        <w:tc>
          <w:tcPr>
            <w:tcW w:w="2126" w:type="dxa"/>
            <w:vMerge w:val="continue"/>
            <w:tcBorders>
              <w:top w:val="single" w:color="000000" w:sz="4" w:space="0"/>
              <w:left w:val="single" w:color="000000" w:sz="4" w:space="0"/>
              <w:bottom w:val="single" w:color="000000" w:sz="12" w:space="0"/>
              <w:right w:val="single" w:color="000000" w:sz="4" w:space="0"/>
            </w:tcBorders>
            <w:vAlign w:val="center"/>
          </w:tcPr>
          <w:p>
            <w:pPr>
              <w:widowControl/>
              <w:jc w:val="left"/>
              <w:rPr>
                <w:color w:val="auto"/>
                <w:szCs w:val="21"/>
                <w:highlight w:val="none"/>
              </w:rPr>
            </w:pPr>
          </w:p>
        </w:tc>
        <w:tc>
          <w:tcPr>
            <w:tcW w:w="1701" w:type="dxa"/>
            <w:tcBorders>
              <w:top w:val="single" w:color="000000" w:sz="4" w:space="0"/>
              <w:left w:val="single" w:color="000000" w:sz="4" w:space="0"/>
              <w:bottom w:val="single" w:color="000000" w:sz="12" w:space="0"/>
              <w:right w:val="single" w:color="000000" w:sz="4" w:space="0"/>
            </w:tcBorders>
            <w:vAlign w:val="center"/>
          </w:tcPr>
          <w:p>
            <w:pPr>
              <w:autoSpaceDN w:val="0"/>
              <w:jc w:val="center"/>
              <w:rPr>
                <w:color w:val="auto"/>
                <w:szCs w:val="21"/>
                <w:highlight w:val="none"/>
              </w:rPr>
            </w:pPr>
            <w:r>
              <w:rPr>
                <w:rFonts w:hint="eastAsia"/>
                <w:color w:val="auto"/>
                <w:szCs w:val="21"/>
                <w:highlight w:val="none"/>
              </w:rPr>
              <w:t>单层镀</w:t>
            </w:r>
          </w:p>
        </w:tc>
        <w:tc>
          <w:tcPr>
            <w:tcW w:w="1985" w:type="dxa"/>
            <w:tcBorders>
              <w:top w:val="single" w:color="000000" w:sz="4" w:space="0"/>
              <w:left w:val="single" w:color="000000" w:sz="4" w:space="0"/>
              <w:bottom w:val="single" w:color="000000" w:sz="12" w:space="0"/>
              <w:right w:val="single" w:color="000000" w:sz="4" w:space="0"/>
            </w:tcBorders>
            <w:vAlign w:val="center"/>
          </w:tcPr>
          <w:p>
            <w:pPr>
              <w:autoSpaceDN w:val="0"/>
              <w:jc w:val="center"/>
              <w:rPr>
                <w:color w:val="auto"/>
                <w:szCs w:val="21"/>
                <w:highlight w:val="none"/>
              </w:rPr>
            </w:pPr>
            <w:r>
              <w:rPr>
                <w:color w:val="auto"/>
                <w:szCs w:val="21"/>
                <w:highlight w:val="none"/>
              </w:rPr>
              <w:t>--</w:t>
            </w:r>
          </w:p>
        </w:tc>
        <w:tc>
          <w:tcPr>
            <w:tcW w:w="2656" w:type="dxa"/>
            <w:tcBorders>
              <w:top w:val="single" w:color="000000" w:sz="4" w:space="0"/>
              <w:left w:val="single" w:color="000000" w:sz="4" w:space="0"/>
              <w:bottom w:val="single" w:color="000000" w:sz="12" w:space="0"/>
              <w:right w:val="nil"/>
            </w:tcBorders>
            <w:vAlign w:val="center"/>
          </w:tcPr>
          <w:p>
            <w:pPr>
              <w:autoSpaceDN w:val="0"/>
              <w:jc w:val="center"/>
              <w:rPr>
                <w:color w:val="auto"/>
                <w:szCs w:val="21"/>
                <w:highlight w:val="none"/>
              </w:rPr>
            </w:pPr>
            <w:r>
              <w:rPr>
                <w:color w:val="auto"/>
                <w:szCs w:val="21"/>
                <w:highlight w:val="none"/>
              </w:rPr>
              <w:t>200</w:t>
            </w:r>
          </w:p>
        </w:tc>
      </w:tr>
    </w:tbl>
    <w:p>
      <w:pPr>
        <w:tabs>
          <w:tab w:val="left" w:pos="1800"/>
        </w:tabs>
        <w:ind w:firstLine="420" w:firstLineChars="200"/>
        <w:rPr>
          <w:rFonts w:hint="eastAsia"/>
          <w:color w:val="auto"/>
          <w:szCs w:val="21"/>
          <w:highlight w:val="none"/>
        </w:rPr>
      </w:pPr>
      <w:r>
        <w:rPr>
          <w:rFonts w:hint="eastAsia"/>
          <w:color w:val="auto"/>
          <w:szCs w:val="21"/>
          <w:highlight w:val="none"/>
        </w:rPr>
        <w:t>备注：</w:t>
      </w:r>
      <w:bookmarkStart w:id="3" w:name="OLE_LINK21"/>
      <w:r>
        <w:rPr>
          <w:rFonts w:hint="eastAsia"/>
          <w:color w:val="auto"/>
          <w:szCs w:val="21"/>
          <w:highlight w:val="none"/>
        </w:rPr>
        <w:t>根据《福鼎市文渡金属表面处理集控中心新增酸洗废水处理及排放方式变更环境影响补充报告》（</w:t>
      </w:r>
      <w:r>
        <w:rPr>
          <w:color w:val="auto"/>
          <w:szCs w:val="21"/>
          <w:highlight w:val="none"/>
        </w:rPr>
        <w:t>2018.3</w:t>
      </w:r>
      <w:r>
        <w:rPr>
          <w:rFonts w:hint="eastAsia"/>
          <w:color w:val="auto"/>
          <w:szCs w:val="21"/>
          <w:highlight w:val="none"/>
        </w:rPr>
        <w:t>），集控中心一期工程污水站尾水氨氮、</w:t>
      </w:r>
      <w:r>
        <w:rPr>
          <w:color w:val="auto"/>
          <w:szCs w:val="21"/>
          <w:highlight w:val="none"/>
        </w:rPr>
        <w:t>COD</w:t>
      </w:r>
      <w:r>
        <w:rPr>
          <w:rFonts w:hint="eastAsia"/>
          <w:color w:val="auto"/>
          <w:szCs w:val="21"/>
          <w:highlight w:val="none"/>
        </w:rPr>
        <w:t>和总氮等常规定指标不能稳定达标，因此需要排入福鼎市文渡污水处理厂进行生化处理，则一期工程污水站尾水各指标达《电镀污水排放标准》（</w:t>
      </w:r>
      <w:r>
        <w:rPr>
          <w:color w:val="auto"/>
          <w:szCs w:val="21"/>
          <w:highlight w:val="none"/>
        </w:rPr>
        <w:t>GB21900-2008</w:t>
      </w:r>
      <w:r>
        <w:rPr>
          <w:rFonts w:hint="eastAsia"/>
          <w:color w:val="auto"/>
          <w:szCs w:val="21"/>
          <w:highlight w:val="none"/>
        </w:rPr>
        <w:t>）表</w:t>
      </w:r>
      <w:r>
        <w:rPr>
          <w:color w:val="auto"/>
          <w:szCs w:val="21"/>
          <w:highlight w:val="none"/>
        </w:rPr>
        <w:t>2</w:t>
      </w:r>
      <w:r>
        <w:rPr>
          <w:rFonts w:hint="eastAsia"/>
          <w:color w:val="auto"/>
          <w:szCs w:val="21"/>
          <w:highlight w:val="none"/>
        </w:rPr>
        <w:t>的相应要求（其中</w:t>
      </w:r>
      <w:r>
        <w:rPr>
          <w:color w:val="auto"/>
          <w:szCs w:val="21"/>
          <w:highlight w:val="none"/>
        </w:rPr>
        <w:t>COD</w:t>
      </w:r>
      <w:r>
        <w:rPr>
          <w:rFonts w:hint="eastAsia"/>
          <w:color w:val="auto"/>
          <w:szCs w:val="21"/>
          <w:highlight w:val="none"/>
        </w:rPr>
        <w:t>、氨氮达文渡污水厂进水水质要求，即氨氮</w:t>
      </w:r>
      <w:r>
        <w:rPr>
          <w:color w:val="auto"/>
          <w:szCs w:val="21"/>
          <w:highlight w:val="none"/>
        </w:rPr>
        <w:t>≤120mg/L</w:t>
      </w:r>
      <w:r>
        <w:rPr>
          <w:rFonts w:hint="eastAsia"/>
          <w:color w:val="auto"/>
          <w:szCs w:val="21"/>
          <w:highlight w:val="none"/>
        </w:rPr>
        <w:t>，</w:t>
      </w:r>
      <w:r>
        <w:rPr>
          <w:color w:val="auto"/>
          <w:szCs w:val="21"/>
          <w:highlight w:val="none"/>
        </w:rPr>
        <w:t>COD≤500mg/L</w:t>
      </w:r>
      <w:r>
        <w:rPr>
          <w:rFonts w:hint="eastAsia"/>
          <w:color w:val="auto"/>
          <w:szCs w:val="21"/>
          <w:highlight w:val="none"/>
        </w:rPr>
        <w:t>）</w:t>
      </w:r>
      <w:bookmarkEnd w:id="3"/>
      <w:r>
        <w:rPr>
          <w:rFonts w:hint="eastAsia"/>
          <w:color w:val="auto"/>
          <w:szCs w:val="21"/>
          <w:highlight w:val="none"/>
        </w:rPr>
        <w:t>。</w:t>
      </w:r>
    </w:p>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420" w:firstLineChars="0"/>
        <w:textAlignment w:val="auto"/>
        <w:rPr>
          <w:rFonts w:hint="default" w:eastAsia="宋体"/>
          <w:color w:val="auto"/>
          <w:lang w:val="en-US" w:eastAsia="zh-CN"/>
        </w:rPr>
      </w:pPr>
      <w:r>
        <w:rPr>
          <w:rFonts w:hint="eastAsia"/>
          <w:color w:val="auto"/>
          <w:lang w:eastAsia="zh-CN"/>
        </w:rPr>
        <w:t>根据</w:t>
      </w:r>
      <w:r>
        <w:rPr>
          <w:rFonts w:hint="eastAsia"/>
          <w:color w:val="auto"/>
          <w:szCs w:val="28"/>
        </w:rPr>
        <w:t>嘉园环保有限公司编制的《福鼎市文渡污水处理有限公司日处理8000 吨污水改扩建工程项目可行性研究报告（报批稿）》，文渡污水处理厂二期污水出水</w:t>
      </w:r>
      <w:r>
        <w:rPr>
          <w:rFonts w:hint="eastAsia"/>
          <w:color w:val="auto"/>
          <w:szCs w:val="28"/>
          <w:lang w:val="en-US" w:eastAsia="zh-CN"/>
        </w:rPr>
        <w:t xml:space="preserve"> </w:t>
      </w:r>
      <w:r>
        <w:rPr>
          <w:rFonts w:hint="eastAsia"/>
          <w:color w:val="auto"/>
          <w:szCs w:val="28"/>
        </w:rPr>
        <w:t>水质按《城镇污水处理厂污染物排放标准》（</w:t>
      </w:r>
      <w:r>
        <w:rPr>
          <w:color w:val="auto"/>
          <w:szCs w:val="28"/>
        </w:rPr>
        <w:t>GB18918</w:t>
      </w:r>
      <w:r>
        <w:rPr>
          <w:rFonts w:hint="eastAsia"/>
          <w:color w:val="auto"/>
          <w:szCs w:val="28"/>
        </w:rPr>
        <w:t>-</w:t>
      </w:r>
      <w:r>
        <w:rPr>
          <w:color w:val="auto"/>
          <w:szCs w:val="28"/>
        </w:rPr>
        <w:t>2002</w:t>
      </w:r>
      <w:r>
        <w:rPr>
          <w:rFonts w:hint="eastAsia"/>
          <w:color w:val="auto"/>
          <w:szCs w:val="28"/>
        </w:rPr>
        <w:t>）中的一级</w:t>
      </w:r>
      <w:r>
        <w:rPr>
          <w:color w:val="auto"/>
          <w:szCs w:val="28"/>
        </w:rPr>
        <w:t xml:space="preserve"> B </w:t>
      </w:r>
      <w:r>
        <w:rPr>
          <w:rFonts w:hint="eastAsia"/>
          <w:color w:val="auto"/>
          <w:szCs w:val="28"/>
        </w:rPr>
        <w:t>标准执行。</w:t>
      </w:r>
    </w:p>
    <w:p>
      <w:pPr>
        <w:spacing w:line="360" w:lineRule="auto"/>
        <w:ind w:firstLine="482" w:firstLineChars="200"/>
        <w:jc w:val="center"/>
        <w:rPr>
          <w:rFonts w:ascii="TimesNewRomanPSMT" w:hAnsi="TimesNewRomanPSMT" w:cs="TimesNewRomanPSMT"/>
          <w:b/>
          <w:color w:val="auto"/>
          <w:kern w:val="0"/>
          <w:sz w:val="24"/>
        </w:rPr>
      </w:pPr>
      <w:r>
        <w:rPr>
          <w:rFonts w:hint="eastAsia" w:ascii="宋体" w:cs="宋体"/>
          <w:b/>
          <w:color w:val="auto"/>
          <w:kern w:val="0"/>
          <w:sz w:val="24"/>
        </w:rPr>
        <w:t>表</w:t>
      </w:r>
      <w:r>
        <w:rPr>
          <w:rFonts w:hint="eastAsia" w:ascii="TimesNewRomanPSMT" w:hAnsi="TimesNewRomanPSMT" w:cs="TimesNewRomanPSMT"/>
          <w:b/>
          <w:color w:val="auto"/>
          <w:kern w:val="0"/>
          <w:sz w:val="24"/>
          <w:lang w:val="en-US" w:eastAsia="zh-CN"/>
        </w:rPr>
        <w:t>3.4-10</w:t>
      </w:r>
      <w:r>
        <w:rPr>
          <w:rFonts w:ascii="TimesNewRomanPSMT" w:hAnsi="TimesNewRomanPSMT" w:cs="TimesNewRomanPSMT"/>
          <w:b/>
          <w:color w:val="auto"/>
          <w:kern w:val="0"/>
          <w:sz w:val="24"/>
        </w:rPr>
        <w:t xml:space="preserve"> </w:t>
      </w:r>
      <w:r>
        <w:rPr>
          <w:rFonts w:hint="eastAsia" w:ascii="宋体" w:cs="宋体"/>
          <w:b/>
          <w:color w:val="auto"/>
          <w:kern w:val="0"/>
          <w:sz w:val="24"/>
        </w:rPr>
        <w:t>文渡污水处理厂工程设计进水水质</w:t>
      </w:r>
      <w:r>
        <w:rPr>
          <w:rFonts w:ascii="宋体" w:cs="宋体"/>
          <w:b/>
          <w:color w:val="auto"/>
          <w:kern w:val="0"/>
          <w:sz w:val="24"/>
        </w:rPr>
        <w:t xml:space="preserve"> </w:t>
      </w:r>
      <w:r>
        <w:rPr>
          <w:rFonts w:hint="eastAsia" w:ascii="宋体" w:cs="宋体"/>
          <w:b/>
          <w:color w:val="auto"/>
          <w:kern w:val="0"/>
          <w:sz w:val="24"/>
        </w:rPr>
        <w:t>单位：</w:t>
      </w:r>
      <w:r>
        <w:rPr>
          <w:rFonts w:ascii="TimesNewRomanPSMT" w:hAnsi="TimesNewRomanPSMT" w:cs="TimesNewRomanPSMT"/>
          <w:b/>
          <w:color w:val="auto"/>
          <w:kern w:val="0"/>
          <w:sz w:val="24"/>
        </w:rPr>
        <w:t xml:space="preserve">mg/L (pH </w:t>
      </w:r>
      <w:r>
        <w:rPr>
          <w:rFonts w:hint="eastAsia" w:ascii="宋体" w:cs="宋体"/>
          <w:b/>
          <w:color w:val="auto"/>
          <w:kern w:val="0"/>
          <w:sz w:val="24"/>
        </w:rPr>
        <w:t>除外</w:t>
      </w:r>
      <w:r>
        <w:rPr>
          <w:rFonts w:ascii="TimesNewRomanPSMT" w:hAnsi="TimesNewRomanPSMT" w:cs="TimesNewRomanPSMT"/>
          <w:b/>
          <w:color w:val="auto"/>
          <w:kern w:val="0"/>
          <w:sz w:val="24"/>
        </w:rPr>
        <w:t>)</w:t>
      </w:r>
    </w:p>
    <w:tbl>
      <w:tblPr>
        <w:tblStyle w:val="22"/>
        <w:tblW w:w="907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22"/>
        <w:gridCol w:w="1287"/>
        <w:gridCol w:w="1287"/>
        <w:gridCol w:w="1287"/>
        <w:gridCol w:w="1280"/>
        <w:gridCol w:w="1126"/>
        <w:gridCol w:w="9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822" w:type="dxa"/>
            <w:noWrap w:val="0"/>
            <w:vAlign w:val="center"/>
          </w:tcPr>
          <w:p>
            <w:pPr>
              <w:autoSpaceDE w:val="0"/>
              <w:autoSpaceDN w:val="0"/>
              <w:adjustRightInd w:val="0"/>
              <w:spacing w:line="240" w:lineRule="auto"/>
              <w:jc w:val="center"/>
              <w:rPr>
                <w:rFonts w:cs="Microsoft JhengHei"/>
                <w:color w:val="auto"/>
                <w:kern w:val="0"/>
                <w:sz w:val="21"/>
                <w:szCs w:val="21"/>
              </w:rPr>
            </w:pPr>
            <w:r>
              <w:rPr>
                <w:rFonts w:hint="eastAsia" w:cs="Microsoft JhengHei"/>
                <w:color w:val="auto"/>
                <w:kern w:val="0"/>
                <w:sz w:val="21"/>
                <w:szCs w:val="21"/>
              </w:rPr>
              <w:t>水质参数</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COD</w:t>
            </w:r>
            <w:r>
              <w:rPr>
                <w:rFonts w:cs="Microsoft JhengHei"/>
                <w:color w:val="auto"/>
                <w:kern w:val="0"/>
                <w:sz w:val="21"/>
                <w:szCs w:val="21"/>
                <w:vertAlign w:val="subscript"/>
              </w:rPr>
              <w:t>Cr</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BOD</w:t>
            </w:r>
            <w:r>
              <w:rPr>
                <w:rFonts w:cs="Microsoft JhengHei"/>
                <w:color w:val="auto"/>
                <w:kern w:val="0"/>
                <w:sz w:val="21"/>
                <w:szCs w:val="21"/>
                <w:vertAlign w:val="subscript"/>
              </w:rPr>
              <w:t>5</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SS</w:t>
            </w:r>
          </w:p>
        </w:tc>
        <w:tc>
          <w:tcPr>
            <w:tcW w:w="1280"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NH</w:t>
            </w:r>
            <w:r>
              <w:rPr>
                <w:rFonts w:cs="Microsoft JhengHei"/>
                <w:color w:val="auto"/>
                <w:kern w:val="0"/>
                <w:sz w:val="21"/>
                <w:szCs w:val="21"/>
                <w:vertAlign w:val="subscript"/>
              </w:rPr>
              <w:t>3</w:t>
            </w:r>
            <w:r>
              <w:rPr>
                <w:rFonts w:cs="Microsoft JhengHei"/>
                <w:color w:val="auto"/>
                <w:kern w:val="0"/>
                <w:sz w:val="21"/>
                <w:szCs w:val="21"/>
              </w:rPr>
              <w:t>-N</w:t>
            </w:r>
          </w:p>
        </w:tc>
        <w:tc>
          <w:tcPr>
            <w:tcW w:w="1126"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TN</w:t>
            </w:r>
          </w:p>
        </w:tc>
        <w:tc>
          <w:tcPr>
            <w:tcW w:w="981"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822" w:type="dxa"/>
            <w:noWrap w:val="0"/>
            <w:vAlign w:val="center"/>
          </w:tcPr>
          <w:p>
            <w:pPr>
              <w:autoSpaceDE w:val="0"/>
              <w:autoSpaceDN w:val="0"/>
              <w:adjustRightInd w:val="0"/>
              <w:spacing w:line="240" w:lineRule="auto"/>
              <w:jc w:val="center"/>
              <w:rPr>
                <w:rFonts w:cs="Microsoft JhengHei"/>
                <w:color w:val="auto"/>
                <w:kern w:val="0"/>
                <w:sz w:val="21"/>
                <w:szCs w:val="21"/>
              </w:rPr>
            </w:pPr>
            <w:r>
              <w:rPr>
                <w:rFonts w:hint="eastAsia" w:cs="Microsoft JhengHei"/>
                <w:color w:val="auto"/>
                <w:kern w:val="0"/>
                <w:sz w:val="21"/>
                <w:szCs w:val="21"/>
              </w:rPr>
              <w:t>设计值</w:t>
            </w:r>
            <w:r>
              <w:rPr>
                <w:rFonts w:cs="Microsoft JhengHei"/>
                <w:color w:val="auto"/>
                <w:kern w:val="0"/>
                <w:sz w:val="21"/>
                <w:szCs w:val="21"/>
              </w:rPr>
              <w:t>(mg/l)</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≤60</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≤20</w:t>
            </w:r>
          </w:p>
        </w:tc>
        <w:tc>
          <w:tcPr>
            <w:tcW w:w="1287"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≤20</w:t>
            </w:r>
          </w:p>
        </w:tc>
        <w:tc>
          <w:tcPr>
            <w:tcW w:w="1280"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≤15</w:t>
            </w:r>
          </w:p>
        </w:tc>
        <w:tc>
          <w:tcPr>
            <w:tcW w:w="1126"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≤20</w:t>
            </w:r>
          </w:p>
        </w:tc>
        <w:tc>
          <w:tcPr>
            <w:tcW w:w="981" w:type="dxa"/>
            <w:noWrap w:val="0"/>
            <w:vAlign w:val="center"/>
          </w:tcPr>
          <w:p>
            <w:pPr>
              <w:autoSpaceDE w:val="0"/>
              <w:autoSpaceDN w:val="0"/>
              <w:adjustRightInd w:val="0"/>
              <w:spacing w:line="240" w:lineRule="auto"/>
              <w:jc w:val="center"/>
              <w:rPr>
                <w:rFonts w:cs="Microsoft JhengHei"/>
                <w:color w:val="auto"/>
                <w:kern w:val="0"/>
                <w:sz w:val="21"/>
                <w:szCs w:val="21"/>
              </w:rPr>
            </w:pPr>
            <w:r>
              <w:rPr>
                <w:rFonts w:cs="Microsoft JhengHei"/>
                <w:color w:val="auto"/>
                <w:kern w:val="0"/>
                <w:sz w:val="21"/>
                <w:szCs w:val="21"/>
              </w:rPr>
              <w:t>≤1</w:t>
            </w:r>
          </w:p>
        </w:tc>
      </w:tr>
    </w:tbl>
    <w:p>
      <w:pPr>
        <w:pStyle w:val="2"/>
        <w:rPr>
          <w:color w:val="auto"/>
        </w:rPr>
      </w:pPr>
    </w:p>
    <w:p>
      <w:pPr>
        <w:adjustRightInd w:val="0"/>
        <w:snapToGrid w:val="0"/>
        <w:spacing w:before="156" w:beforeLines="50" w:line="360" w:lineRule="auto"/>
        <w:ind w:firstLine="420"/>
        <w:rPr>
          <w:color w:val="auto"/>
          <w:sz w:val="24"/>
        </w:rPr>
      </w:pPr>
      <w:r>
        <w:rPr>
          <w:rFonts w:hint="eastAsia"/>
          <w:color w:val="auto"/>
          <w:sz w:val="24"/>
        </w:rPr>
        <w:t>（</w:t>
      </w:r>
      <w:r>
        <w:rPr>
          <w:color w:val="auto"/>
          <w:sz w:val="24"/>
        </w:rPr>
        <w:t>2</w:t>
      </w:r>
      <w:r>
        <w:rPr>
          <w:rFonts w:hint="eastAsia"/>
          <w:color w:val="auto"/>
          <w:sz w:val="24"/>
        </w:rPr>
        <w:t>）大气污染物排放标准</w:t>
      </w:r>
    </w:p>
    <w:p>
      <w:pPr>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rPr>
        <w:t>有组织排放废气</w:t>
      </w:r>
    </w:p>
    <w:p>
      <w:pPr>
        <w:spacing w:line="360" w:lineRule="auto"/>
        <w:ind w:firstLine="480" w:firstLineChars="200"/>
        <w:rPr>
          <w:rFonts w:hint="eastAsia"/>
          <w:color w:val="auto"/>
          <w:sz w:val="24"/>
        </w:rPr>
      </w:pPr>
      <w:r>
        <w:rPr>
          <w:rFonts w:hint="eastAsia"/>
          <w:color w:val="auto"/>
          <w:sz w:val="24"/>
        </w:rPr>
        <w:t>硫酸雾、铬酸雾、氯化氢等排放执行《电镀污染物排放标准》（</w:t>
      </w:r>
      <w:r>
        <w:rPr>
          <w:color w:val="auto"/>
          <w:sz w:val="24"/>
        </w:rPr>
        <w:t>GB21900-2008</w:t>
      </w:r>
      <w:r>
        <w:rPr>
          <w:rFonts w:hint="eastAsia"/>
          <w:color w:val="auto"/>
          <w:sz w:val="24"/>
        </w:rPr>
        <w:t>）表</w:t>
      </w:r>
      <w:r>
        <w:rPr>
          <w:color w:val="auto"/>
          <w:sz w:val="24"/>
        </w:rPr>
        <w:t>5</w:t>
      </w:r>
      <w:r>
        <w:rPr>
          <w:rFonts w:hint="eastAsia"/>
          <w:color w:val="auto"/>
          <w:sz w:val="24"/>
        </w:rPr>
        <w:t>新建企业大气污染物排放限值见表3.4-1</w:t>
      </w:r>
      <w:r>
        <w:rPr>
          <w:rFonts w:hint="eastAsia"/>
          <w:color w:val="auto"/>
          <w:sz w:val="24"/>
          <w:lang w:val="en-US" w:eastAsia="zh-CN"/>
        </w:rPr>
        <w:t>1</w:t>
      </w:r>
      <w:r>
        <w:rPr>
          <w:rFonts w:hint="eastAsia"/>
          <w:color w:val="auto"/>
          <w:sz w:val="24"/>
        </w:rPr>
        <w:t>。</w:t>
      </w:r>
    </w:p>
    <w:p>
      <w:pPr>
        <w:pStyle w:val="27"/>
        <w:tabs>
          <w:tab w:val="left" w:pos="3825"/>
          <w:tab w:val="left" w:pos="4680"/>
        </w:tabs>
        <w:rPr>
          <w:color w:val="auto"/>
          <w:sz w:val="24"/>
        </w:rPr>
      </w:pPr>
      <w:r>
        <w:rPr>
          <w:rFonts w:hint="eastAsia"/>
          <w:color w:val="auto"/>
          <w:sz w:val="24"/>
        </w:rPr>
        <w:t>表3.4-10  电镀废气污染物排放标准</w:t>
      </w:r>
    </w:p>
    <w:tbl>
      <w:tblPr>
        <w:tblStyle w:val="22"/>
        <w:tblW w:w="928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43"/>
        <w:gridCol w:w="2217"/>
        <w:gridCol w:w="2882"/>
        <w:gridCol w:w="2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b/>
                <w:bCs/>
                <w:color w:val="auto"/>
                <w:szCs w:val="21"/>
              </w:rPr>
            </w:pPr>
            <w:r>
              <w:rPr>
                <w:rFonts w:hint="eastAsia"/>
                <w:b/>
                <w:bCs/>
                <w:color w:val="auto"/>
                <w:szCs w:val="21"/>
              </w:rPr>
              <w:t>序号</w:t>
            </w:r>
          </w:p>
        </w:tc>
        <w:tc>
          <w:tcPr>
            <w:tcW w:w="1343" w:type="dxa"/>
            <w:tcBorders>
              <w:tl2br w:val="nil"/>
              <w:tr2bl w:val="nil"/>
            </w:tcBorders>
            <w:vAlign w:val="center"/>
          </w:tcPr>
          <w:p>
            <w:pPr>
              <w:jc w:val="center"/>
              <w:rPr>
                <w:b/>
                <w:bCs/>
                <w:color w:val="auto"/>
                <w:szCs w:val="21"/>
              </w:rPr>
            </w:pPr>
            <w:r>
              <w:rPr>
                <w:rFonts w:hint="eastAsia"/>
                <w:b/>
                <w:bCs/>
                <w:color w:val="auto"/>
                <w:szCs w:val="21"/>
              </w:rPr>
              <w:t>污染物项目</w:t>
            </w:r>
          </w:p>
        </w:tc>
        <w:tc>
          <w:tcPr>
            <w:tcW w:w="2217" w:type="dxa"/>
            <w:tcBorders>
              <w:tl2br w:val="nil"/>
              <w:tr2bl w:val="nil"/>
            </w:tcBorders>
            <w:vAlign w:val="center"/>
          </w:tcPr>
          <w:p>
            <w:pPr>
              <w:jc w:val="center"/>
              <w:rPr>
                <w:b/>
                <w:bCs/>
                <w:color w:val="auto"/>
                <w:szCs w:val="21"/>
              </w:rPr>
            </w:pPr>
            <w:r>
              <w:rPr>
                <w:rFonts w:hint="eastAsia"/>
                <w:b/>
                <w:bCs/>
                <w:color w:val="auto"/>
                <w:szCs w:val="21"/>
              </w:rPr>
              <w:t>排放限值（</w:t>
            </w:r>
            <w:r>
              <w:rPr>
                <w:b/>
                <w:bCs/>
                <w:color w:val="auto"/>
                <w:szCs w:val="21"/>
              </w:rPr>
              <w:t>mg/m</w:t>
            </w:r>
            <w:r>
              <w:rPr>
                <w:b/>
                <w:bCs/>
                <w:color w:val="auto"/>
                <w:szCs w:val="21"/>
                <w:vertAlign w:val="superscript"/>
              </w:rPr>
              <w:t>3</w:t>
            </w:r>
            <w:r>
              <w:rPr>
                <w:rFonts w:hint="eastAsia"/>
                <w:b/>
                <w:bCs/>
                <w:color w:val="auto"/>
                <w:szCs w:val="21"/>
              </w:rPr>
              <w:t>）</w:t>
            </w:r>
          </w:p>
        </w:tc>
        <w:tc>
          <w:tcPr>
            <w:tcW w:w="2882" w:type="dxa"/>
            <w:tcBorders>
              <w:tl2br w:val="nil"/>
              <w:tr2bl w:val="nil"/>
            </w:tcBorders>
            <w:vAlign w:val="center"/>
          </w:tcPr>
          <w:p>
            <w:pPr>
              <w:jc w:val="center"/>
              <w:rPr>
                <w:b/>
                <w:bCs/>
                <w:color w:val="auto"/>
                <w:szCs w:val="21"/>
              </w:rPr>
            </w:pPr>
            <w:r>
              <w:rPr>
                <w:rFonts w:hint="eastAsia"/>
                <w:b/>
                <w:bCs/>
                <w:color w:val="auto"/>
                <w:szCs w:val="21"/>
              </w:rPr>
              <w:t>从严</w:t>
            </w:r>
            <w:r>
              <w:rPr>
                <w:b/>
                <w:bCs/>
                <w:color w:val="auto"/>
                <w:szCs w:val="21"/>
              </w:rPr>
              <w:t>50%</w:t>
            </w:r>
            <w:r>
              <w:rPr>
                <w:rFonts w:hint="eastAsia"/>
                <w:b/>
                <w:bCs/>
                <w:color w:val="auto"/>
                <w:szCs w:val="21"/>
              </w:rPr>
              <w:t>排放限值（</w:t>
            </w:r>
            <w:r>
              <w:rPr>
                <w:b/>
                <w:bCs/>
                <w:color w:val="auto"/>
                <w:szCs w:val="21"/>
              </w:rPr>
              <w:t>mg/m</w:t>
            </w:r>
            <w:r>
              <w:rPr>
                <w:b/>
                <w:bCs/>
                <w:color w:val="auto"/>
                <w:szCs w:val="21"/>
                <w:vertAlign w:val="superscript"/>
              </w:rPr>
              <w:t>3</w:t>
            </w:r>
            <w:r>
              <w:rPr>
                <w:rFonts w:hint="eastAsia"/>
                <w:b/>
                <w:bCs/>
                <w:color w:val="auto"/>
                <w:szCs w:val="21"/>
              </w:rPr>
              <w:t>）</w:t>
            </w:r>
          </w:p>
        </w:tc>
        <w:tc>
          <w:tcPr>
            <w:tcW w:w="2156" w:type="dxa"/>
            <w:tcBorders>
              <w:tl2br w:val="nil"/>
              <w:tr2bl w:val="nil"/>
            </w:tcBorders>
            <w:vAlign w:val="center"/>
          </w:tcPr>
          <w:p>
            <w:pPr>
              <w:jc w:val="center"/>
              <w:rPr>
                <w:b/>
                <w:bCs/>
                <w:color w:val="auto"/>
                <w:szCs w:val="21"/>
              </w:rPr>
            </w:pPr>
            <w:r>
              <w:rPr>
                <w:rFonts w:hint="eastAsia"/>
                <w:b/>
                <w:bCs/>
                <w:color w:val="auto"/>
                <w:szCs w:val="21"/>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87" w:type="dxa"/>
            <w:tcBorders>
              <w:tl2br w:val="nil"/>
              <w:tr2bl w:val="nil"/>
            </w:tcBorders>
            <w:vAlign w:val="center"/>
          </w:tcPr>
          <w:p>
            <w:pPr>
              <w:jc w:val="center"/>
              <w:rPr>
                <w:color w:val="auto"/>
                <w:szCs w:val="21"/>
              </w:rPr>
            </w:pPr>
            <w:r>
              <w:rPr>
                <w:rFonts w:hint="eastAsia"/>
                <w:color w:val="auto"/>
                <w:szCs w:val="21"/>
              </w:rPr>
              <w:t>1</w:t>
            </w:r>
          </w:p>
        </w:tc>
        <w:tc>
          <w:tcPr>
            <w:tcW w:w="1343" w:type="dxa"/>
            <w:tcBorders>
              <w:tl2br w:val="nil"/>
              <w:tr2bl w:val="nil"/>
            </w:tcBorders>
            <w:vAlign w:val="center"/>
          </w:tcPr>
          <w:p>
            <w:pPr>
              <w:jc w:val="center"/>
              <w:rPr>
                <w:color w:val="auto"/>
                <w:szCs w:val="21"/>
              </w:rPr>
            </w:pPr>
            <w:r>
              <w:rPr>
                <w:rFonts w:hint="eastAsia"/>
                <w:color w:val="auto"/>
                <w:szCs w:val="21"/>
              </w:rPr>
              <w:t>硫酸雾</w:t>
            </w:r>
          </w:p>
        </w:tc>
        <w:tc>
          <w:tcPr>
            <w:tcW w:w="2217" w:type="dxa"/>
            <w:tcBorders>
              <w:tl2br w:val="nil"/>
              <w:tr2bl w:val="nil"/>
            </w:tcBorders>
            <w:vAlign w:val="center"/>
          </w:tcPr>
          <w:p>
            <w:pPr>
              <w:jc w:val="center"/>
              <w:rPr>
                <w:color w:val="auto"/>
                <w:szCs w:val="21"/>
              </w:rPr>
            </w:pPr>
            <w:r>
              <w:rPr>
                <w:color w:val="auto"/>
                <w:szCs w:val="21"/>
              </w:rPr>
              <w:t>30</w:t>
            </w:r>
          </w:p>
        </w:tc>
        <w:tc>
          <w:tcPr>
            <w:tcW w:w="2882" w:type="dxa"/>
            <w:tcBorders>
              <w:tl2br w:val="nil"/>
              <w:tr2bl w:val="nil"/>
            </w:tcBorders>
            <w:vAlign w:val="center"/>
          </w:tcPr>
          <w:p>
            <w:pPr>
              <w:jc w:val="center"/>
              <w:rPr>
                <w:color w:val="auto"/>
                <w:szCs w:val="21"/>
              </w:rPr>
            </w:pPr>
            <w:r>
              <w:rPr>
                <w:color w:val="auto"/>
                <w:szCs w:val="21"/>
              </w:rPr>
              <w:t>15</w:t>
            </w:r>
          </w:p>
        </w:tc>
        <w:tc>
          <w:tcPr>
            <w:tcW w:w="2156" w:type="dxa"/>
            <w:vMerge w:val="restart"/>
            <w:tcBorders>
              <w:tl2br w:val="nil"/>
              <w:tr2bl w:val="nil"/>
            </w:tcBorders>
            <w:vAlign w:val="center"/>
          </w:tcPr>
          <w:p>
            <w:pPr>
              <w:widowControl/>
              <w:jc w:val="center"/>
              <w:rPr>
                <w:color w:val="auto"/>
                <w:szCs w:val="21"/>
              </w:rPr>
            </w:pPr>
            <w:r>
              <w:rPr>
                <w:rFonts w:hint="eastAsia"/>
                <w:color w:val="auto"/>
                <w:szCs w:val="21"/>
              </w:rPr>
              <w:t>车间或者生产设施排放口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2</w:t>
            </w:r>
          </w:p>
        </w:tc>
        <w:tc>
          <w:tcPr>
            <w:tcW w:w="1343" w:type="dxa"/>
            <w:tcBorders>
              <w:tl2br w:val="nil"/>
              <w:tr2bl w:val="nil"/>
            </w:tcBorders>
            <w:vAlign w:val="center"/>
          </w:tcPr>
          <w:p>
            <w:pPr>
              <w:jc w:val="center"/>
              <w:rPr>
                <w:color w:val="auto"/>
                <w:szCs w:val="21"/>
              </w:rPr>
            </w:pPr>
            <w:r>
              <w:rPr>
                <w:rFonts w:hint="eastAsia"/>
                <w:color w:val="auto"/>
                <w:szCs w:val="21"/>
              </w:rPr>
              <w:t>铬酸雾</w:t>
            </w:r>
          </w:p>
        </w:tc>
        <w:tc>
          <w:tcPr>
            <w:tcW w:w="2217" w:type="dxa"/>
            <w:tcBorders>
              <w:tl2br w:val="nil"/>
              <w:tr2bl w:val="nil"/>
            </w:tcBorders>
            <w:vAlign w:val="center"/>
          </w:tcPr>
          <w:p>
            <w:pPr>
              <w:jc w:val="center"/>
              <w:rPr>
                <w:color w:val="auto"/>
                <w:szCs w:val="21"/>
              </w:rPr>
            </w:pPr>
            <w:r>
              <w:rPr>
                <w:rFonts w:hint="eastAsia"/>
                <w:color w:val="auto"/>
                <w:szCs w:val="21"/>
              </w:rPr>
              <w:t>0.05</w:t>
            </w:r>
          </w:p>
        </w:tc>
        <w:tc>
          <w:tcPr>
            <w:tcW w:w="2882" w:type="dxa"/>
            <w:tcBorders>
              <w:tl2br w:val="nil"/>
              <w:tr2bl w:val="nil"/>
            </w:tcBorders>
            <w:vAlign w:val="center"/>
          </w:tcPr>
          <w:p>
            <w:pPr>
              <w:jc w:val="center"/>
              <w:rPr>
                <w:color w:val="auto"/>
                <w:szCs w:val="21"/>
              </w:rPr>
            </w:pPr>
            <w:r>
              <w:rPr>
                <w:rFonts w:hint="eastAsia"/>
                <w:color w:val="auto"/>
                <w:szCs w:val="21"/>
              </w:rPr>
              <w:t>0.025</w:t>
            </w:r>
          </w:p>
        </w:tc>
        <w:tc>
          <w:tcPr>
            <w:tcW w:w="2156"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3</w:t>
            </w:r>
          </w:p>
        </w:tc>
        <w:tc>
          <w:tcPr>
            <w:tcW w:w="1343" w:type="dxa"/>
            <w:tcBorders>
              <w:tl2br w:val="nil"/>
              <w:tr2bl w:val="nil"/>
            </w:tcBorders>
            <w:vAlign w:val="center"/>
          </w:tcPr>
          <w:p>
            <w:pPr>
              <w:jc w:val="center"/>
              <w:rPr>
                <w:color w:val="auto"/>
                <w:szCs w:val="21"/>
              </w:rPr>
            </w:pPr>
            <w:r>
              <w:rPr>
                <w:rFonts w:hint="eastAsia"/>
                <w:color w:val="auto"/>
                <w:szCs w:val="21"/>
              </w:rPr>
              <w:t>氯化氢</w:t>
            </w:r>
          </w:p>
        </w:tc>
        <w:tc>
          <w:tcPr>
            <w:tcW w:w="2217" w:type="dxa"/>
            <w:tcBorders>
              <w:tl2br w:val="nil"/>
              <w:tr2bl w:val="nil"/>
            </w:tcBorders>
            <w:vAlign w:val="center"/>
          </w:tcPr>
          <w:p>
            <w:pPr>
              <w:jc w:val="center"/>
              <w:rPr>
                <w:color w:val="auto"/>
                <w:szCs w:val="21"/>
              </w:rPr>
            </w:pPr>
            <w:r>
              <w:rPr>
                <w:rFonts w:hint="eastAsia"/>
                <w:color w:val="auto"/>
                <w:szCs w:val="21"/>
              </w:rPr>
              <w:t>30</w:t>
            </w:r>
          </w:p>
        </w:tc>
        <w:tc>
          <w:tcPr>
            <w:tcW w:w="2882" w:type="dxa"/>
            <w:tcBorders>
              <w:tl2br w:val="nil"/>
              <w:tr2bl w:val="nil"/>
            </w:tcBorders>
            <w:vAlign w:val="center"/>
          </w:tcPr>
          <w:p>
            <w:pPr>
              <w:jc w:val="center"/>
              <w:rPr>
                <w:color w:val="auto"/>
                <w:szCs w:val="21"/>
              </w:rPr>
            </w:pPr>
            <w:r>
              <w:rPr>
                <w:rFonts w:hint="eastAsia"/>
                <w:color w:val="auto"/>
                <w:szCs w:val="21"/>
              </w:rPr>
              <w:t>15</w:t>
            </w:r>
          </w:p>
        </w:tc>
        <w:tc>
          <w:tcPr>
            <w:tcW w:w="2156"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4</w:t>
            </w:r>
          </w:p>
        </w:tc>
        <w:tc>
          <w:tcPr>
            <w:tcW w:w="1343" w:type="dxa"/>
            <w:tcBorders>
              <w:tl2br w:val="nil"/>
              <w:tr2bl w:val="nil"/>
            </w:tcBorders>
            <w:vAlign w:val="center"/>
          </w:tcPr>
          <w:p>
            <w:pPr>
              <w:jc w:val="center"/>
              <w:rPr>
                <w:color w:val="auto"/>
                <w:szCs w:val="21"/>
              </w:rPr>
            </w:pPr>
            <w:r>
              <w:rPr>
                <w:rFonts w:hint="eastAsia"/>
                <w:color w:val="auto"/>
                <w:szCs w:val="21"/>
              </w:rPr>
              <w:t>氟化物</w:t>
            </w:r>
          </w:p>
        </w:tc>
        <w:tc>
          <w:tcPr>
            <w:tcW w:w="2217" w:type="dxa"/>
            <w:tcBorders>
              <w:tl2br w:val="nil"/>
              <w:tr2bl w:val="nil"/>
            </w:tcBorders>
            <w:vAlign w:val="center"/>
          </w:tcPr>
          <w:p>
            <w:pPr>
              <w:jc w:val="center"/>
              <w:rPr>
                <w:color w:val="auto"/>
                <w:szCs w:val="21"/>
              </w:rPr>
            </w:pPr>
            <w:r>
              <w:rPr>
                <w:rFonts w:hint="eastAsia"/>
                <w:color w:val="auto"/>
                <w:szCs w:val="21"/>
              </w:rPr>
              <w:t>7</w:t>
            </w:r>
          </w:p>
        </w:tc>
        <w:tc>
          <w:tcPr>
            <w:tcW w:w="2882" w:type="dxa"/>
            <w:tcBorders>
              <w:tl2br w:val="nil"/>
              <w:tr2bl w:val="nil"/>
            </w:tcBorders>
            <w:vAlign w:val="center"/>
          </w:tcPr>
          <w:p>
            <w:pPr>
              <w:jc w:val="center"/>
              <w:rPr>
                <w:color w:val="auto"/>
                <w:szCs w:val="21"/>
              </w:rPr>
            </w:pPr>
            <w:r>
              <w:rPr>
                <w:rFonts w:hint="eastAsia"/>
                <w:color w:val="auto"/>
                <w:szCs w:val="21"/>
              </w:rPr>
              <w:t>3.5</w:t>
            </w:r>
          </w:p>
        </w:tc>
        <w:tc>
          <w:tcPr>
            <w:tcW w:w="2156"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5</w:t>
            </w:r>
          </w:p>
        </w:tc>
        <w:tc>
          <w:tcPr>
            <w:tcW w:w="1343" w:type="dxa"/>
            <w:tcBorders>
              <w:tl2br w:val="nil"/>
              <w:tr2bl w:val="nil"/>
            </w:tcBorders>
            <w:vAlign w:val="center"/>
          </w:tcPr>
          <w:p>
            <w:pPr>
              <w:jc w:val="center"/>
              <w:rPr>
                <w:color w:val="auto"/>
                <w:szCs w:val="21"/>
              </w:rPr>
            </w:pPr>
            <w:r>
              <w:rPr>
                <w:rFonts w:hint="eastAsia"/>
                <w:color w:val="auto"/>
                <w:szCs w:val="21"/>
              </w:rPr>
              <w:t>氰化氢</w:t>
            </w:r>
          </w:p>
        </w:tc>
        <w:tc>
          <w:tcPr>
            <w:tcW w:w="2217" w:type="dxa"/>
            <w:tcBorders>
              <w:tl2br w:val="nil"/>
              <w:tr2bl w:val="nil"/>
            </w:tcBorders>
            <w:vAlign w:val="center"/>
          </w:tcPr>
          <w:p>
            <w:pPr>
              <w:jc w:val="center"/>
              <w:rPr>
                <w:color w:val="auto"/>
                <w:szCs w:val="21"/>
              </w:rPr>
            </w:pPr>
            <w:r>
              <w:rPr>
                <w:rFonts w:hint="eastAsia"/>
                <w:color w:val="auto"/>
                <w:szCs w:val="21"/>
              </w:rPr>
              <w:t>0.5</w:t>
            </w:r>
          </w:p>
        </w:tc>
        <w:tc>
          <w:tcPr>
            <w:tcW w:w="2882" w:type="dxa"/>
            <w:tcBorders>
              <w:tl2br w:val="nil"/>
              <w:tr2bl w:val="nil"/>
            </w:tcBorders>
            <w:vAlign w:val="center"/>
          </w:tcPr>
          <w:p>
            <w:pPr>
              <w:jc w:val="center"/>
              <w:rPr>
                <w:color w:val="auto"/>
                <w:szCs w:val="21"/>
              </w:rPr>
            </w:pPr>
            <w:r>
              <w:rPr>
                <w:rFonts w:hint="eastAsia"/>
                <w:color w:val="auto"/>
                <w:szCs w:val="21"/>
              </w:rPr>
              <w:t>0.25</w:t>
            </w:r>
          </w:p>
        </w:tc>
        <w:tc>
          <w:tcPr>
            <w:tcW w:w="2156" w:type="dxa"/>
            <w:vMerge w:val="continue"/>
            <w:tcBorders>
              <w:tl2br w:val="nil"/>
              <w:tr2bl w:val="nil"/>
            </w:tcBorders>
            <w:vAlign w:val="center"/>
          </w:tcPr>
          <w:p>
            <w:pPr>
              <w:widowControl/>
              <w:jc w:val="left"/>
              <w:rPr>
                <w:color w:val="auto"/>
                <w:szCs w:val="21"/>
              </w:rPr>
            </w:pPr>
          </w:p>
        </w:tc>
      </w:tr>
    </w:tbl>
    <w:p>
      <w:pPr>
        <w:tabs>
          <w:tab w:val="left" w:pos="1800"/>
        </w:tabs>
        <w:ind w:firstLine="420" w:firstLineChars="200"/>
        <w:rPr>
          <w:color w:val="auto"/>
          <w:szCs w:val="21"/>
        </w:rPr>
      </w:pPr>
      <w:r>
        <w:rPr>
          <w:rFonts w:hint="eastAsia"/>
          <w:color w:val="auto"/>
          <w:szCs w:val="21"/>
        </w:rPr>
        <w:t>备注：排气筒高度不低于15m，排放含氰化氢的排气筒高度不低于25m。排气筒高度应高出周围200m半径范围的建筑5m以上；不能达到该要求的排气筒，应按排放浓度限值的50%执行。项目设置的排气筒未高出周边200m半径范围的建筑5m以上，因此排放标准按50%执行。</w:t>
      </w:r>
    </w:p>
    <w:p>
      <w:pPr>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无组织排放</w:t>
      </w:r>
    </w:p>
    <w:p>
      <w:pPr>
        <w:spacing w:line="360" w:lineRule="auto"/>
        <w:ind w:firstLine="480" w:firstLineChars="200"/>
        <w:rPr>
          <w:color w:val="auto"/>
          <w:sz w:val="24"/>
        </w:rPr>
      </w:pPr>
      <w:r>
        <w:rPr>
          <w:rFonts w:hint="eastAsia"/>
          <w:color w:val="auto"/>
          <w:sz w:val="24"/>
        </w:rPr>
        <w:t>无组织排放的废气硫酸雾、铬酸雾、氯化氢、氰化氢、氟化物拟建项目的厂界浓度参照执行《大气污染物综合排放标准》（</w:t>
      </w:r>
      <w:r>
        <w:rPr>
          <w:color w:val="auto"/>
          <w:sz w:val="24"/>
        </w:rPr>
        <w:t>GB16297-1996</w:t>
      </w:r>
      <w:r>
        <w:rPr>
          <w:rFonts w:hint="eastAsia"/>
          <w:color w:val="auto"/>
          <w:sz w:val="24"/>
        </w:rPr>
        <w:t>）中表</w:t>
      </w:r>
      <w:r>
        <w:rPr>
          <w:color w:val="auto"/>
          <w:sz w:val="24"/>
        </w:rPr>
        <w:t>2</w:t>
      </w:r>
      <w:r>
        <w:rPr>
          <w:rFonts w:hint="eastAsia"/>
          <w:color w:val="auto"/>
          <w:sz w:val="24"/>
        </w:rPr>
        <w:t>标准，详见表3.4-12。</w:t>
      </w:r>
    </w:p>
    <w:p>
      <w:pPr>
        <w:pStyle w:val="27"/>
        <w:tabs>
          <w:tab w:val="left" w:pos="3825"/>
          <w:tab w:val="left" w:pos="4680"/>
        </w:tabs>
        <w:rPr>
          <w:color w:val="auto"/>
          <w:sz w:val="24"/>
        </w:rPr>
      </w:pPr>
      <w:r>
        <w:rPr>
          <w:rFonts w:hint="eastAsia"/>
          <w:color w:val="auto"/>
          <w:sz w:val="24"/>
        </w:rPr>
        <w:t xml:space="preserve">表3.4-12  《大气污染物综合排放标准》（GB16297-1996） </w:t>
      </w:r>
    </w:p>
    <w:tbl>
      <w:tblPr>
        <w:tblStyle w:val="23"/>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323"/>
        <w:gridCol w:w="1644"/>
        <w:gridCol w:w="3161"/>
        <w:gridCol w:w="3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tblHeader/>
        </w:trPr>
        <w:tc>
          <w:tcPr>
            <w:tcW w:w="1323" w:type="dxa"/>
            <w:vAlign w:val="top"/>
          </w:tcPr>
          <w:p>
            <w:pPr>
              <w:pStyle w:val="41"/>
              <w:rPr>
                <w:rFonts w:hAnsi="宋体"/>
                <w:b/>
                <w:bCs/>
                <w:color w:val="auto"/>
              </w:rPr>
            </w:pPr>
            <w:r>
              <w:rPr>
                <w:rFonts w:hint="eastAsia" w:hAnsi="宋体"/>
                <w:b/>
                <w:bCs/>
                <w:color w:val="auto"/>
              </w:rPr>
              <w:t>序号</w:t>
            </w:r>
          </w:p>
        </w:tc>
        <w:tc>
          <w:tcPr>
            <w:tcW w:w="1644" w:type="dxa"/>
            <w:vAlign w:val="top"/>
          </w:tcPr>
          <w:p>
            <w:pPr>
              <w:pStyle w:val="41"/>
              <w:rPr>
                <w:rFonts w:hAnsi="宋体"/>
                <w:b/>
                <w:bCs/>
                <w:color w:val="auto"/>
              </w:rPr>
            </w:pPr>
            <w:r>
              <w:rPr>
                <w:rFonts w:hint="eastAsia" w:hAnsi="宋体"/>
                <w:b/>
                <w:bCs/>
                <w:color w:val="auto"/>
              </w:rPr>
              <w:t>污染物项目</w:t>
            </w:r>
          </w:p>
        </w:tc>
        <w:tc>
          <w:tcPr>
            <w:tcW w:w="3161" w:type="dxa"/>
            <w:vAlign w:val="top"/>
          </w:tcPr>
          <w:p>
            <w:pPr>
              <w:pStyle w:val="41"/>
              <w:rPr>
                <w:rFonts w:hAnsi="宋体"/>
                <w:b/>
                <w:bCs/>
                <w:color w:val="auto"/>
              </w:rPr>
            </w:pPr>
            <w:r>
              <w:rPr>
                <w:rFonts w:hAnsi="宋体"/>
                <w:b/>
                <w:bCs/>
                <w:color w:val="auto"/>
              </w:rPr>
              <w:t>周界外浓度最高点（mg/m</w:t>
            </w:r>
            <w:r>
              <w:rPr>
                <w:rFonts w:hAnsi="宋体"/>
                <w:b/>
                <w:bCs/>
                <w:color w:val="auto"/>
                <w:vertAlign w:val="superscript"/>
              </w:rPr>
              <w:t>3</w:t>
            </w:r>
            <w:r>
              <w:rPr>
                <w:rFonts w:hAnsi="宋体"/>
                <w:b/>
                <w:bCs/>
                <w:color w:val="auto"/>
              </w:rPr>
              <w:t>）</w:t>
            </w:r>
          </w:p>
        </w:tc>
        <w:tc>
          <w:tcPr>
            <w:tcW w:w="3159" w:type="dxa"/>
            <w:vAlign w:val="top"/>
          </w:tcPr>
          <w:p>
            <w:pPr>
              <w:pStyle w:val="41"/>
              <w:rPr>
                <w:rFonts w:hAnsi="宋体"/>
                <w:b/>
                <w:bCs/>
                <w:color w:val="auto"/>
              </w:rPr>
            </w:pPr>
            <w:r>
              <w:rPr>
                <w:rFonts w:hint="eastAsia" w:hAnsi="宋体"/>
                <w:b/>
                <w:bCs/>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1</w:t>
            </w:r>
          </w:p>
        </w:tc>
        <w:tc>
          <w:tcPr>
            <w:tcW w:w="1644" w:type="dxa"/>
            <w:vAlign w:val="center"/>
          </w:tcPr>
          <w:p>
            <w:pPr>
              <w:pStyle w:val="41"/>
              <w:rPr>
                <w:rFonts w:hAnsi="宋体"/>
                <w:color w:val="auto"/>
              </w:rPr>
            </w:pPr>
            <w:r>
              <w:rPr>
                <w:rFonts w:hint="eastAsia" w:hAnsi="宋体"/>
                <w:color w:val="auto"/>
              </w:rPr>
              <w:t>铬酸雾</w:t>
            </w:r>
          </w:p>
        </w:tc>
        <w:tc>
          <w:tcPr>
            <w:tcW w:w="3161" w:type="dxa"/>
            <w:vAlign w:val="center"/>
          </w:tcPr>
          <w:p>
            <w:pPr>
              <w:pStyle w:val="41"/>
              <w:rPr>
                <w:rFonts w:hAnsi="宋体"/>
                <w:color w:val="auto"/>
              </w:rPr>
            </w:pPr>
            <w:r>
              <w:rPr>
                <w:rFonts w:hint="eastAsia" w:hAnsi="宋体"/>
                <w:color w:val="auto"/>
              </w:rPr>
              <w:t>0.006</w:t>
            </w:r>
          </w:p>
        </w:tc>
        <w:tc>
          <w:tcPr>
            <w:tcW w:w="3159" w:type="dxa"/>
            <w:vMerge w:val="restart"/>
            <w:vAlign w:val="center"/>
          </w:tcPr>
          <w:p>
            <w:pPr>
              <w:pStyle w:val="41"/>
              <w:rPr>
                <w:rFonts w:hAnsi="宋体"/>
                <w:color w:val="auto"/>
              </w:rPr>
            </w:pPr>
            <w:r>
              <w:rPr>
                <w:color w:val="auto"/>
              </w:rPr>
              <w:t>GB16297-1996《大气污染物综合排放标准》中表2标准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2</w:t>
            </w:r>
          </w:p>
        </w:tc>
        <w:tc>
          <w:tcPr>
            <w:tcW w:w="1644" w:type="dxa"/>
            <w:vAlign w:val="center"/>
          </w:tcPr>
          <w:p>
            <w:pPr>
              <w:pStyle w:val="41"/>
              <w:rPr>
                <w:rFonts w:hAnsi="宋体"/>
                <w:color w:val="auto"/>
              </w:rPr>
            </w:pPr>
            <w:r>
              <w:rPr>
                <w:rFonts w:hint="eastAsia" w:hAnsi="宋体"/>
                <w:color w:val="auto"/>
              </w:rPr>
              <w:t>硫酸雾</w:t>
            </w:r>
          </w:p>
        </w:tc>
        <w:tc>
          <w:tcPr>
            <w:tcW w:w="3161" w:type="dxa"/>
            <w:vAlign w:val="center"/>
          </w:tcPr>
          <w:p>
            <w:pPr>
              <w:pStyle w:val="41"/>
              <w:rPr>
                <w:rFonts w:hAnsi="宋体"/>
                <w:color w:val="auto"/>
              </w:rPr>
            </w:pPr>
            <w:r>
              <w:rPr>
                <w:rFonts w:hint="eastAsia" w:hAnsi="宋体"/>
                <w:color w:val="auto"/>
              </w:rPr>
              <w:t>1.2</w:t>
            </w:r>
          </w:p>
        </w:tc>
        <w:tc>
          <w:tcPr>
            <w:tcW w:w="3159" w:type="dxa"/>
            <w:vMerge w:val="continue"/>
            <w:vAlign w:val="center"/>
          </w:tcPr>
          <w:p>
            <w:pPr>
              <w:pStyle w:val="41"/>
              <w:rPr>
                <w:rFonts w:hAnsi="宋体"/>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3</w:t>
            </w:r>
          </w:p>
        </w:tc>
        <w:tc>
          <w:tcPr>
            <w:tcW w:w="1644" w:type="dxa"/>
            <w:vAlign w:val="center"/>
          </w:tcPr>
          <w:p>
            <w:pPr>
              <w:pStyle w:val="41"/>
              <w:rPr>
                <w:rFonts w:hAnsi="宋体"/>
                <w:color w:val="auto"/>
              </w:rPr>
            </w:pPr>
            <w:r>
              <w:rPr>
                <w:rFonts w:hint="eastAsia" w:hAnsi="宋体"/>
                <w:color w:val="auto"/>
              </w:rPr>
              <w:t>氯化氢</w:t>
            </w:r>
          </w:p>
        </w:tc>
        <w:tc>
          <w:tcPr>
            <w:tcW w:w="3161" w:type="dxa"/>
            <w:vAlign w:val="center"/>
          </w:tcPr>
          <w:p>
            <w:pPr>
              <w:pStyle w:val="41"/>
              <w:rPr>
                <w:rFonts w:hAnsi="宋体"/>
                <w:color w:val="auto"/>
              </w:rPr>
            </w:pPr>
            <w:r>
              <w:rPr>
                <w:rFonts w:hint="eastAsia" w:hAnsi="宋体"/>
                <w:color w:val="auto"/>
              </w:rPr>
              <w:t>0.2</w:t>
            </w:r>
          </w:p>
        </w:tc>
        <w:tc>
          <w:tcPr>
            <w:tcW w:w="3159" w:type="dxa"/>
            <w:vMerge w:val="continue"/>
            <w:vAlign w:val="center"/>
          </w:tcPr>
          <w:p>
            <w:pPr>
              <w:pStyle w:val="41"/>
              <w:rPr>
                <w:rFonts w:hAnsi="宋体"/>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4</w:t>
            </w:r>
          </w:p>
        </w:tc>
        <w:tc>
          <w:tcPr>
            <w:tcW w:w="1644" w:type="dxa"/>
            <w:vAlign w:val="center"/>
          </w:tcPr>
          <w:p>
            <w:pPr>
              <w:pStyle w:val="41"/>
              <w:rPr>
                <w:rFonts w:hAnsi="宋体"/>
                <w:color w:val="auto"/>
              </w:rPr>
            </w:pPr>
            <w:r>
              <w:rPr>
                <w:rFonts w:hint="eastAsia" w:hAnsi="宋体"/>
                <w:color w:val="auto"/>
              </w:rPr>
              <w:t>氰化氢</w:t>
            </w:r>
          </w:p>
        </w:tc>
        <w:tc>
          <w:tcPr>
            <w:tcW w:w="3161" w:type="dxa"/>
            <w:vAlign w:val="center"/>
          </w:tcPr>
          <w:p>
            <w:pPr>
              <w:pStyle w:val="41"/>
              <w:rPr>
                <w:rFonts w:hAnsi="宋体"/>
                <w:color w:val="auto"/>
              </w:rPr>
            </w:pPr>
            <w:r>
              <w:rPr>
                <w:rFonts w:hint="eastAsia" w:hAnsi="宋体"/>
                <w:color w:val="auto"/>
              </w:rPr>
              <w:t>0.024</w:t>
            </w:r>
          </w:p>
        </w:tc>
        <w:tc>
          <w:tcPr>
            <w:tcW w:w="3159" w:type="dxa"/>
            <w:vMerge w:val="continue"/>
            <w:vAlign w:val="center"/>
          </w:tcPr>
          <w:p>
            <w:pPr>
              <w:pStyle w:val="41"/>
              <w:rPr>
                <w:rFonts w:hAnsi="宋体"/>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5</w:t>
            </w:r>
          </w:p>
        </w:tc>
        <w:tc>
          <w:tcPr>
            <w:tcW w:w="1644" w:type="dxa"/>
            <w:vAlign w:val="center"/>
          </w:tcPr>
          <w:p>
            <w:pPr>
              <w:pStyle w:val="41"/>
              <w:rPr>
                <w:rFonts w:hAnsi="宋体"/>
                <w:color w:val="auto"/>
              </w:rPr>
            </w:pPr>
            <w:r>
              <w:rPr>
                <w:rFonts w:hint="eastAsia" w:hAnsi="宋体"/>
                <w:color w:val="auto"/>
              </w:rPr>
              <w:t>氟化物</w:t>
            </w:r>
          </w:p>
        </w:tc>
        <w:tc>
          <w:tcPr>
            <w:tcW w:w="3161" w:type="dxa"/>
            <w:vAlign w:val="center"/>
          </w:tcPr>
          <w:p>
            <w:pPr>
              <w:pStyle w:val="41"/>
              <w:rPr>
                <w:rFonts w:hAnsi="宋体"/>
                <w:color w:val="auto"/>
              </w:rPr>
            </w:pPr>
            <w:r>
              <w:rPr>
                <w:rFonts w:hint="eastAsia" w:hAnsi="宋体"/>
                <w:color w:val="auto"/>
              </w:rPr>
              <w:t>0.02</w:t>
            </w:r>
          </w:p>
        </w:tc>
        <w:tc>
          <w:tcPr>
            <w:tcW w:w="3159" w:type="dxa"/>
            <w:vMerge w:val="continue"/>
            <w:vAlign w:val="center"/>
          </w:tcPr>
          <w:p>
            <w:pPr>
              <w:pStyle w:val="41"/>
              <w:rPr>
                <w:rFonts w:hAnsi="宋体"/>
                <w:color w:val="auto"/>
              </w:rPr>
            </w:pPr>
          </w:p>
        </w:tc>
      </w:tr>
    </w:tbl>
    <w:p>
      <w:pPr>
        <w:adjustRightInd w:val="0"/>
        <w:snapToGrid w:val="0"/>
        <w:spacing w:before="156" w:beforeLines="50" w:line="360" w:lineRule="auto"/>
        <w:ind w:firstLine="360" w:firstLineChars="150"/>
        <w:rPr>
          <w:color w:val="auto"/>
          <w:sz w:val="24"/>
        </w:rPr>
      </w:pPr>
      <w:r>
        <w:rPr>
          <w:rFonts w:hint="eastAsia"/>
          <w:color w:val="auto"/>
          <w:sz w:val="24"/>
        </w:rPr>
        <w:t>（</w:t>
      </w:r>
      <w:r>
        <w:rPr>
          <w:color w:val="auto"/>
          <w:sz w:val="24"/>
        </w:rPr>
        <w:t>3</w:t>
      </w:r>
      <w:r>
        <w:rPr>
          <w:rFonts w:hint="eastAsia"/>
          <w:color w:val="auto"/>
          <w:sz w:val="24"/>
        </w:rPr>
        <w:t>）噪声排放标准</w:t>
      </w:r>
    </w:p>
    <w:p>
      <w:pPr>
        <w:pStyle w:val="42"/>
        <w:adjustRightInd w:val="0"/>
        <w:snapToGrid w:val="0"/>
        <w:rPr>
          <w:b/>
          <w:color w:val="auto"/>
          <w:lang w:eastAsia="zh-CN"/>
        </w:rPr>
      </w:pPr>
      <w:r>
        <w:rPr>
          <w:rFonts w:hint="eastAsia" w:hAnsi="Times New Roman"/>
          <w:color w:val="auto"/>
          <w:lang w:eastAsia="zh-CN"/>
        </w:rPr>
        <w:t>施工期建筑施工场界噪声执行</w:t>
      </w:r>
      <w:r>
        <w:rPr>
          <w:rFonts w:hint="eastAsia" w:hAnsi="Times New Roman"/>
          <w:color w:val="auto"/>
          <w:szCs w:val="28"/>
          <w:lang w:eastAsia="zh-CN"/>
        </w:rPr>
        <w:t>《建筑施工场界环境噪声排放标准》（</w:t>
      </w:r>
      <w:r>
        <w:rPr>
          <w:rFonts w:hAnsi="Times New Roman"/>
          <w:color w:val="auto"/>
          <w:szCs w:val="28"/>
          <w:lang w:eastAsia="zh-CN"/>
        </w:rPr>
        <w:t>GB 12523</w:t>
      </w:r>
      <w:r>
        <w:rPr>
          <w:rFonts w:hint="eastAsia" w:hAnsi="Times New Roman"/>
          <w:color w:val="auto"/>
          <w:szCs w:val="28"/>
          <w:lang w:eastAsia="zh-CN"/>
        </w:rPr>
        <w:t>－</w:t>
      </w:r>
      <w:r>
        <w:rPr>
          <w:rFonts w:hAnsi="Times New Roman"/>
          <w:color w:val="auto"/>
          <w:szCs w:val="28"/>
          <w:lang w:eastAsia="zh-CN"/>
        </w:rPr>
        <w:t>2011</w:t>
      </w:r>
      <w:r>
        <w:rPr>
          <w:rFonts w:hint="eastAsia" w:hAnsi="Times New Roman"/>
          <w:color w:val="auto"/>
          <w:szCs w:val="28"/>
          <w:lang w:eastAsia="zh-CN"/>
        </w:rPr>
        <w:t>）中表</w:t>
      </w:r>
      <w:r>
        <w:rPr>
          <w:rFonts w:hAnsi="Times New Roman"/>
          <w:color w:val="auto"/>
          <w:szCs w:val="28"/>
          <w:lang w:eastAsia="zh-CN"/>
        </w:rPr>
        <w:t>1</w:t>
      </w:r>
      <w:r>
        <w:rPr>
          <w:rFonts w:hint="eastAsia" w:hAnsi="Times New Roman"/>
          <w:color w:val="auto"/>
          <w:szCs w:val="28"/>
          <w:lang w:eastAsia="zh-CN"/>
        </w:rPr>
        <w:t>规定的排放限值，见表</w:t>
      </w:r>
      <w:r>
        <w:rPr>
          <w:rFonts w:hAnsi="Times New Roman"/>
          <w:color w:val="auto"/>
          <w:szCs w:val="28"/>
          <w:lang w:eastAsia="zh-CN"/>
        </w:rPr>
        <w:t>3.</w:t>
      </w:r>
      <w:r>
        <w:rPr>
          <w:rFonts w:hint="eastAsia" w:hAnsi="Times New Roman"/>
          <w:color w:val="auto"/>
          <w:szCs w:val="28"/>
          <w:lang w:eastAsia="zh-CN"/>
        </w:rPr>
        <w:t>4</w:t>
      </w:r>
      <w:r>
        <w:rPr>
          <w:rFonts w:hAnsi="Times New Roman"/>
          <w:color w:val="auto"/>
          <w:szCs w:val="28"/>
          <w:lang w:eastAsia="zh-CN"/>
        </w:rPr>
        <w:t>-</w:t>
      </w:r>
      <w:r>
        <w:rPr>
          <w:rFonts w:hint="eastAsia" w:hAnsi="Times New Roman"/>
          <w:color w:val="auto"/>
          <w:szCs w:val="28"/>
          <w:lang w:eastAsia="zh-CN"/>
        </w:rPr>
        <w:t>13。</w:t>
      </w:r>
    </w:p>
    <w:p>
      <w:pPr>
        <w:adjustRightInd w:val="0"/>
        <w:snapToGrid w:val="0"/>
        <w:ind w:firstLine="482"/>
        <w:jc w:val="center"/>
        <w:rPr>
          <w:b/>
          <w:color w:val="auto"/>
          <w:sz w:val="24"/>
        </w:rPr>
      </w:pPr>
      <w:r>
        <w:rPr>
          <w:rFonts w:hint="eastAsia"/>
          <w:b/>
          <w:color w:val="auto"/>
          <w:sz w:val="24"/>
        </w:rPr>
        <w:t>表</w:t>
      </w:r>
      <w:r>
        <w:rPr>
          <w:b/>
          <w:color w:val="auto"/>
          <w:sz w:val="24"/>
        </w:rPr>
        <w:t>3.</w:t>
      </w:r>
      <w:r>
        <w:rPr>
          <w:rFonts w:hint="eastAsia"/>
          <w:b/>
          <w:color w:val="auto"/>
          <w:sz w:val="24"/>
        </w:rPr>
        <w:t>4</w:t>
      </w:r>
      <w:r>
        <w:rPr>
          <w:b/>
          <w:color w:val="auto"/>
          <w:sz w:val="24"/>
        </w:rPr>
        <w:t>-</w:t>
      </w:r>
      <w:r>
        <w:rPr>
          <w:rFonts w:hint="eastAsia"/>
          <w:b/>
          <w:color w:val="auto"/>
          <w:sz w:val="24"/>
        </w:rPr>
        <w:t>13 建筑施工场界环境噪声排放限值单位：</w:t>
      </w:r>
      <w:r>
        <w:rPr>
          <w:b/>
          <w:bCs/>
          <w:color w:val="auto"/>
          <w:sz w:val="24"/>
        </w:rPr>
        <w:t>dB</w:t>
      </w:r>
      <w:r>
        <w:rPr>
          <w:rFonts w:hint="eastAsia"/>
          <w:b/>
          <w:bCs/>
          <w:color w:val="auto"/>
          <w:sz w:val="24"/>
        </w:rPr>
        <w:t>(</w:t>
      </w:r>
      <w:r>
        <w:rPr>
          <w:b/>
          <w:bCs/>
          <w:color w:val="auto"/>
          <w:sz w:val="24"/>
        </w:rPr>
        <w:t>A</w:t>
      </w:r>
      <w:r>
        <w:rPr>
          <w:rFonts w:hint="eastAsia"/>
          <w:b/>
          <w:bCs/>
          <w:color w:val="auto"/>
          <w:sz w:val="24"/>
        </w:rPr>
        <w:t>)</w:t>
      </w:r>
    </w:p>
    <w:tbl>
      <w:tblPr>
        <w:tblStyle w:val="22"/>
        <w:tblW w:w="9286" w:type="dxa"/>
        <w:tblInd w:w="0" w:type="dxa"/>
        <w:tblBorders>
          <w:top w:val="single" w:color="auto" w:sz="12" w:space="0"/>
          <w:left w:val="single" w:color="000000" w:sz="2"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2"/>
      </w:tblGrid>
      <w:tr>
        <w:tblPrEx>
          <w:tblBorders>
            <w:top w:val="single" w:color="auto" w:sz="12" w:space="0"/>
            <w:left w:val="single" w:color="000000" w:sz="2"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4" w:type="dxa"/>
            <w:tcBorders>
              <w:top w:val="single" w:color="auto" w:sz="12" w:space="0"/>
              <w:left w:val="nil"/>
            </w:tcBorders>
            <w:vAlign w:val="center"/>
          </w:tcPr>
          <w:p>
            <w:pPr>
              <w:pStyle w:val="21"/>
              <w:adjustRightInd w:val="0"/>
              <w:snapToGrid w:val="0"/>
              <w:ind w:firstLine="0" w:firstLineChars="0"/>
              <w:jc w:val="center"/>
              <w:rPr>
                <w:b/>
                <w:bCs w:val="0"/>
                <w:color w:val="auto"/>
                <w:szCs w:val="21"/>
              </w:rPr>
            </w:pPr>
            <w:r>
              <w:rPr>
                <w:rFonts w:hint="eastAsia"/>
                <w:b/>
                <w:bCs w:val="0"/>
                <w:color w:val="auto"/>
                <w:szCs w:val="21"/>
              </w:rPr>
              <w:t>昼间</w:t>
            </w:r>
          </w:p>
        </w:tc>
        <w:tc>
          <w:tcPr>
            <w:tcW w:w="4642" w:type="dxa"/>
            <w:tcBorders>
              <w:top w:val="single" w:color="auto" w:sz="12" w:space="0"/>
            </w:tcBorders>
            <w:vAlign w:val="center"/>
          </w:tcPr>
          <w:p>
            <w:pPr>
              <w:pStyle w:val="21"/>
              <w:adjustRightInd w:val="0"/>
              <w:snapToGrid w:val="0"/>
              <w:ind w:firstLine="0" w:firstLineChars="0"/>
              <w:jc w:val="center"/>
              <w:rPr>
                <w:b/>
                <w:bCs w:val="0"/>
                <w:color w:val="auto"/>
                <w:szCs w:val="21"/>
              </w:rPr>
            </w:pPr>
            <w:r>
              <w:rPr>
                <w:rFonts w:hint="eastAsia"/>
                <w:b/>
                <w:bCs w:val="0"/>
                <w:color w:val="auto"/>
                <w:szCs w:val="21"/>
              </w:rPr>
              <w:t>夜间</w:t>
            </w:r>
          </w:p>
        </w:tc>
      </w:tr>
      <w:tr>
        <w:tblPrEx>
          <w:tblBorders>
            <w:top w:val="single" w:color="auto" w:sz="12" w:space="0"/>
            <w:left w:val="single" w:color="000000" w:sz="2"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4" w:type="dxa"/>
            <w:tcBorders>
              <w:left w:val="nil"/>
              <w:bottom w:val="single" w:color="auto" w:sz="12" w:space="0"/>
            </w:tcBorders>
            <w:vAlign w:val="center"/>
          </w:tcPr>
          <w:p>
            <w:pPr>
              <w:pStyle w:val="21"/>
              <w:adjustRightInd w:val="0"/>
              <w:snapToGrid w:val="0"/>
              <w:ind w:firstLine="0" w:firstLineChars="0"/>
              <w:jc w:val="center"/>
              <w:rPr>
                <w:color w:val="auto"/>
                <w:szCs w:val="21"/>
              </w:rPr>
            </w:pPr>
            <w:r>
              <w:rPr>
                <w:color w:val="auto"/>
                <w:szCs w:val="21"/>
              </w:rPr>
              <w:t>70</w:t>
            </w:r>
          </w:p>
        </w:tc>
        <w:tc>
          <w:tcPr>
            <w:tcW w:w="4642" w:type="dxa"/>
            <w:tcBorders>
              <w:bottom w:val="single" w:color="auto" w:sz="12" w:space="0"/>
            </w:tcBorders>
            <w:vAlign w:val="center"/>
          </w:tcPr>
          <w:p>
            <w:pPr>
              <w:pStyle w:val="21"/>
              <w:adjustRightInd w:val="0"/>
              <w:snapToGrid w:val="0"/>
              <w:ind w:firstLine="0" w:firstLineChars="0"/>
              <w:jc w:val="center"/>
              <w:rPr>
                <w:color w:val="auto"/>
                <w:szCs w:val="21"/>
              </w:rPr>
            </w:pPr>
            <w:r>
              <w:rPr>
                <w:color w:val="auto"/>
                <w:szCs w:val="21"/>
              </w:rPr>
              <w:t>55</w:t>
            </w:r>
          </w:p>
        </w:tc>
      </w:tr>
    </w:tbl>
    <w:p>
      <w:pPr>
        <w:adjustRightInd w:val="0"/>
        <w:snapToGrid w:val="0"/>
        <w:spacing w:line="360" w:lineRule="auto"/>
        <w:rPr>
          <w:bCs/>
          <w:color w:val="auto"/>
          <w:sz w:val="24"/>
        </w:rPr>
      </w:pPr>
      <w:r>
        <w:rPr>
          <w:bCs/>
          <w:color w:val="auto"/>
          <w:szCs w:val="21"/>
        </w:rPr>
        <w:t>备注：夜间噪声最大声级超过限制的幅度不得高于15dB</w:t>
      </w:r>
    </w:p>
    <w:p>
      <w:pPr>
        <w:adjustRightInd w:val="0"/>
        <w:snapToGrid w:val="0"/>
        <w:spacing w:line="360" w:lineRule="auto"/>
        <w:ind w:firstLine="480" w:firstLineChars="200"/>
        <w:rPr>
          <w:rFonts w:hint="eastAsia"/>
          <w:color w:val="auto"/>
          <w:sz w:val="24"/>
        </w:rPr>
      </w:pPr>
      <w:r>
        <w:rPr>
          <w:rFonts w:hint="eastAsia"/>
          <w:color w:val="auto"/>
          <w:sz w:val="24"/>
        </w:rPr>
        <w:t>运营期噪声执行《工业企业厂界环境噪声排放标准》（</w:t>
      </w:r>
      <w:r>
        <w:rPr>
          <w:color w:val="auto"/>
          <w:sz w:val="24"/>
        </w:rPr>
        <w:t>GB12348-2008</w:t>
      </w:r>
      <w:r>
        <w:rPr>
          <w:rFonts w:hint="eastAsia"/>
          <w:color w:val="auto"/>
          <w:sz w:val="24"/>
        </w:rPr>
        <w:t>）表</w:t>
      </w:r>
      <w:r>
        <w:rPr>
          <w:color w:val="auto"/>
          <w:sz w:val="24"/>
        </w:rPr>
        <w:t>1</w:t>
      </w:r>
      <w:r>
        <w:rPr>
          <w:rFonts w:hint="eastAsia"/>
          <w:color w:val="auto"/>
          <w:sz w:val="24"/>
        </w:rPr>
        <w:t>中</w:t>
      </w:r>
      <w:r>
        <w:rPr>
          <w:color w:val="auto"/>
          <w:sz w:val="24"/>
        </w:rPr>
        <w:t>3</w:t>
      </w:r>
      <w:r>
        <w:rPr>
          <w:rFonts w:hint="eastAsia"/>
          <w:color w:val="auto"/>
          <w:sz w:val="24"/>
        </w:rPr>
        <w:t>类区标准，见表</w:t>
      </w:r>
      <w:r>
        <w:rPr>
          <w:color w:val="auto"/>
          <w:sz w:val="24"/>
        </w:rPr>
        <w:t>3.</w:t>
      </w:r>
      <w:r>
        <w:rPr>
          <w:rFonts w:hint="eastAsia"/>
          <w:color w:val="auto"/>
          <w:sz w:val="24"/>
        </w:rPr>
        <w:t>4</w:t>
      </w:r>
      <w:r>
        <w:rPr>
          <w:color w:val="auto"/>
          <w:sz w:val="24"/>
        </w:rPr>
        <w:t>-</w:t>
      </w:r>
      <w:r>
        <w:rPr>
          <w:rFonts w:hint="eastAsia"/>
          <w:color w:val="auto"/>
          <w:sz w:val="24"/>
        </w:rPr>
        <w:t>14。</w:t>
      </w:r>
    </w:p>
    <w:p>
      <w:pPr>
        <w:pStyle w:val="2"/>
        <w:rPr>
          <w:color w:val="auto"/>
        </w:rPr>
      </w:pPr>
    </w:p>
    <w:p>
      <w:pPr>
        <w:pStyle w:val="27"/>
        <w:adjustRightInd w:val="0"/>
        <w:snapToGrid w:val="0"/>
        <w:ind w:firstLine="480"/>
        <w:rPr>
          <w:snapToGrid w:val="0"/>
          <w:color w:val="auto"/>
          <w:sz w:val="24"/>
        </w:rPr>
      </w:pPr>
      <w:r>
        <w:rPr>
          <w:rFonts w:hint="eastAsia"/>
          <w:color w:val="auto"/>
          <w:sz w:val="24"/>
        </w:rPr>
        <w:t>表</w:t>
      </w:r>
      <w:r>
        <w:rPr>
          <w:color w:val="auto"/>
          <w:sz w:val="24"/>
        </w:rPr>
        <w:t>3.</w:t>
      </w:r>
      <w:r>
        <w:rPr>
          <w:rFonts w:hint="eastAsia"/>
          <w:color w:val="auto"/>
          <w:sz w:val="24"/>
        </w:rPr>
        <w:t>4</w:t>
      </w:r>
      <w:r>
        <w:rPr>
          <w:color w:val="auto"/>
          <w:sz w:val="24"/>
        </w:rPr>
        <w:t>-</w:t>
      </w:r>
      <w:r>
        <w:rPr>
          <w:rFonts w:hint="eastAsia"/>
          <w:color w:val="auto"/>
          <w:sz w:val="24"/>
        </w:rPr>
        <w:t>14 工业企业厂界环境噪声排放标准</w:t>
      </w:r>
      <w:r>
        <w:rPr>
          <w:rFonts w:hint="eastAsia"/>
          <w:snapToGrid w:val="0"/>
          <w:color w:val="auto"/>
          <w:sz w:val="24"/>
        </w:rPr>
        <w:t>（摘录）单位</w:t>
      </w:r>
      <w:r>
        <w:rPr>
          <w:rFonts w:hint="eastAsia"/>
          <w:color w:val="auto"/>
          <w:sz w:val="24"/>
        </w:rPr>
        <w:t>：</w:t>
      </w:r>
      <w:r>
        <w:rPr>
          <w:snapToGrid w:val="0"/>
          <w:color w:val="auto"/>
          <w:sz w:val="24"/>
        </w:rPr>
        <w:t>dB(A)</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94"/>
        <w:gridCol w:w="3096"/>
        <w:gridCol w:w="30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094" w:type="dxa"/>
            <w:tcBorders>
              <w:top w:val="single" w:color="auto" w:sz="12" w:space="0"/>
            </w:tcBorders>
            <w:vAlign w:val="center"/>
          </w:tcPr>
          <w:p>
            <w:pPr>
              <w:pStyle w:val="21"/>
              <w:adjustRightInd w:val="0"/>
              <w:snapToGrid w:val="0"/>
              <w:ind w:firstLine="0" w:firstLineChars="0"/>
              <w:jc w:val="center"/>
              <w:rPr>
                <w:b/>
                <w:bCs/>
                <w:color w:val="auto"/>
                <w:szCs w:val="21"/>
              </w:rPr>
            </w:pPr>
            <w:r>
              <w:rPr>
                <w:rFonts w:hint="eastAsia"/>
                <w:b/>
                <w:bCs/>
                <w:color w:val="auto"/>
                <w:szCs w:val="21"/>
              </w:rPr>
              <w:t>类别</w:t>
            </w:r>
          </w:p>
        </w:tc>
        <w:tc>
          <w:tcPr>
            <w:tcW w:w="3096" w:type="dxa"/>
            <w:tcBorders>
              <w:top w:val="single" w:color="auto" w:sz="12" w:space="0"/>
            </w:tcBorders>
            <w:vAlign w:val="center"/>
          </w:tcPr>
          <w:p>
            <w:pPr>
              <w:pStyle w:val="21"/>
              <w:adjustRightInd w:val="0"/>
              <w:snapToGrid w:val="0"/>
              <w:ind w:firstLine="0" w:firstLineChars="0"/>
              <w:jc w:val="center"/>
              <w:rPr>
                <w:b/>
                <w:bCs/>
                <w:color w:val="auto"/>
                <w:szCs w:val="21"/>
              </w:rPr>
            </w:pPr>
            <w:r>
              <w:rPr>
                <w:rFonts w:hint="eastAsia"/>
                <w:b/>
                <w:bCs/>
                <w:color w:val="auto"/>
                <w:szCs w:val="21"/>
              </w:rPr>
              <w:t>昼间</w:t>
            </w:r>
          </w:p>
        </w:tc>
        <w:tc>
          <w:tcPr>
            <w:tcW w:w="3096" w:type="dxa"/>
            <w:tcBorders>
              <w:top w:val="single" w:color="auto" w:sz="12" w:space="0"/>
            </w:tcBorders>
            <w:vAlign w:val="center"/>
          </w:tcPr>
          <w:p>
            <w:pPr>
              <w:pStyle w:val="21"/>
              <w:adjustRightInd w:val="0"/>
              <w:snapToGrid w:val="0"/>
              <w:ind w:firstLine="0" w:firstLineChars="0"/>
              <w:jc w:val="center"/>
              <w:rPr>
                <w:b/>
                <w:bCs/>
                <w:color w:val="auto"/>
                <w:szCs w:val="21"/>
              </w:rPr>
            </w:pPr>
            <w:r>
              <w:rPr>
                <w:rFonts w:hint="eastAsia"/>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094" w:type="dxa"/>
            <w:tcBorders>
              <w:bottom w:val="single" w:color="auto" w:sz="12" w:space="0"/>
            </w:tcBorders>
            <w:vAlign w:val="center"/>
          </w:tcPr>
          <w:p>
            <w:pPr>
              <w:pStyle w:val="21"/>
              <w:adjustRightInd w:val="0"/>
              <w:snapToGrid w:val="0"/>
              <w:ind w:firstLine="0" w:firstLineChars="0"/>
              <w:jc w:val="center"/>
              <w:rPr>
                <w:color w:val="auto"/>
                <w:szCs w:val="21"/>
              </w:rPr>
            </w:pPr>
            <w:r>
              <w:rPr>
                <w:color w:val="auto"/>
                <w:szCs w:val="21"/>
              </w:rPr>
              <w:t>3</w:t>
            </w:r>
            <w:r>
              <w:rPr>
                <w:rFonts w:hint="eastAsia"/>
                <w:color w:val="auto"/>
                <w:szCs w:val="21"/>
              </w:rPr>
              <w:t>类</w:t>
            </w:r>
          </w:p>
        </w:tc>
        <w:tc>
          <w:tcPr>
            <w:tcW w:w="3096" w:type="dxa"/>
            <w:tcBorders>
              <w:bottom w:val="single" w:color="auto" w:sz="12" w:space="0"/>
            </w:tcBorders>
            <w:vAlign w:val="center"/>
          </w:tcPr>
          <w:p>
            <w:pPr>
              <w:pStyle w:val="21"/>
              <w:adjustRightInd w:val="0"/>
              <w:snapToGrid w:val="0"/>
              <w:ind w:firstLine="0" w:firstLineChars="0"/>
              <w:jc w:val="center"/>
              <w:rPr>
                <w:color w:val="auto"/>
                <w:szCs w:val="21"/>
              </w:rPr>
            </w:pPr>
            <w:r>
              <w:rPr>
                <w:color w:val="auto"/>
                <w:szCs w:val="21"/>
              </w:rPr>
              <w:t>65</w:t>
            </w:r>
          </w:p>
        </w:tc>
        <w:tc>
          <w:tcPr>
            <w:tcW w:w="3096" w:type="dxa"/>
            <w:tcBorders>
              <w:bottom w:val="single" w:color="auto" w:sz="12" w:space="0"/>
            </w:tcBorders>
            <w:vAlign w:val="center"/>
          </w:tcPr>
          <w:p>
            <w:pPr>
              <w:pStyle w:val="21"/>
              <w:adjustRightInd w:val="0"/>
              <w:snapToGrid w:val="0"/>
              <w:ind w:firstLine="0" w:firstLineChars="0"/>
              <w:jc w:val="center"/>
              <w:rPr>
                <w:color w:val="auto"/>
                <w:szCs w:val="21"/>
              </w:rPr>
            </w:pPr>
            <w:r>
              <w:rPr>
                <w:color w:val="auto"/>
                <w:szCs w:val="21"/>
              </w:rPr>
              <w:t>55</w:t>
            </w:r>
          </w:p>
        </w:tc>
      </w:tr>
    </w:tbl>
    <w:p>
      <w:pPr>
        <w:adjustRightInd w:val="0"/>
        <w:snapToGrid w:val="0"/>
        <w:spacing w:before="156" w:beforeLines="50" w:line="360" w:lineRule="auto"/>
        <w:ind w:firstLine="360" w:firstLineChars="150"/>
        <w:rPr>
          <w:color w:val="auto"/>
          <w:sz w:val="24"/>
        </w:rPr>
      </w:pPr>
      <w:r>
        <w:rPr>
          <w:rFonts w:hint="eastAsia"/>
          <w:color w:val="auto"/>
          <w:sz w:val="24"/>
        </w:rPr>
        <w:t>（4）固体废物</w:t>
      </w:r>
    </w:p>
    <w:p>
      <w:pPr>
        <w:spacing w:line="360" w:lineRule="auto"/>
        <w:ind w:firstLine="480" w:firstLineChars="200"/>
        <w:rPr>
          <w:rFonts w:hint="eastAsia"/>
          <w:color w:val="auto"/>
          <w:sz w:val="24"/>
        </w:rPr>
      </w:pPr>
      <w:r>
        <w:rPr>
          <w:rFonts w:hint="eastAsia"/>
          <w:color w:val="auto"/>
          <w:sz w:val="24"/>
        </w:rPr>
        <w:t>一般工业固体废物的贮存执行《一般工业固体废物贮存、处置场污染控制标准》（</w:t>
      </w:r>
      <w:r>
        <w:rPr>
          <w:color w:val="auto"/>
          <w:sz w:val="24"/>
        </w:rPr>
        <w:t>GB18599-2001</w:t>
      </w:r>
      <w:r>
        <w:rPr>
          <w:rFonts w:hint="eastAsia"/>
          <w:color w:val="auto"/>
          <w:sz w:val="24"/>
        </w:rPr>
        <w:t>）中相应类别的标准以及修改单内容；危险废物的贮存执行《危险废物贮存污染控制标准》（</w:t>
      </w:r>
      <w:r>
        <w:rPr>
          <w:color w:val="auto"/>
          <w:sz w:val="24"/>
        </w:rPr>
        <w:t>GB18597-2001</w:t>
      </w:r>
      <w:r>
        <w:rPr>
          <w:rFonts w:hint="eastAsia"/>
          <w:color w:val="auto"/>
          <w:sz w:val="24"/>
        </w:rPr>
        <w:t>）中相应类别的标准要求以及修改单内容。</w:t>
      </w:r>
    </w:p>
    <w:p>
      <w:pPr>
        <w:adjustRightInd w:val="0"/>
        <w:snapToGrid w:val="0"/>
        <w:spacing w:before="156" w:beforeLines="50" w:line="360" w:lineRule="auto"/>
        <w:outlineLvl w:val="1"/>
        <w:rPr>
          <w:b/>
          <w:color w:val="auto"/>
          <w:sz w:val="28"/>
          <w:szCs w:val="28"/>
        </w:rPr>
      </w:pPr>
      <w:r>
        <w:rPr>
          <w:b/>
          <w:color w:val="auto"/>
          <w:sz w:val="28"/>
          <w:szCs w:val="28"/>
        </w:rPr>
        <w:t>3.</w:t>
      </w:r>
      <w:r>
        <w:rPr>
          <w:rFonts w:hint="eastAsia"/>
          <w:b/>
          <w:color w:val="auto"/>
          <w:sz w:val="28"/>
          <w:szCs w:val="28"/>
        </w:rPr>
        <w:t>5环境质量现状</w:t>
      </w:r>
    </w:p>
    <w:p>
      <w:pPr>
        <w:adjustRightInd w:val="0"/>
        <w:snapToGrid w:val="0"/>
        <w:spacing w:before="156" w:beforeLines="50" w:line="360" w:lineRule="auto"/>
        <w:outlineLvl w:val="2"/>
        <w:rPr>
          <w:b/>
          <w:color w:val="auto"/>
          <w:sz w:val="24"/>
        </w:rPr>
      </w:pPr>
      <w:r>
        <w:rPr>
          <w:b/>
          <w:color w:val="auto"/>
          <w:sz w:val="24"/>
        </w:rPr>
        <w:t>3.5.1水环境质量现状</w:t>
      </w:r>
    </w:p>
    <w:p>
      <w:pPr>
        <w:pStyle w:val="47"/>
        <w:ind w:firstLine="456"/>
        <w:rPr>
          <w:rFonts w:hint="eastAsia" w:ascii="Times New Roman" w:hAnsi="Times New Roman" w:eastAsia="宋体"/>
          <w:color w:val="auto"/>
          <w:spacing w:val="-6"/>
          <w:lang w:val="en-US" w:eastAsia="zh-CN"/>
        </w:rPr>
      </w:pPr>
      <w:r>
        <w:rPr>
          <w:rFonts w:ascii="Times New Roman" w:hAnsi="Times New Roman"/>
          <w:color w:val="auto"/>
          <w:spacing w:val="-6"/>
        </w:rPr>
        <w:t>为了解评价区域的水环境质量现状，本项目引</w:t>
      </w:r>
      <w:r>
        <w:rPr>
          <w:rFonts w:ascii="Times New Roman" w:hAnsi="Times New Roman"/>
          <w:color w:val="auto"/>
          <w:spacing w:val="-6"/>
          <w:highlight w:val="none"/>
        </w:rPr>
        <w:t>用《巨龙光学(福建)有限公司眼睛框镀件项目环境影响环境影响报告书》2017年9月28日~30日对</w:t>
      </w:r>
      <w:r>
        <w:rPr>
          <w:rFonts w:ascii="Times New Roman" w:hAnsi="Times New Roman"/>
          <w:color w:val="auto"/>
          <w:spacing w:val="-6"/>
        </w:rPr>
        <w:t>柏洋溪、滞洪区水质的监测数据。</w:t>
      </w:r>
      <w:r>
        <w:rPr>
          <w:rFonts w:hint="eastAsia" w:ascii="Times New Roman" w:hAnsi="Times New Roman"/>
          <w:color w:val="auto"/>
          <w:spacing w:val="-6"/>
        </w:rPr>
        <w:t xml:space="preserve"> </w:t>
      </w:r>
    </w:p>
    <w:p>
      <w:pPr>
        <w:pStyle w:val="47"/>
        <w:ind w:firstLine="456"/>
        <w:rPr>
          <w:rFonts w:ascii="Times New Roman" w:hAnsi="Times New Roman"/>
          <w:color w:val="auto"/>
          <w:spacing w:val="-6"/>
        </w:rPr>
      </w:pPr>
      <w:r>
        <w:rPr>
          <w:rFonts w:hint="eastAsia" w:ascii="Times New Roman" w:hAnsi="Times New Roman"/>
          <w:color w:val="auto"/>
          <w:spacing w:val="-6"/>
        </w:rPr>
        <w:t>（1）</w:t>
      </w:r>
      <w:r>
        <w:rPr>
          <w:rFonts w:ascii="Times New Roman" w:hAnsi="Times New Roman"/>
          <w:color w:val="auto"/>
          <w:spacing w:val="-6"/>
        </w:rPr>
        <w:t>引用监测断面</w:t>
      </w:r>
    </w:p>
    <w:p>
      <w:pPr>
        <w:pStyle w:val="47"/>
        <w:ind w:firstLine="456"/>
        <w:rPr>
          <w:rFonts w:ascii="Times New Roman" w:hAnsi="Times New Roman"/>
          <w:color w:val="auto"/>
          <w:spacing w:val="-6"/>
        </w:rPr>
      </w:pPr>
      <w:r>
        <w:rPr>
          <w:rFonts w:ascii="Times New Roman" w:hAnsi="Times New Roman"/>
          <w:color w:val="auto"/>
          <w:spacing w:val="-6"/>
        </w:rPr>
        <w:t>引用监测断面见表3.5-1。</w:t>
      </w:r>
    </w:p>
    <w:p>
      <w:pPr>
        <w:spacing w:line="360" w:lineRule="auto"/>
        <w:jc w:val="center"/>
        <w:rPr>
          <w:b/>
          <w:color w:val="auto"/>
          <w:sz w:val="24"/>
        </w:rPr>
      </w:pPr>
      <w:r>
        <w:rPr>
          <w:rFonts w:hint="eastAsia"/>
          <w:b/>
          <w:color w:val="auto"/>
          <w:sz w:val="24"/>
        </w:rPr>
        <w:t>表3.</w:t>
      </w:r>
      <w:r>
        <w:rPr>
          <w:b/>
          <w:color w:val="auto"/>
          <w:sz w:val="24"/>
        </w:rPr>
        <w:t>5</w:t>
      </w:r>
      <w:r>
        <w:rPr>
          <w:rFonts w:hint="eastAsia"/>
          <w:b/>
          <w:color w:val="auto"/>
          <w:sz w:val="24"/>
        </w:rPr>
        <w:t xml:space="preserve">-1  </w:t>
      </w:r>
      <w:r>
        <w:rPr>
          <w:b/>
          <w:color w:val="auto"/>
          <w:sz w:val="24"/>
        </w:rPr>
        <w:t>地表水</w:t>
      </w:r>
      <w:r>
        <w:rPr>
          <w:rFonts w:hint="eastAsia"/>
          <w:b/>
          <w:color w:val="auto"/>
          <w:sz w:val="24"/>
        </w:rPr>
        <w:t>水</w:t>
      </w:r>
      <w:r>
        <w:rPr>
          <w:b/>
          <w:color w:val="auto"/>
          <w:sz w:val="24"/>
        </w:rPr>
        <w:t>质引用监测断面一览表</w:t>
      </w:r>
    </w:p>
    <w:tbl>
      <w:tblPr>
        <w:tblStyle w:val="22"/>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09"/>
        <w:gridCol w:w="2018"/>
        <w:gridCol w:w="3232"/>
        <w:gridCol w:w="1159"/>
        <w:gridCol w:w="13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02" w:hRule="atLeast"/>
          <w:jc w:val="center"/>
        </w:trPr>
        <w:tc>
          <w:tcPr>
            <w:tcW w:w="1309" w:type="dxa"/>
            <w:vAlign w:val="center"/>
          </w:tcPr>
          <w:p>
            <w:pPr>
              <w:jc w:val="center"/>
              <w:rPr>
                <w:b/>
                <w:bCs/>
                <w:color w:val="auto"/>
                <w:szCs w:val="21"/>
              </w:rPr>
            </w:pPr>
            <w:r>
              <w:rPr>
                <w:b/>
                <w:bCs/>
                <w:color w:val="auto"/>
                <w:szCs w:val="21"/>
              </w:rPr>
              <w:t>监测点位号</w:t>
            </w:r>
          </w:p>
        </w:tc>
        <w:tc>
          <w:tcPr>
            <w:tcW w:w="2018" w:type="dxa"/>
            <w:vAlign w:val="center"/>
          </w:tcPr>
          <w:p>
            <w:pPr>
              <w:jc w:val="center"/>
              <w:rPr>
                <w:b/>
                <w:bCs/>
                <w:color w:val="auto"/>
                <w:szCs w:val="21"/>
              </w:rPr>
            </w:pPr>
            <w:r>
              <w:rPr>
                <w:b/>
                <w:bCs/>
                <w:color w:val="auto"/>
                <w:szCs w:val="21"/>
              </w:rPr>
              <w:t>具体位置</w:t>
            </w:r>
          </w:p>
        </w:tc>
        <w:tc>
          <w:tcPr>
            <w:tcW w:w="3232" w:type="dxa"/>
            <w:vAlign w:val="center"/>
          </w:tcPr>
          <w:p>
            <w:pPr>
              <w:jc w:val="center"/>
              <w:rPr>
                <w:b/>
                <w:bCs/>
                <w:color w:val="auto"/>
                <w:szCs w:val="21"/>
              </w:rPr>
            </w:pPr>
            <w:r>
              <w:rPr>
                <w:b/>
                <w:bCs/>
                <w:color w:val="auto"/>
                <w:szCs w:val="21"/>
              </w:rPr>
              <w:t>监测项目</w:t>
            </w:r>
          </w:p>
        </w:tc>
        <w:tc>
          <w:tcPr>
            <w:tcW w:w="1159" w:type="dxa"/>
            <w:vAlign w:val="center"/>
          </w:tcPr>
          <w:p>
            <w:pPr>
              <w:jc w:val="center"/>
              <w:rPr>
                <w:b/>
                <w:bCs/>
                <w:color w:val="auto"/>
                <w:szCs w:val="21"/>
              </w:rPr>
            </w:pPr>
            <w:r>
              <w:rPr>
                <w:b/>
                <w:bCs/>
                <w:color w:val="auto"/>
                <w:szCs w:val="21"/>
              </w:rPr>
              <w:t>监测频次</w:t>
            </w:r>
          </w:p>
        </w:tc>
        <w:tc>
          <w:tcPr>
            <w:tcW w:w="1352" w:type="dxa"/>
            <w:vAlign w:val="center"/>
          </w:tcPr>
          <w:p>
            <w:pPr>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309" w:type="dxa"/>
            <w:vAlign w:val="center"/>
          </w:tcPr>
          <w:p>
            <w:pPr>
              <w:jc w:val="center"/>
              <w:rPr>
                <w:color w:val="auto"/>
                <w:szCs w:val="21"/>
              </w:rPr>
            </w:pPr>
            <w:r>
              <w:rPr>
                <w:color w:val="auto"/>
                <w:szCs w:val="21"/>
              </w:rPr>
              <w:t>W1</w:t>
            </w:r>
          </w:p>
        </w:tc>
        <w:tc>
          <w:tcPr>
            <w:tcW w:w="2018" w:type="dxa"/>
            <w:vAlign w:val="center"/>
          </w:tcPr>
          <w:p>
            <w:pPr>
              <w:widowControl/>
              <w:jc w:val="center"/>
              <w:rPr>
                <w:color w:val="auto"/>
                <w:szCs w:val="21"/>
              </w:rPr>
            </w:pPr>
            <w:r>
              <w:rPr>
                <w:color w:val="auto"/>
                <w:szCs w:val="21"/>
              </w:rPr>
              <w:t>柏洋溪</w:t>
            </w:r>
          </w:p>
        </w:tc>
        <w:tc>
          <w:tcPr>
            <w:tcW w:w="3232" w:type="dxa"/>
            <w:vAlign w:val="center"/>
          </w:tcPr>
          <w:p>
            <w:pPr>
              <w:jc w:val="center"/>
              <w:rPr>
                <w:color w:val="auto"/>
                <w:szCs w:val="21"/>
              </w:rPr>
            </w:pPr>
            <w:r>
              <w:rPr>
                <w:color w:val="auto"/>
                <w:szCs w:val="21"/>
              </w:rPr>
              <w:t>pH、COD、石油类、氨氮、总氮、总磷、总镍、总铬</w:t>
            </w:r>
          </w:p>
        </w:tc>
        <w:tc>
          <w:tcPr>
            <w:tcW w:w="1159" w:type="dxa"/>
            <w:vMerge w:val="restart"/>
            <w:vAlign w:val="center"/>
          </w:tcPr>
          <w:p>
            <w:pPr>
              <w:jc w:val="center"/>
              <w:rPr>
                <w:color w:val="auto"/>
                <w:szCs w:val="21"/>
              </w:rPr>
            </w:pPr>
            <w:r>
              <w:rPr>
                <w:color w:val="auto"/>
                <w:szCs w:val="21"/>
              </w:rPr>
              <w:t>一天一次</w:t>
            </w:r>
          </w:p>
        </w:tc>
        <w:tc>
          <w:tcPr>
            <w:tcW w:w="1352" w:type="dxa"/>
            <w:vAlign w:val="center"/>
          </w:tcPr>
          <w:p>
            <w:pPr>
              <w:jc w:val="center"/>
              <w:rPr>
                <w:color w:val="auto"/>
                <w:szCs w:val="21"/>
              </w:rPr>
            </w:pPr>
            <w:r>
              <w:rPr>
                <w:color w:val="auto"/>
                <w:szCs w:val="21"/>
              </w:rPr>
              <w:t>对照断面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70" w:hRule="atLeast"/>
          <w:jc w:val="center"/>
        </w:trPr>
        <w:tc>
          <w:tcPr>
            <w:tcW w:w="1309" w:type="dxa"/>
            <w:vAlign w:val="center"/>
          </w:tcPr>
          <w:p>
            <w:pPr>
              <w:jc w:val="center"/>
              <w:rPr>
                <w:color w:val="auto"/>
                <w:szCs w:val="21"/>
              </w:rPr>
            </w:pPr>
            <w:r>
              <w:rPr>
                <w:color w:val="auto"/>
                <w:szCs w:val="21"/>
              </w:rPr>
              <w:t>W2</w:t>
            </w:r>
          </w:p>
        </w:tc>
        <w:tc>
          <w:tcPr>
            <w:tcW w:w="2018" w:type="dxa"/>
            <w:vAlign w:val="center"/>
          </w:tcPr>
          <w:p>
            <w:pPr>
              <w:pStyle w:val="27"/>
              <w:tabs>
                <w:tab w:val="left" w:pos="3825"/>
                <w:tab w:val="left" w:pos="4680"/>
              </w:tabs>
              <w:spacing w:line="240" w:lineRule="auto"/>
              <w:rPr>
                <w:b w:val="0"/>
                <w:color w:val="auto"/>
              </w:rPr>
            </w:pPr>
            <w:r>
              <w:rPr>
                <w:b w:val="0"/>
                <w:color w:val="auto"/>
              </w:rPr>
              <w:t>滞洪区排海口断面</w:t>
            </w:r>
          </w:p>
        </w:tc>
        <w:tc>
          <w:tcPr>
            <w:tcW w:w="3232" w:type="dxa"/>
            <w:vAlign w:val="center"/>
          </w:tcPr>
          <w:p>
            <w:pPr>
              <w:jc w:val="center"/>
              <w:rPr>
                <w:color w:val="auto"/>
                <w:szCs w:val="21"/>
              </w:rPr>
            </w:pPr>
            <w:r>
              <w:rPr>
                <w:color w:val="auto"/>
                <w:szCs w:val="21"/>
              </w:rPr>
              <w:t>COD、氨氮、石油类、总镍、总铬</w:t>
            </w:r>
          </w:p>
        </w:tc>
        <w:tc>
          <w:tcPr>
            <w:tcW w:w="1159" w:type="dxa"/>
            <w:vMerge w:val="continue"/>
            <w:vAlign w:val="center"/>
          </w:tcPr>
          <w:p>
            <w:pPr>
              <w:jc w:val="center"/>
              <w:rPr>
                <w:color w:val="auto"/>
                <w:szCs w:val="21"/>
              </w:rPr>
            </w:pPr>
          </w:p>
        </w:tc>
        <w:tc>
          <w:tcPr>
            <w:tcW w:w="1352" w:type="dxa"/>
            <w:vAlign w:val="center"/>
          </w:tcPr>
          <w:p>
            <w:pPr>
              <w:jc w:val="center"/>
              <w:rPr>
                <w:color w:val="auto"/>
                <w:szCs w:val="21"/>
              </w:rPr>
            </w:pPr>
            <w:r>
              <w:rPr>
                <w:color w:val="auto"/>
                <w:szCs w:val="21"/>
              </w:rPr>
              <w:t>控制断面</w:t>
            </w:r>
          </w:p>
        </w:tc>
      </w:tr>
    </w:tbl>
    <w:p>
      <w:pPr>
        <w:pStyle w:val="47"/>
        <w:ind w:firstLine="456"/>
        <w:rPr>
          <w:rFonts w:ascii="Times New Roman" w:hAnsi="Times New Roman"/>
          <w:color w:val="auto"/>
          <w:spacing w:val="-6"/>
        </w:rPr>
      </w:pPr>
      <w:r>
        <w:rPr>
          <w:rFonts w:hint="eastAsia" w:ascii="Times New Roman" w:hAnsi="Times New Roman"/>
          <w:color w:val="auto"/>
          <w:spacing w:val="-6"/>
        </w:rPr>
        <w:t>（2）</w:t>
      </w:r>
      <w:r>
        <w:rPr>
          <w:rFonts w:ascii="Times New Roman" w:hAnsi="Times New Roman"/>
          <w:color w:val="auto"/>
          <w:spacing w:val="-6"/>
        </w:rPr>
        <w:t>引用水质现状监测结果</w:t>
      </w:r>
    </w:p>
    <w:p>
      <w:pPr>
        <w:pStyle w:val="47"/>
        <w:ind w:firstLine="456"/>
        <w:rPr>
          <w:rFonts w:ascii="Times New Roman" w:hAnsi="Times New Roman"/>
          <w:color w:val="auto"/>
          <w:spacing w:val="-6"/>
        </w:rPr>
      </w:pPr>
      <w:r>
        <w:rPr>
          <w:rFonts w:ascii="Times New Roman" w:hAnsi="Times New Roman"/>
          <w:color w:val="auto"/>
          <w:spacing w:val="-6"/>
        </w:rPr>
        <w:t>本次监测各断面的标准指数见表3.5-2。</w:t>
      </w:r>
    </w:p>
    <w:p>
      <w:pPr>
        <w:spacing w:line="360" w:lineRule="auto"/>
        <w:jc w:val="center"/>
        <w:rPr>
          <w:b/>
          <w:color w:val="auto"/>
          <w:sz w:val="24"/>
        </w:rPr>
      </w:pPr>
      <w:r>
        <w:rPr>
          <w:rFonts w:hint="eastAsia"/>
          <w:b/>
          <w:color w:val="auto"/>
          <w:sz w:val="24"/>
        </w:rPr>
        <w:t>表3.</w:t>
      </w:r>
      <w:r>
        <w:rPr>
          <w:b/>
          <w:color w:val="auto"/>
          <w:sz w:val="24"/>
        </w:rPr>
        <w:t>5</w:t>
      </w:r>
      <w:r>
        <w:rPr>
          <w:rFonts w:hint="eastAsia"/>
          <w:b/>
          <w:color w:val="auto"/>
          <w:sz w:val="24"/>
        </w:rPr>
        <w:t>-</w:t>
      </w:r>
      <w:r>
        <w:rPr>
          <w:b/>
          <w:color w:val="auto"/>
          <w:sz w:val="24"/>
        </w:rPr>
        <w:t>2  引用</w:t>
      </w:r>
      <w:r>
        <w:rPr>
          <w:rFonts w:hint="eastAsia"/>
          <w:b/>
          <w:color w:val="auto"/>
          <w:sz w:val="24"/>
        </w:rPr>
        <w:t>水质</w:t>
      </w:r>
      <w:r>
        <w:rPr>
          <w:b/>
          <w:color w:val="auto"/>
          <w:sz w:val="24"/>
        </w:rPr>
        <w:t>现状</w:t>
      </w:r>
      <w:r>
        <w:rPr>
          <w:rFonts w:hint="eastAsia"/>
          <w:b/>
          <w:color w:val="auto"/>
          <w:sz w:val="24"/>
        </w:rPr>
        <w:t>监测结果</w:t>
      </w:r>
    </w:p>
    <w:tbl>
      <w:tblPr>
        <w:tblStyle w:val="22"/>
        <w:tblW w:w="9286" w:type="dxa"/>
        <w:jc w:val="righ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81"/>
        <w:gridCol w:w="1586"/>
        <w:gridCol w:w="1296"/>
        <w:gridCol w:w="1963"/>
        <w:gridCol w:w="1963"/>
        <w:gridCol w:w="15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Merge w:val="restart"/>
            <w:vAlign w:val="center"/>
          </w:tcPr>
          <w:p>
            <w:pPr>
              <w:jc w:val="center"/>
              <w:rPr>
                <w:b/>
                <w:bCs/>
                <w:color w:val="auto"/>
                <w:szCs w:val="21"/>
              </w:rPr>
            </w:pPr>
            <w:r>
              <w:rPr>
                <w:b/>
                <w:bCs/>
                <w:color w:val="auto"/>
                <w:szCs w:val="21"/>
              </w:rPr>
              <w:t>序号</w:t>
            </w:r>
          </w:p>
        </w:tc>
        <w:tc>
          <w:tcPr>
            <w:tcW w:w="1586" w:type="dxa"/>
            <w:vMerge w:val="restart"/>
            <w:vAlign w:val="center"/>
          </w:tcPr>
          <w:p>
            <w:pPr>
              <w:jc w:val="center"/>
              <w:rPr>
                <w:b/>
                <w:bCs/>
                <w:color w:val="auto"/>
                <w:szCs w:val="21"/>
              </w:rPr>
            </w:pPr>
            <w:r>
              <w:rPr>
                <w:b/>
                <w:bCs/>
                <w:color w:val="auto"/>
                <w:szCs w:val="21"/>
              </w:rPr>
              <w:t>检测项目</w:t>
            </w:r>
          </w:p>
        </w:tc>
        <w:tc>
          <w:tcPr>
            <w:tcW w:w="1296" w:type="dxa"/>
            <w:vMerge w:val="restart"/>
            <w:vAlign w:val="center"/>
          </w:tcPr>
          <w:p>
            <w:pPr>
              <w:jc w:val="center"/>
              <w:rPr>
                <w:b/>
                <w:bCs/>
                <w:color w:val="auto"/>
                <w:szCs w:val="21"/>
              </w:rPr>
            </w:pPr>
            <w:r>
              <w:rPr>
                <w:b/>
                <w:bCs/>
                <w:color w:val="auto"/>
                <w:szCs w:val="21"/>
              </w:rPr>
              <w:t>单位</w:t>
            </w:r>
          </w:p>
        </w:tc>
        <w:tc>
          <w:tcPr>
            <w:tcW w:w="3926" w:type="dxa"/>
            <w:gridSpan w:val="2"/>
            <w:vAlign w:val="center"/>
          </w:tcPr>
          <w:p>
            <w:pPr>
              <w:jc w:val="center"/>
              <w:rPr>
                <w:b/>
                <w:bCs/>
                <w:color w:val="auto"/>
                <w:szCs w:val="21"/>
              </w:rPr>
            </w:pPr>
            <w:r>
              <w:rPr>
                <w:b/>
                <w:bCs/>
                <w:color w:val="auto"/>
                <w:szCs w:val="21"/>
              </w:rPr>
              <w:t>监测断面</w:t>
            </w:r>
          </w:p>
        </w:tc>
        <w:tc>
          <w:tcPr>
            <w:tcW w:w="1597" w:type="dxa"/>
            <w:vMerge w:val="restart"/>
            <w:vAlign w:val="center"/>
          </w:tcPr>
          <w:p>
            <w:pPr>
              <w:jc w:val="center"/>
              <w:rPr>
                <w:b/>
                <w:bCs/>
                <w:color w:val="auto"/>
                <w:szCs w:val="21"/>
              </w:rPr>
            </w:pPr>
            <w:r>
              <w:rPr>
                <w:b/>
                <w:bCs/>
                <w:color w:val="auto"/>
                <w:szCs w:val="21"/>
              </w:rPr>
              <w:t>标准mg/L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Merge w:val="continue"/>
            <w:vAlign w:val="center"/>
          </w:tcPr>
          <w:p>
            <w:pPr>
              <w:jc w:val="center"/>
              <w:rPr>
                <w:b/>
                <w:bCs/>
                <w:color w:val="auto"/>
                <w:szCs w:val="21"/>
              </w:rPr>
            </w:pPr>
          </w:p>
        </w:tc>
        <w:tc>
          <w:tcPr>
            <w:tcW w:w="1586" w:type="dxa"/>
            <w:vMerge w:val="continue"/>
            <w:vAlign w:val="center"/>
          </w:tcPr>
          <w:p>
            <w:pPr>
              <w:jc w:val="center"/>
              <w:rPr>
                <w:b/>
                <w:bCs/>
                <w:color w:val="auto"/>
                <w:szCs w:val="21"/>
              </w:rPr>
            </w:pPr>
          </w:p>
        </w:tc>
        <w:tc>
          <w:tcPr>
            <w:tcW w:w="1296" w:type="dxa"/>
            <w:vMerge w:val="continue"/>
            <w:vAlign w:val="center"/>
          </w:tcPr>
          <w:p>
            <w:pPr>
              <w:jc w:val="center"/>
              <w:rPr>
                <w:b/>
                <w:bCs/>
                <w:color w:val="auto"/>
                <w:szCs w:val="21"/>
              </w:rPr>
            </w:pPr>
          </w:p>
        </w:tc>
        <w:tc>
          <w:tcPr>
            <w:tcW w:w="1963" w:type="dxa"/>
            <w:vAlign w:val="center"/>
          </w:tcPr>
          <w:p>
            <w:pPr>
              <w:jc w:val="center"/>
              <w:rPr>
                <w:b/>
                <w:bCs/>
                <w:color w:val="auto"/>
                <w:szCs w:val="21"/>
              </w:rPr>
            </w:pPr>
            <w:r>
              <w:rPr>
                <w:b/>
                <w:bCs/>
                <w:color w:val="auto"/>
                <w:szCs w:val="21"/>
              </w:rPr>
              <w:t>柏洋溪</w:t>
            </w:r>
          </w:p>
        </w:tc>
        <w:tc>
          <w:tcPr>
            <w:tcW w:w="1963" w:type="dxa"/>
            <w:vAlign w:val="center"/>
          </w:tcPr>
          <w:p>
            <w:pPr>
              <w:jc w:val="center"/>
              <w:rPr>
                <w:b/>
                <w:bCs/>
                <w:color w:val="auto"/>
                <w:szCs w:val="21"/>
              </w:rPr>
            </w:pPr>
            <w:r>
              <w:rPr>
                <w:b/>
                <w:bCs/>
                <w:color w:val="auto"/>
                <w:szCs w:val="21"/>
              </w:rPr>
              <w:t>滞洪区排海口断面</w:t>
            </w:r>
          </w:p>
        </w:tc>
        <w:tc>
          <w:tcPr>
            <w:tcW w:w="1597" w:type="dxa"/>
            <w:vMerge w:val="continue"/>
            <w:vAlign w:val="center"/>
          </w:tcPr>
          <w:p>
            <w:pPr>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jc w:val="center"/>
              <w:rPr>
                <w:color w:val="auto"/>
                <w:szCs w:val="21"/>
              </w:rPr>
            </w:pPr>
            <w:r>
              <w:rPr>
                <w:color w:val="auto"/>
                <w:szCs w:val="21"/>
              </w:rPr>
              <w:t>1</w:t>
            </w:r>
          </w:p>
        </w:tc>
        <w:tc>
          <w:tcPr>
            <w:tcW w:w="1586" w:type="dxa"/>
            <w:vAlign w:val="center"/>
          </w:tcPr>
          <w:p>
            <w:pPr>
              <w:jc w:val="center"/>
              <w:rPr>
                <w:bCs/>
                <w:color w:val="auto"/>
                <w:szCs w:val="21"/>
              </w:rPr>
            </w:pPr>
            <w:r>
              <w:rPr>
                <w:bCs/>
                <w:color w:val="auto"/>
                <w:szCs w:val="21"/>
              </w:rPr>
              <w:t>pH</w:t>
            </w:r>
          </w:p>
        </w:tc>
        <w:tc>
          <w:tcPr>
            <w:tcW w:w="1296" w:type="dxa"/>
            <w:vAlign w:val="center"/>
          </w:tcPr>
          <w:p>
            <w:pPr>
              <w:jc w:val="center"/>
              <w:rPr>
                <w:color w:val="auto"/>
                <w:szCs w:val="21"/>
              </w:rPr>
            </w:pPr>
            <w:r>
              <w:rPr>
                <w:color w:val="auto"/>
                <w:szCs w:val="21"/>
              </w:rPr>
              <w:t>无量纲</w:t>
            </w:r>
          </w:p>
        </w:tc>
        <w:tc>
          <w:tcPr>
            <w:tcW w:w="1963" w:type="dxa"/>
            <w:vAlign w:val="center"/>
          </w:tcPr>
          <w:p>
            <w:pPr>
              <w:jc w:val="center"/>
              <w:rPr>
                <w:color w:val="auto"/>
                <w:szCs w:val="21"/>
              </w:rPr>
            </w:pPr>
            <w:r>
              <w:rPr>
                <w:color w:val="auto"/>
                <w:szCs w:val="21"/>
              </w:rPr>
              <w:t>6.61~6.67</w:t>
            </w:r>
          </w:p>
        </w:tc>
        <w:tc>
          <w:tcPr>
            <w:tcW w:w="1963" w:type="dxa"/>
            <w:vAlign w:val="center"/>
          </w:tcPr>
          <w:p>
            <w:pPr>
              <w:adjustRightInd w:val="0"/>
              <w:snapToGrid w:val="0"/>
              <w:ind w:left="206" w:right="205"/>
              <w:jc w:val="center"/>
              <w:rPr>
                <w:color w:val="auto"/>
                <w:szCs w:val="21"/>
              </w:rPr>
            </w:pPr>
            <w:r>
              <w:rPr>
                <w:color w:val="auto"/>
                <w:szCs w:val="21"/>
              </w:rPr>
              <w:t>——</w:t>
            </w:r>
          </w:p>
        </w:tc>
        <w:tc>
          <w:tcPr>
            <w:tcW w:w="1597" w:type="dxa"/>
            <w:vAlign w:val="center"/>
          </w:tcPr>
          <w:p>
            <w:pPr>
              <w:jc w:val="center"/>
              <w:rPr>
                <w:color w:val="auto"/>
                <w:szCs w:val="21"/>
              </w:rPr>
            </w:pPr>
            <w:r>
              <w:rPr>
                <w:color w:val="auto"/>
                <w:szCs w:val="21"/>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jc w:val="center"/>
              <w:rPr>
                <w:color w:val="auto"/>
                <w:szCs w:val="21"/>
              </w:rPr>
            </w:pPr>
            <w:r>
              <w:rPr>
                <w:color w:val="auto"/>
                <w:szCs w:val="21"/>
              </w:rPr>
              <w:t>2</w:t>
            </w:r>
          </w:p>
        </w:tc>
        <w:tc>
          <w:tcPr>
            <w:tcW w:w="1586" w:type="dxa"/>
            <w:vAlign w:val="center"/>
          </w:tcPr>
          <w:p>
            <w:pPr>
              <w:jc w:val="center"/>
              <w:rPr>
                <w:bCs/>
                <w:color w:val="auto"/>
                <w:szCs w:val="21"/>
              </w:rPr>
            </w:pPr>
            <w:r>
              <w:rPr>
                <w:bCs/>
                <w:color w:val="auto"/>
                <w:szCs w:val="21"/>
              </w:rPr>
              <w:t>COD</w:t>
            </w:r>
          </w:p>
        </w:tc>
        <w:tc>
          <w:tcPr>
            <w:tcW w:w="1296" w:type="dxa"/>
            <w:vAlign w:val="center"/>
          </w:tcPr>
          <w:p>
            <w:pPr>
              <w:jc w:val="center"/>
              <w:rPr>
                <w:color w:val="auto"/>
                <w:szCs w:val="21"/>
              </w:rPr>
            </w:pPr>
            <w:r>
              <w:rPr>
                <w:color w:val="auto"/>
                <w:szCs w:val="21"/>
              </w:rPr>
              <w:t>mg/L</w:t>
            </w:r>
          </w:p>
        </w:tc>
        <w:tc>
          <w:tcPr>
            <w:tcW w:w="1963" w:type="dxa"/>
            <w:vAlign w:val="center"/>
          </w:tcPr>
          <w:p>
            <w:pPr>
              <w:jc w:val="center"/>
              <w:rPr>
                <w:color w:val="auto"/>
                <w:szCs w:val="21"/>
              </w:rPr>
            </w:pPr>
            <w:r>
              <w:rPr>
                <w:color w:val="auto"/>
                <w:szCs w:val="21"/>
              </w:rPr>
              <w:t>15~19</w:t>
            </w:r>
          </w:p>
        </w:tc>
        <w:tc>
          <w:tcPr>
            <w:tcW w:w="1963" w:type="dxa"/>
            <w:vAlign w:val="center"/>
          </w:tcPr>
          <w:p>
            <w:pPr>
              <w:adjustRightInd w:val="0"/>
              <w:snapToGrid w:val="0"/>
              <w:ind w:left="205" w:right="205"/>
              <w:jc w:val="center"/>
              <w:rPr>
                <w:color w:val="auto"/>
                <w:szCs w:val="21"/>
              </w:rPr>
            </w:pPr>
            <w:r>
              <w:rPr>
                <w:color w:val="auto"/>
                <w:szCs w:val="21"/>
              </w:rPr>
              <w:t>3.12</w:t>
            </w:r>
          </w:p>
        </w:tc>
        <w:tc>
          <w:tcPr>
            <w:tcW w:w="1597" w:type="dxa"/>
            <w:vAlign w:val="center"/>
          </w:tcPr>
          <w:p>
            <w:pPr>
              <w:jc w:val="center"/>
              <w:rPr>
                <w:color w:val="auto"/>
                <w:szCs w:val="21"/>
              </w:rPr>
            </w:pPr>
            <w:r>
              <w:rPr>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jc w:val="center"/>
              <w:rPr>
                <w:color w:val="auto"/>
                <w:szCs w:val="21"/>
              </w:rPr>
            </w:pPr>
            <w:r>
              <w:rPr>
                <w:color w:val="auto"/>
                <w:szCs w:val="21"/>
              </w:rPr>
              <w:t>3</w:t>
            </w:r>
          </w:p>
        </w:tc>
        <w:tc>
          <w:tcPr>
            <w:tcW w:w="1586" w:type="dxa"/>
            <w:vAlign w:val="center"/>
          </w:tcPr>
          <w:p>
            <w:pPr>
              <w:jc w:val="center"/>
              <w:rPr>
                <w:bCs/>
                <w:color w:val="auto"/>
                <w:szCs w:val="21"/>
              </w:rPr>
            </w:pPr>
            <w:r>
              <w:rPr>
                <w:bCs/>
                <w:color w:val="auto"/>
                <w:szCs w:val="21"/>
              </w:rPr>
              <w:t>石油类</w:t>
            </w:r>
          </w:p>
        </w:tc>
        <w:tc>
          <w:tcPr>
            <w:tcW w:w="1296" w:type="dxa"/>
            <w:vAlign w:val="center"/>
          </w:tcPr>
          <w:p>
            <w:pPr>
              <w:jc w:val="center"/>
              <w:rPr>
                <w:color w:val="auto"/>
                <w:szCs w:val="21"/>
              </w:rPr>
            </w:pPr>
            <w:r>
              <w:rPr>
                <w:color w:val="auto"/>
                <w:szCs w:val="21"/>
              </w:rPr>
              <w:t>mg/L</w:t>
            </w:r>
          </w:p>
        </w:tc>
        <w:tc>
          <w:tcPr>
            <w:tcW w:w="1963" w:type="dxa"/>
            <w:vAlign w:val="center"/>
          </w:tcPr>
          <w:p>
            <w:pPr>
              <w:jc w:val="center"/>
              <w:rPr>
                <w:color w:val="auto"/>
                <w:szCs w:val="21"/>
              </w:rPr>
            </w:pPr>
            <w:r>
              <w:rPr>
                <w:color w:val="auto"/>
                <w:szCs w:val="21"/>
              </w:rPr>
              <w:t>ND~0.04</w:t>
            </w:r>
          </w:p>
        </w:tc>
        <w:tc>
          <w:tcPr>
            <w:tcW w:w="1963" w:type="dxa"/>
            <w:vAlign w:val="center"/>
          </w:tcPr>
          <w:p>
            <w:pPr>
              <w:adjustRightInd w:val="0"/>
              <w:snapToGrid w:val="0"/>
              <w:ind w:left="205" w:right="205"/>
              <w:jc w:val="center"/>
              <w:rPr>
                <w:color w:val="auto"/>
                <w:szCs w:val="21"/>
              </w:rPr>
            </w:pPr>
            <w:r>
              <w:rPr>
                <w:color w:val="auto"/>
                <w:szCs w:val="21"/>
              </w:rPr>
              <w:t>0.028</w:t>
            </w:r>
          </w:p>
        </w:tc>
        <w:tc>
          <w:tcPr>
            <w:tcW w:w="1597" w:type="dxa"/>
            <w:vAlign w:val="center"/>
          </w:tcPr>
          <w:p>
            <w:pPr>
              <w:jc w:val="center"/>
              <w:rPr>
                <w:color w:val="auto"/>
                <w:szCs w:val="21"/>
              </w:rPr>
            </w:pPr>
            <w:r>
              <w:rPr>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jc w:val="center"/>
              <w:rPr>
                <w:color w:val="auto"/>
                <w:szCs w:val="21"/>
              </w:rPr>
            </w:pPr>
            <w:r>
              <w:rPr>
                <w:color w:val="auto"/>
                <w:szCs w:val="21"/>
              </w:rPr>
              <w:t>4</w:t>
            </w:r>
          </w:p>
        </w:tc>
        <w:tc>
          <w:tcPr>
            <w:tcW w:w="1586" w:type="dxa"/>
            <w:vAlign w:val="center"/>
          </w:tcPr>
          <w:p>
            <w:pPr>
              <w:jc w:val="center"/>
              <w:rPr>
                <w:bCs/>
                <w:color w:val="auto"/>
                <w:szCs w:val="21"/>
              </w:rPr>
            </w:pPr>
            <w:r>
              <w:rPr>
                <w:bCs/>
                <w:color w:val="auto"/>
                <w:szCs w:val="21"/>
              </w:rPr>
              <w:t>氨氮</w:t>
            </w:r>
          </w:p>
        </w:tc>
        <w:tc>
          <w:tcPr>
            <w:tcW w:w="1296" w:type="dxa"/>
            <w:vAlign w:val="center"/>
          </w:tcPr>
          <w:p>
            <w:pPr>
              <w:jc w:val="center"/>
              <w:rPr>
                <w:color w:val="auto"/>
                <w:szCs w:val="21"/>
              </w:rPr>
            </w:pPr>
            <w:r>
              <w:rPr>
                <w:color w:val="auto"/>
                <w:szCs w:val="21"/>
              </w:rPr>
              <w:t>mg/L</w:t>
            </w:r>
          </w:p>
        </w:tc>
        <w:tc>
          <w:tcPr>
            <w:tcW w:w="1963" w:type="dxa"/>
            <w:vAlign w:val="center"/>
          </w:tcPr>
          <w:p>
            <w:pPr>
              <w:jc w:val="center"/>
              <w:rPr>
                <w:color w:val="auto"/>
                <w:szCs w:val="21"/>
              </w:rPr>
            </w:pPr>
            <w:r>
              <w:rPr>
                <w:color w:val="auto"/>
                <w:szCs w:val="21"/>
              </w:rPr>
              <w:t>0.814~0.837</w:t>
            </w:r>
          </w:p>
        </w:tc>
        <w:tc>
          <w:tcPr>
            <w:tcW w:w="1963" w:type="dxa"/>
            <w:vAlign w:val="center"/>
          </w:tcPr>
          <w:p>
            <w:pPr>
              <w:adjustRightInd w:val="0"/>
              <w:snapToGrid w:val="0"/>
              <w:ind w:left="206" w:right="205"/>
              <w:jc w:val="center"/>
              <w:rPr>
                <w:color w:val="auto"/>
                <w:szCs w:val="21"/>
              </w:rPr>
            </w:pPr>
            <w:r>
              <w:rPr>
                <w:color w:val="auto"/>
                <w:szCs w:val="21"/>
              </w:rPr>
              <w:t>0.218</w:t>
            </w:r>
          </w:p>
        </w:tc>
        <w:tc>
          <w:tcPr>
            <w:tcW w:w="1597" w:type="dxa"/>
            <w:vAlign w:val="center"/>
          </w:tcPr>
          <w:p>
            <w:pPr>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jc w:val="center"/>
              <w:rPr>
                <w:color w:val="auto"/>
                <w:szCs w:val="21"/>
              </w:rPr>
            </w:pPr>
            <w:r>
              <w:rPr>
                <w:color w:val="auto"/>
                <w:szCs w:val="21"/>
              </w:rPr>
              <w:t>5</w:t>
            </w:r>
          </w:p>
        </w:tc>
        <w:tc>
          <w:tcPr>
            <w:tcW w:w="1586" w:type="dxa"/>
            <w:vAlign w:val="center"/>
          </w:tcPr>
          <w:p>
            <w:pPr>
              <w:jc w:val="center"/>
              <w:rPr>
                <w:bCs/>
                <w:color w:val="auto"/>
                <w:szCs w:val="21"/>
              </w:rPr>
            </w:pPr>
            <w:r>
              <w:rPr>
                <w:bCs/>
                <w:color w:val="auto"/>
                <w:szCs w:val="21"/>
              </w:rPr>
              <w:t>总氮</w:t>
            </w:r>
          </w:p>
        </w:tc>
        <w:tc>
          <w:tcPr>
            <w:tcW w:w="1296" w:type="dxa"/>
            <w:vAlign w:val="center"/>
          </w:tcPr>
          <w:p>
            <w:pPr>
              <w:jc w:val="center"/>
              <w:rPr>
                <w:color w:val="auto"/>
                <w:szCs w:val="21"/>
              </w:rPr>
            </w:pPr>
            <w:r>
              <w:rPr>
                <w:color w:val="auto"/>
                <w:szCs w:val="21"/>
              </w:rPr>
              <w:t>mg/L</w:t>
            </w:r>
          </w:p>
        </w:tc>
        <w:tc>
          <w:tcPr>
            <w:tcW w:w="1963" w:type="dxa"/>
            <w:vAlign w:val="center"/>
          </w:tcPr>
          <w:p>
            <w:pPr>
              <w:jc w:val="center"/>
              <w:rPr>
                <w:color w:val="auto"/>
                <w:szCs w:val="21"/>
              </w:rPr>
            </w:pPr>
            <w:r>
              <w:rPr>
                <w:color w:val="auto"/>
                <w:szCs w:val="21"/>
              </w:rPr>
              <w:t>0.843~0.869</w:t>
            </w:r>
          </w:p>
        </w:tc>
        <w:tc>
          <w:tcPr>
            <w:tcW w:w="1963" w:type="dxa"/>
            <w:vAlign w:val="center"/>
          </w:tcPr>
          <w:p>
            <w:pPr>
              <w:adjustRightInd w:val="0"/>
              <w:snapToGrid w:val="0"/>
              <w:ind w:left="206" w:right="205"/>
              <w:jc w:val="center"/>
              <w:rPr>
                <w:color w:val="auto"/>
                <w:szCs w:val="21"/>
              </w:rPr>
            </w:pPr>
            <w:r>
              <w:rPr>
                <w:color w:val="auto"/>
                <w:szCs w:val="21"/>
              </w:rPr>
              <w:t>——</w:t>
            </w:r>
          </w:p>
        </w:tc>
        <w:tc>
          <w:tcPr>
            <w:tcW w:w="1597" w:type="dxa"/>
            <w:vAlign w:val="center"/>
          </w:tcPr>
          <w:p>
            <w:pPr>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jc w:val="center"/>
              <w:rPr>
                <w:color w:val="auto"/>
                <w:szCs w:val="21"/>
              </w:rPr>
            </w:pPr>
            <w:r>
              <w:rPr>
                <w:color w:val="auto"/>
                <w:szCs w:val="21"/>
              </w:rPr>
              <w:t>6</w:t>
            </w:r>
          </w:p>
        </w:tc>
        <w:tc>
          <w:tcPr>
            <w:tcW w:w="1586" w:type="dxa"/>
            <w:vAlign w:val="center"/>
          </w:tcPr>
          <w:p>
            <w:pPr>
              <w:jc w:val="center"/>
              <w:rPr>
                <w:bCs/>
                <w:color w:val="auto"/>
                <w:szCs w:val="21"/>
              </w:rPr>
            </w:pPr>
            <w:r>
              <w:rPr>
                <w:bCs/>
                <w:color w:val="auto"/>
                <w:szCs w:val="21"/>
              </w:rPr>
              <w:t>总磷</w:t>
            </w:r>
          </w:p>
        </w:tc>
        <w:tc>
          <w:tcPr>
            <w:tcW w:w="1296" w:type="dxa"/>
            <w:vAlign w:val="center"/>
          </w:tcPr>
          <w:p>
            <w:pPr>
              <w:jc w:val="center"/>
              <w:rPr>
                <w:color w:val="auto"/>
                <w:szCs w:val="21"/>
              </w:rPr>
            </w:pPr>
            <w:r>
              <w:rPr>
                <w:color w:val="auto"/>
                <w:szCs w:val="21"/>
              </w:rPr>
              <w:t>mg/L</w:t>
            </w:r>
          </w:p>
        </w:tc>
        <w:tc>
          <w:tcPr>
            <w:tcW w:w="1963" w:type="dxa"/>
            <w:vAlign w:val="center"/>
          </w:tcPr>
          <w:p>
            <w:pPr>
              <w:jc w:val="center"/>
              <w:rPr>
                <w:color w:val="auto"/>
                <w:szCs w:val="21"/>
              </w:rPr>
            </w:pPr>
            <w:r>
              <w:rPr>
                <w:color w:val="auto"/>
                <w:szCs w:val="21"/>
              </w:rPr>
              <w:t>0.04~0.07</w:t>
            </w:r>
          </w:p>
        </w:tc>
        <w:tc>
          <w:tcPr>
            <w:tcW w:w="1963" w:type="dxa"/>
            <w:vAlign w:val="center"/>
          </w:tcPr>
          <w:p>
            <w:pPr>
              <w:adjustRightInd w:val="0"/>
              <w:snapToGrid w:val="0"/>
              <w:ind w:left="205" w:right="205"/>
              <w:jc w:val="center"/>
              <w:rPr>
                <w:color w:val="auto"/>
                <w:szCs w:val="21"/>
              </w:rPr>
            </w:pPr>
            <w:r>
              <w:rPr>
                <w:color w:val="auto"/>
                <w:szCs w:val="21"/>
              </w:rPr>
              <w:t>——</w:t>
            </w:r>
          </w:p>
        </w:tc>
        <w:tc>
          <w:tcPr>
            <w:tcW w:w="1597" w:type="dxa"/>
            <w:vAlign w:val="center"/>
          </w:tcPr>
          <w:p>
            <w:pPr>
              <w:jc w:val="center"/>
              <w:rPr>
                <w:color w:val="auto"/>
                <w:szCs w:val="21"/>
              </w:rPr>
            </w:pPr>
            <w:r>
              <w:rPr>
                <w:color w:val="auto"/>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pStyle w:val="63"/>
              <w:tabs>
                <w:tab w:val="right" w:pos="8502"/>
                <w:tab w:val="right" w:pos="8802"/>
              </w:tabs>
              <w:rPr>
                <w:rFonts w:eastAsia="宋体"/>
                <w:color w:val="auto"/>
                <w:szCs w:val="21"/>
              </w:rPr>
            </w:pPr>
            <w:r>
              <w:rPr>
                <w:rFonts w:eastAsia="宋体"/>
                <w:color w:val="auto"/>
                <w:szCs w:val="21"/>
              </w:rPr>
              <w:t>7</w:t>
            </w:r>
          </w:p>
        </w:tc>
        <w:tc>
          <w:tcPr>
            <w:tcW w:w="1586" w:type="dxa"/>
            <w:vAlign w:val="center"/>
          </w:tcPr>
          <w:p>
            <w:pPr>
              <w:jc w:val="center"/>
              <w:rPr>
                <w:color w:val="auto"/>
                <w:szCs w:val="21"/>
              </w:rPr>
            </w:pPr>
            <w:r>
              <w:rPr>
                <w:color w:val="auto"/>
                <w:szCs w:val="21"/>
              </w:rPr>
              <w:t>镍</w:t>
            </w:r>
          </w:p>
        </w:tc>
        <w:tc>
          <w:tcPr>
            <w:tcW w:w="1296" w:type="dxa"/>
            <w:vAlign w:val="center"/>
          </w:tcPr>
          <w:p>
            <w:pPr>
              <w:jc w:val="center"/>
              <w:rPr>
                <w:color w:val="auto"/>
                <w:szCs w:val="21"/>
              </w:rPr>
            </w:pPr>
            <w:r>
              <w:rPr>
                <w:bCs/>
                <w:color w:val="auto"/>
                <w:szCs w:val="21"/>
              </w:rPr>
              <w:t>mg/L</w:t>
            </w:r>
          </w:p>
        </w:tc>
        <w:tc>
          <w:tcPr>
            <w:tcW w:w="1963" w:type="dxa"/>
            <w:vAlign w:val="center"/>
          </w:tcPr>
          <w:p>
            <w:pPr>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0.05</w:t>
            </w:r>
          </w:p>
        </w:tc>
        <w:tc>
          <w:tcPr>
            <w:tcW w:w="1963" w:type="dxa"/>
            <w:vAlign w:val="center"/>
          </w:tcPr>
          <w:p>
            <w:pPr>
              <w:adjustRightInd w:val="0"/>
              <w:snapToGrid w:val="0"/>
              <w:ind w:left="204" w:right="205"/>
              <w:jc w:val="center"/>
              <w:rPr>
                <w:color w:val="auto"/>
                <w:szCs w:val="21"/>
              </w:rPr>
            </w:pPr>
            <w:r>
              <w:rPr>
                <w:color w:val="auto"/>
                <w:szCs w:val="21"/>
              </w:rPr>
              <w:t>0.003</w:t>
            </w:r>
          </w:p>
        </w:tc>
        <w:tc>
          <w:tcPr>
            <w:tcW w:w="1597" w:type="dxa"/>
            <w:vAlign w:val="center"/>
          </w:tcPr>
          <w:p>
            <w:pPr>
              <w:jc w:val="center"/>
              <w:rPr>
                <w:color w:val="auto"/>
                <w:szCs w:val="21"/>
              </w:rPr>
            </w:pPr>
            <w:r>
              <w:rPr>
                <w:color w:val="auto"/>
                <w:szCs w:val="21"/>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right"/>
        </w:trPr>
        <w:tc>
          <w:tcPr>
            <w:tcW w:w="881" w:type="dxa"/>
            <w:vAlign w:val="center"/>
          </w:tcPr>
          <w:p>
            <w:pPr>
              <w:pStyle w:val="63"/>
              <w:tabs>
                <w:tab w:val="right" w:pos="8502"/>
                <w:tab w:val="right" w:pos="8802"/>
              </w:tabs>
              <w:rPr>
                <w:rFonts w:eastAsia="宋体"/>
                <w:color w:val="auto"/>
                <w:szCs w:val="21"/>
              </w:rPr>
            </w:pPr>
            <w:r>
              <w:rPr>
                <w:rFonts w:eastAsia="宋体"/>
                <w:color w:val="auto"/>
                <w:szCs w:val="21"/>
              </w:rPr>
              <w:t>8</w:t>
            </w:r>
          </w:p>
        </w:tc>
        <w:tc>
          <w:tcPr>
            <w:tcW w:w="1586" w:type="dxa"/>
            <w:vAlign w:val="center"/>
          </w:tcPr>
          <w:p>
            <w:pPr>
              <w:jc w:val="center"/>
              <w:rPr>
                <w:color w:val="auto"/>
                <w:szCs w:val="21"/>
              </w:rPr>
            </w:pPr>
            <w:r>
              <w:rPr>
                <w:color w:val="auto"/>
                <w:szCs w:val="21"/>
              </w:rPr>
              <w:t>铬</w:t>
            </w:r>
          </w:p>
        </w:tc>
        <w:tc>
          <w:tcPr>
            <w:tcW w:w="1296" w:type="dxa"/>
            <w:vAlign w:val="center"/>
          </w:tcPr>
          <w:p>
            <w:pPr>
              <w:jc w:val="center"/>
              <w:rPr>
                <w:color w:val="auto"/>
                <w:szCs w:val="21"/>
              </w:rPr>
            </w:pPr>
            <w:r>
              <w:rPr>
                <w:bCs/>
                <w:color w:val="auto"/>
                <w:szCs w:val="21"/>
              </w:rPr>
              <w:t>mg/L</w:t>
            </w:r>
          </w:p>
        </w:tc>
        <w:tc>
          <w:tcPr>
            <w:tcW w:w="1963" w:type="dxa"/>
            <w:vAlign w:val="center"/>
          </w:tcPr>
          <w:p>
            <w:pPr>
              <w:jc w:val="center"/>
              <w:rPr>
                <w:color w:val="auto"/>
                <w:szCs w:val="21"/>
              </w:rPr>
            </w:pPr>
            <w:r>
              <w:rPr>
                <w:color w:val="auto"/>
                <w:szCs w:val="21"/>
              </w:rPr>
              <w:t>0.009~0.017</w:t>
            </w:r>
          </w:p>
        </w:tc>
        <w:tc>
          <w:tcPr>
            <w:tcW w:w="1963" w:type="dxa"/>
            <w:vAlign w:val="center"/>
          </w:tcPr>
          <w:p>
            <w:pPr>
              <w:adjustRightInd w:val="0"/>
              <w:snapToGrid w:val="0"/>
              <w:ind w:left="205" w:right="205"/>
              <w:jc w:val="center"/>
              <w:rPr>
                <w:color w:val="auto"/>
                <w:szCs w:val="21"/>
              </w:rPr>
            </w:pPr>
            <w:r>
              <w:rPr>
                <w:color w:val="auto"/>
                <w:szCs w:val="21"/>
              </w:rPr>
              <w:t>0.01</w:t>
            </w:r>
          </w:p>
        </w:tc>
        <w:tc>
          <w:tcPr>
            <w:tcW w:w="1597" w:type="dxa"/>
            <w:vAlign w:val="center"/>
          </w:tcPr>
          <w:p>
            <w:pPr>
              <w:jc w:val="center"/>
              <w:rPr>
                <w:color w:val="auto"/>
                <w:szCs w:val="21"/>
              </w:rPr>
            </w:pPr>
            <w:r>
              <w:rPr>
                <w:color w:val="auto"/>
                <w:szCs w:val="21"/>
              </w:rPr>
              <w:t>0.05</w:t>
            </w:r>
          </w:p>
        </w:tc>
      </w:tr>
    </w:tbl>
    <w:p>
      <w:pPr>
        <w:autoSpaceDE w:val="0"/>
        <w:autoSpaceDN w:val="0"/>
        <w:ind w:firstLine="420" w:firstLineChars="200"/>
        <w:textAlignment w:val="bottom"/>
        <w:rPr>
          <w:color w:val="auto"/>
          <w:szCs w:val="21"/>
        </w:rPr>
      </w:pPr>
      <w:r>
        <w:rPr>
          <w:color w:val="auto"/>
          <w:szCs w:val="21"/>
        </w:rPr>
        <w:t>备注：ND表示未检出</w:t>
      </w:r>
    </w:p>
    <w:p>
      <w:pPr>
        <w:pStyle w:val="47"/>
        <w:ind w:firstLine="456"/>
        <w:rPr>
          <w:rFonts w:ascii="Times New Roman" w:hAnsi="Times New Roman"/>
          <w:color w:val="auto"/>
          <w:spacing w:val="-6"/>
        </w:rPr>
      </w:pPr>
      <w:r>
        <w:rPr>
          <w:rFonts w:hint="eastAsia" w:ascii="Times New Roman" w:hAnsi="Times New Roman"/>
          <w:color w:val="auto"/>
          <w:spacing w:val="-6"/>
        </w:rPr>
        <w:t>（3）</w:t>
      </w:r>
      <w:r>
        <w:rPr>
          <w:rFonts w:ascii="Times New Roman" w:hAnsi="Times New Roman"/>
          <w:color w:val="auto"/>
          <w:spacing w:val="-6"/>
        </w:rPr>
        <w:t>引用水质现状评价结果</w:t>
      </w:r>
    </w:p>
    <w:p>
      <w:pPr>
        <w:pStyle w:val="47"/>
        <w:ind w:firstLine="456"/>
        <w:rPr>
          <w:rFonts w:ascii="Times New Roman" w:hAnsi="Times New Roman"/>
          <w:color w:val="auto"/>
          <w:spacing w:val="-6"/>
        </w:rPr>
      </w:pPr>
      <w:r>
        <w:rPr>
          <w:rFonts w:ascii="Times New Roman" w:hAnsi="Times New Roman"/>
          <w:color w:val="auto"/>
          <w:spacing w:val="-6"/>
        </w:rPr>
        <w:t>地表水监测结果统计见表3.5-3。</w:t>
      </w:r>
    </w:p>
    <w:p>
      <w:pPr>
        <w:spacing w:line="360" w:lineRule="auto"/>
        <w:jc w:val="center"/>
        <w:rPr>
          <w:b/>
          <w:color w:val="auto"/>
          <w:sz w:val="24"/>
        </w:rPr>
      </w:pPr>
      <w:r>
        <w:rPr>
          <w:rFonts w:hint="eastAsia"/>
          <w:b/>
          <w:color w:val="auto"/>
          <w:sz w:val="24"/>
        </w:rPr>
        <w:t>表</w:t>
      </w:r>
      <w:r>
        <w:rPr>
          <w:b/>
          <w:color w:val="auto"/>
          <w:sz w:val="24"/>
        </w:rPr>
        <w:t>3.5-3  引用</w:t>
      </w:r>
      <w:r>
        <w:rPr>
          <w:rFonts w:hint="eastAsia"/>
          <w:b/>
          <w:color w:val="auto"/>
          <w:sz w:val="24"/>
        </w:rPr>
        <w:t>水质监测标准指数一览表</w:t>
      </w:r>
    </w:p>
    <w:tbl>
      <w:tblPr>
        <w:tblStyle w:val="22"/>
        <w:tblW w:w="9286" w:type="dxa"/>
        <w:jc w:val="righ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2210"/>
        <w:gridCol w:w="2968"/>
        <w:gridCol w:w="29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right"/>
        </w:trPr>
        <w:tc>
          <w:tcPr>
            <w:tcW w:w="1138" w:type="dxa"/>
            <w:vMerge w:val="restart"/>
            <w:vAlign w:val="center"/>
          </w:tcPr>
          <w:p>
            <w:pPr>
              <w:jc w:val="center"/>
              <w:rPr>
                <w:b/>
                <w:bCs/>
                <w:color w:val="auto"/>
                <w:szCs w:val="21"/>
              </w:rPr>
            </w:pPr>
            <w:r>
              <w:rPr>
                <w:b/>
                <w:bCs/>
                <w:color w:val="auto"/>
                <w:szCs w:val="21"/>
              </w:rPr>
              <w:t>序号</w:t>
            </w:r>
          </w:p>
        </w:tc>
        <w:tc>
          <w:tcPr>
            <w:tcW w:w="2210" w:type="dxa"/>
            <w:vMerge w:val="restart"/>
            <w:vAlign w:val="center"/>
          </w:tcPr>
          <w:p>
            <w:pPr>
              <w:jc w:val="center"/>
              <w:rPr>
                <w:b/>
                <w:bCs/>
                <w:color w:val="auto"/>
                <w:szCs w:val="21"/>
              </w:rPr>
            </w:pPr>
            <w:r>
              <w:rPr>
                <w:b/>
                <w:bCs/>
                <w:color w:val="auto"/>
                <w:szCs w:val="21"/>
              </w:rPr>
              <w:t>检测项目</w:t>
            </w:r>
          </w:p>
        </w:tc>
        <w:tc>
          <w:tcPr>
            <w:tcW w:w="5938" w:type="dxa"/>
            <w:gridSpan w:val="2"/>
            <w:vAlign w:val="center"/>
          </w:tcPr>
          <w:p>
            <w:pPr>
              <w:jc w:val="center"/>
              <w:rPr>
                <w:b/>
                <w:bCs/>
                <w:color w:val="auto"/>
                <w:szCs w:val="21"/>
              </w:rPr>
            </w:pPr>
            <w:r>
              <w:rPr>
                <w:b/>
                <w:bCs/>
                <w:color w:val="auto"/>
                <w:szCs w:val="21"/>
              </w:rPr>
              <w:t>监测断面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right"/>
        </w:trPr>
        <w:tc>
          <w:tcPr>
            <w:tcW w:w="1138" w:type="dxa"/>
            <w:vMerge w:val="continue"/>
            <w:vAlign w:val="center"/>
          </w:tcPr>
          <w:p>
            <w:pPr>
              <w:jc w:val="center"/>
              <w:rPr>
                <w:b/>
                <w:bCs/>
                <w:color w:val="auto"/>
                <w:szCs w:val="21"/>
              </w:rPr>
            </w:pPr>
          </w:p>
        </w:tc>
        <w:tc>
          <w:tcPr>
            <w:tcW w:w="2210" w:type="dxa"/>
            <w:vMerge w:val="continue"/>
            <w:vAlign w:val="center"/>
          </w:tcPr>
          <w:p>
            <w:pPr>
              <w:jc w:val="center"/>
              <w:rPr>
                <w:b/>
                <w:bCs/>
                <w:color w:val="auto"/>
                <w:szCs w:val="21"/>
              </w:rPr>
            </w:pPr>
          </w:p>
        </w:tc>
        <w:tc>
          <w:tcPr>
            <w:tcW w:w="2968" w:type="dxa"/>
            <w:vAlign w:val="center"/>
          </w:tcPr>
          <w:p>
            <w:pPr>
              <w:jc w:val="center"/>
              <w:rPr>
                <w:b/>
                <w:bCs/>
                <w:color w:val="auto"/>
                <w:szCs w:val="21"/>
              </w:rPr>
            </w:pPr>
            <w:r>
              <w:rPr>
                <w:b/>
                <w:bCs/>
                <w:color w:val="auto"/>
                <w:szCs w:val="21"/>
              </w:rPr>
              <w:t>柏洋溪</w:t>
            </w:r>
          </w:p>
        </w:tc>
        <w:tc>
          <w:tcPr>
            <w:tcW w:w="2970" w:type="dxa"/>
            <w:vAlign w:val="center"/>
          </w:tcPr>
          <w:p>
            <w:pPr>
              <w:jc w:val="center"/>
              <w:rPr>
                <w:b/>
                <w:bCs/>
                <w:color w:val="auto"/>
                <w:szCs w:val="21"/>
              </w:rPr>
            </w:pPr>
            <w:r>
              <w:rPr>
                <w:b/>
                <w:bCs/>
                <w:color w:val="auto"/>
                <w:szCs w:val="21"/>
              </w:rPr>
              <w:t>滞洪区排海口断面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vAlign w:val="center"/>
          </w:tcPr>
          <w:p>
            <w:pPr>
              <w:jc w:val="center"/>
              <w:rPr>
                <w:color w:val="auto"/>
                <w:szCs w:val="21"/>
              </w:rPr>
            </w:pPr>
            <w:r>
              <w:rPr>
                <w:color w:val="auto"/>
                <w:szCs w:val="21"/>
              </w:rPr>
              <w:t>1</w:t>
            </w:r>
          </w:p>
        </w:tc>
        <w:tc>
          <w:tcPr>
            <w:tcW w:w="2210" w:type="dxa"/>
            <w:vAlign w:val="center"/>
          </w:tcPr>
          <w:p>
            <w:pPr>
              <w:jc w:val="center"/>
              <w:rPr>
                <w:bCs/>
                <w:color w:val="auto"/>
                <w:szCs w:val="21"/>
              </w:rPr>
            </w:pPr>
            <w:r>
              <w:rPr>
                <w:bCs/>
                <w:color w:val="auto"/>
                <w:szCs w:val="21"/>
              </w:rPr>
              <w:t>pH</w:t>
            </w:r>
          </w:p>
        </w:tc>
        <w:tc>
          <w:tcPr>
            <w:tcW w:w="2968" w:type="dxa"/>
            <w:vAlign w:val="center"/>
          </w:tcPr>
          <w:p>
            <w:pPr>
              <w:jc w:val="center"/>
              <w:rPr>
                <w:color w:val="auto"/>
                <w:szCs w:val="21"/>
              </w:rPr>
            </w:pPr>
            <w:r>
              <w:rPr>
                <w:color w:val="auto"/>
                <w:szCs w:val="21"/>
              </w:rPr>
              <w:t>0.33~0.39</w:t>
            </w:r>
          </w:p>
        </w:tc>
        <w:tc>
          <w:tcPr>
            <w:tcW w:w="2970" w:type="dxa"/>
            <w:vAlign w:val="center"/>
          </w:tcPr>
          <w:p>
            <w:pPr>
              <w:adjustRightInd w:val="0"/>
              <w:snapToGrid w:val="0"/>
              <w:ind w:left="221" w:right="221"/>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vAlign w:val="center"/>
          </w:tcPr>
          <w:p>
            <w:pPr>
              <w:jc w:val="center"/>
              <w:rPr>
                <w:color w:val="auto"/>
                <w:szCs w:val="21"/>
              </w:rPr>
            </w:pPr>
            <w:r>
              <w:rPr>
                <w:color w:val="auto"/>
                <w:szCs w:val="21"/>
              </w:rPr>
              <w:t>2</w:t>
            </w:r>
          </w:p>
        </w:tc>
        <w:tc>
          <w:tcPr>
            <w:tcW w:w="2210" w:type="dxa"/>
            <w:vAlign w:val="center"/>
          </w:tcPr>
          <w:p>
            <w:pPr>
              <w:jc w:val="center"/>
              <w:rPr>
                <w:bCs/>
                <w:color w:val="auto"/>
                <w:szCs w:val="21"/>
              </w:rPr>
            </w:pPr>
            <w:r>
              <w:rPr>
                <w:bCs/>
                <w:color w:val="auto"/>
                <w:szCs w:val="21"/>
              </w:rPr>
              <w:t>COD</w:t>
            </w:r>
          </w:p>
        </w:tc>
        <w:tc>
          <w:tcPr>
            <w:tcW w:w="2968" w:type="dxa"/>
            <w:vAlign w:val="center"/>
          </w:tcPr>
          <w:p>
            <w:pPr>
              <w:jc w:val="center"/>
              <w:rPr>
                <w:color w:val="auto"/>
                <w:szCs w:val="21"/>
              </w:rPr>
            </w:pPr>
            <w:r>
              <w:rPr>
                <w:color w:val="auto"/>
                <w:szCs w:val="21"/>
              </w:rPr>
              <w:t>0.75~0.95</w:t>
            </w:r>
          </w:p>
        </w:tc>
        <w:tc>
          <w:tcPr>
            <w:tcW w:w="2970" w:type="dxa"/>
            <w:vAlign w:val="center"/>
          </w:tcPr>
          <w:p>
            <w:pPr>
              <w:adjustRightInd w:val="0"/>
              <w:snapToGrid w:val="0"/>
              <w:ind w:left="221" w:right="221"/>
              <w:jc w:val="center"/>
              <w:rPr>
                <w:color w:val="auto"/>
                <w:szCs w:val="21"/>
              </w:rPr>
            </w:pPr>
            <w:r>
              <w:rPr>
                <w:color w:val="auto"/>
                <w:szCs w:val="21"/>
              </w:rPr>
              <w:t>0.156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tcBorders>
              <w:bottom w:val="single" w:color="auto" w:sz="6" w:space="0"/>
            </w:tcBorders>
            <w:vAlign w:val="center"/>
          </w:tcPr>
          <w:p>
            <w:pPr>
              <w:jc w:val="center"/>
              <w:rPr>
                <w:color w:val="auto"/>
                <w:szCs w:val="21"/>
              </w:rPr>
            </w:pPr>
            <w:r>
              <w:rPr>
                <w:color w:val="auto"/>
                <w:szCs w:val="21"/>
              </w:rPr>
              <w:t>3</w:t>
            </w:r>
          </w:p>
        </w:tc>
        <w:tc>
          <w:tcPr>
            <w:tcW w:w="2210" w:type="dxa"/>
            <w:tcBorders>
              <w:bottom w:val="single" w:color="auto" w:sz="6" w:space="0"/>
            </w:tcBorders>
            <w:vAlign w:val="center"/>
          </w:tcPr>
          <w:p>
            <w:pPr>
              <w:jc w:val="center"/>
              <w:rPr>
                <w:bCs/>
                <w:color w:val="auto"/>
                <w:szCs w:val="21"/>
              </w:rPr>
            </w:pPr>
            <w:r>
              <w:rPr>
                <w:bCs/>
                <w:color w:val="auto"/>
                <w:szCs w:val="21"/>
              </w:rPr>
              <w:t>石油类</w:t>
            </w:r>
          </w:p>
        </w:tc>
        <w:tc>
          <w:tcPr>
            <w:tcW w:w="2968" w:type="dxa"/>
            <w:tcBorders>
              <w:bottom w:val="single" w:color="auto" w:sz="6" w:space="0"/>
            </w:tcBorders>
            <w:vAlign w:val="center"/>
          </w:tcPr>
          <w:p>
            <w:pPr>
              <w:jc w:val="center"/>
              <w:rPr>
                <w:color w:val="auto"/>
                <w:szCs w:val="21"/>
              </w:rPr>
            </w:pPr>
            <w:r>
              <w:rPr>
                <w:rFonts w:hint="eastAsia"/>
                <w:color w:val="auto"/>
                <w:szCs w:val="21"/>
                <w:lang w:val="en-US" w:eastAsia="zh-CN"/>
              </w:rPr>
              <w:t>0</w:t>
            </w:r>
            <w:r>
              <w:rPr>
                <w:color w:val="auto"/>
                <w:szCs w:val="21"/>
              </w:rPr>
              <w:t>~0.8</w:t>
            </w:r>
          </w:p>
        </w:tc>
        <w:tc>
          <w:tcPr>
            <w:tcW w:w="2970" w:type="dxa"/>
            <w:tcBorders>
              <w:bottom w:val="single" w:color="auto" w:sz="6" w:space="0"/>
            </w:tcBorders>
            <w:vAlign w:val="center"/>
          </w:tcPr>
          <w:p>
            <w:pPr>
              <w:adjustRightInd w:val="0"/>
              <w:snapToGrid w:val="0"/>
              <w:ind w:left="221" w:right="220"/>
              <w:jc w:val="center"/>
              <w:rPr>
                <w:color w:val="auto"/>
                <w:szCs w:val="21"/>
              </w:rPr>
            </w:pPr>
            <w:r>
              <w:rPr>
                <w:color w:val="auto"/>
                <w:szCs w:val="21"/>
              </w:rPr>
              <w:t>0.056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tcBorders>
              <w:top w:val="single" w:color="auto" w:sz="6" w:space="0"/>
            </w:tcBorders>
            <w:vAlign w:val="center"/>
          </w:tcPr>
          <w:p>
            <w:pPr>
              <w:jc w:val="center"/>
              <w:rPr>
                <w:color w:val="auto"/>
                <w:szCs w:val="21"/>
              </w:rPr>
            </w:pPr>
            <w:r>
              <w:rPr>
                <w:color w:val="auto"/>
                <w:szCs w:val="21"/>
              </w:rPr>
              <w:t>4</w:t>
            </w:r>
          </w:p>
        </w:tc>
        <w:tc>
          <w:tcPr>
            <w:tcW w:w="2210" w:type="dxa"/>
            <w:tcBorders>
              <w:top w:val="single" w:color="auto" w:sz="6" w:space="0"/>
            </w:tcBorders>
            <w:vAlign w:val="center"/>
          </w:tcPr>
          <w:p>
            <w:pPr>
              <w:jc w:val="center"/>
              <w:rPr>
                <w:bCs/>
                <w:color w:val="auto"/>
                <w:szCs w:val="21"/>
              </w:rPr>
            </w:pPr>
            <w:r>
              <w:rPr>
                <w:bCs/>
                <w:color w:val="auto"/>
                <w:szCs w:val="21"/>
              </w:rPr>
              <w:t>氨氮</w:t>
            </w:r>
          </w:p>
        </w:tc>
        <w:tc>
          <w:tcPr>
            <w:tcW w:w="2968" w:type="dxa"/>
            <w:tcBorders>
              <w:top w:val="single" w:color="auto" w:sz="6" w:space="0"/>
            </w:tcBorders>
            <w:vAlign w:val="center"/>
          </w:tcPr>
          <w:p>
            <w:pPr>
              <w:jc w:val="center"/>
              <w:rPr>
                <w:color w:val="auto"/>
                <w:szCs w:val="21"/>
              </w:rPr>
            </w:pPr>
            <w:r>
              <w:rPr>
                <w:color w:val="auto"/>
                <w:szCs w:val="21"/>
              </w:rPr>
              <w:t>0.814~0.937</w:t>
            </w:r>
          </w:p>
        </w:tc>
        <w:tc>
          <w:tcPr>
            <w:tcW w:w="2970" w:type="dxa"/>
            <w:tcBorders>
              <w:top w:val="single" w:color="auto" w:sz="6" w:space="0"/>
            </w:tcBorders>
            <w:vAlign w:val="center"/>
          </w:tcPr>
          <w:p>
            <w:pPr>
              <w:adjustRightInd w:val="0"/>
              <w:snapToGrid w:val="0"/>
              <w:ind w:left="221" w:right="220"/>
              <w:jc w:val="center"/>
              <w:rPr>
                <w:color w:val="auto"/>
                <w:szCs w:val="21"/>
              </w:rPr>
            </w:pPr>
            <w:r>
              <w:rPr>
                <w:color w:val="auto"/>
                <w:szCs w:val="21"/>
              </w:rPr>
              <w:t>0.218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vAlign w:val="center"/>
          </w:tcPr>
          <w:p>
            <w:pPr>
              <w:jc w:val="center"/>
              <w:rPr>
                <w:color w:val="auto"/>
                <w:szCs w:val="21"/>
              </w:rPr>
            </w:pPr>
            <w:r>
              <w:rPr>
                <w:color w:val="auto"/>
                <w:szCs w:val="21"/>
              </w:rPr>
              <w:t>5</w:t>
            </w:r>
          </w:p>
        </w:tc>
        <w:tc>
          <w:tcPr>
            <w:tcW w:w="2210" w:type="dxa"/>
            <w:vAlign w:val="center"/>
          </w:tcPr>
          <w:p>
            <w:pPr>
              <w:jc w:val="center"/>
              <w:rPr>
                <w:bCs/>
                <w:color w:val="auto"/>
                <w:szCs w:val="21"/>
              </w:rPr>
            </w:pPr>
            <w:r>
              <w:rPr>
                <w:bCs/>
                <w:color w:val="auto"/>
                <w:szCs w:val="21"/>
              </w:rPr>
              <w:t>总氮</w:t>
            </w:r>
          </w:p>
        </w:tc>
        <w:tc>
          <w:tcPr>
            <w:tcW w:w="2968" w:type="dxa"/>
            <w:vAlign w:val="center"/>
          </w:tcPr>
          <w:p>
            <w:pPr>
              <w:jc w:val="center"/>
              <w:rPr>
                <w:color w:val="auto"/>
                <w:szCs w:val="21"/>
              </w:rPr>
            </w:pPr>
            <w:r>
              <w:rPr>
                <w:color w:val="auto"/>
                <w:szCs w:val="21"/>
              </w:rPr>
              <w:t>0.843~0.869</w:t>
            </w:r>
          </w:p>
        </w:tc>
        <w:tc>
          <w:tcPr>
            <w:tcW w:w="2970" w:type="dxa"/>
            <w:vAlign w:val="center"/>
          </w:tcPr>
          <w:p>
            <w:pPr>
              <w:adjustRightInd w:val="0"/>
              <w:snapToGrid w:val="0"/>
              <w:ind w:left="221" w:right="22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vAlign w:val="center"/>
          </w:tcPr>
          <w:p>
            <w:pPr>
              <w:jc w:val="center"/>
              <w:rPr>
                <w:color w:val="auto"/>
                <w:szCs w:val="21"/>
              </w:rPr>
            </w:pPr>
            <w:r>
              <w:rPr>
                <w:color w:val="auto"/>
                <w:szCs w:val="21"/>
              </w:rPr>
              <w:t>6</w:t>
            </w:r>
          </w:p>
        </w:tc>
        <w:tc>
          <w:tcPr>
            <w:tcW w:w="2210" w:type="dxa"/>
            <w:vAlign w:val="center"/>
          </w:tcPr>
          <w:p>
            <w:pPr>
              <w:jc w:val="center"/>
              <w:rPr>
                <w:bCs/>
                <w:color w:val="auto"/>
                <w:szCs w:val="21"/>
              </w:rPr>
            </w:pPr>
            <w:r>
              <w:rPr>
                <w:bCs/>
                <w:color w:val="auto"/>
                <w:szCs w:val="21"/>
              </w:rPr>
              <w:t>总磷</w:t>
            </w:r>
          </w:p>
        </w:tc>
        <w:tc>
          <w:tcPr>
            <w:tcW w:w="2968" w:type="dxa"/>
            <w:vAlign w:val="center"/>
          </w:tcPr>
          <w:p>
            <w:pPr>
              <w:jc w:val="center"/>
              <w:rPr>
                <w:color w:val="auto"/>
                <w:szCs w:val="21"/>
              </w:rPr>
            </w:pPr>
            <w:r>
              <w:rPr>
                <w:color w:val="auto"/>
                <w:szCs w:val="21"/>
              </w:rPr>
              <w:t>0.2~0.35</w:t>
            </w:r>
          </w:p>
        </w:tc>
        <w:tc>
          <w:tcPr>
            <w:tcW w:w="2970" w:type="dxa"/>
            <w:vAlign w:val="center"/>
          </w:tcPr>
          <w:p>
            <w:pPr>
              <w:adjustRightInd w:val="0"/>
              <w:snapToGrid w:val="0"/>
              <w:ind w:left="221" w:right="22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right"/>
        </w:trPr>
        <w:tc>
          <w:tcPr>
            <w:tcW w:w="1138" w:type="dxa"/>
            <w:vAlign w:val="center"/>
          </w:tcPr>
          <w:p>
            <w:pPr>
              <w:pStyle w:val="63"/>
              <w:tabs>
                <w:tab w:val="right" w:pos="8502"/>
                <w:tab w:val="right" w:pos="8802"/>
              </w:tabs>
              <w:rPr>
                <w:rFonts w:eastAsia="宋体"/>
                <w:color w:val="auto"/>
                <w:szCs w:val="21"/>
              </w:rPr>
            </w:pPr>
            <w:r>
              <w:rPr>
                <w:rFonts w:eastAsia="宋体"/>
                <w:color w:val="auto"/>
                <w:szCs w:val="21"/>
              </w:rPr>
              <w:t>7</w:t>
            </w:r>
          </w:p>
        </w:tc>
        <w:tc>
          <w:tcPr>
            <w:tcW w:w="2210" w:type="dxa"/>
            <w:vAlign w:val="center"/>
          </w:tcPr>
          <w:p>
            <w:pPr>
              <w:jc w:val="center"/>
              <w:rPr>
                <w:color w:val="auto"/>
                <w:szCs w:val="21"/>
              </w:rPr>
            </w:pPr>
            <w:r>
              <w:rPr>
                <w:color w:val="auto"/>
                <w:szCs w:val="21"/>
              </w:rPr>
              <w:t>镍</w:t>
            </w:r>
          </w:p>
        </w:tc>
        <w:tc>
          <w:tcPr>
            <w:tcW w:w="2968" w:type="dxa"/>
            <w:vAlign w:val="center"/>
          </w:tcPr>
          <w:p>
            <w:pPr>
              <w:jc w:val="center"/>
              <w:rPr>
                <w:rFonts w:hint="eastAsia" w:eastAsia="宋体"/>
                <w:color w:val="auto"/>
                <w:szCs w:val="21"/>
                <w:lang w:eastAsia="zh-CN"/>
              </w:rPr>
            </w:pPr>
            <w:r>
              <w:rPr>
                <w:color w:val="auto"/>
                <w:szCs w:val="21"/>
              </w:rPr>
              <w:t>——</w:t>
            </w:r>
          </w:p>
        </w:tc>
        <w:tc>
          <w:tcPr>
            <w:tcW w:w="2970" w:type="dxa"/>
            <w:vAlign w:val="center"/>
          </w:tcPr>
          <w:p>
            <w:pPr>
              <w:adjustRightInd w:val="0"/>
              <w:snapToGrid w:val="0"/>
              <w:ind w:left="221" w:right="221"/>
              <w:jc w:val="center"/>
              <w:rPr>
                <w:color w:val="auto"/>
                <w:szCs w:val="21"/>
              </w:rPr>
            </w:pPr>
            <w:r>
              <w:rPr>
                <w:color w:val="auto"/>
                <w:szCs w:val="21"/>
              </w:rPr>
              <w:t>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right"/>
        </w:trPr>
        <w:tc>
          <w:tcPr>
            <w:tcW w:w="1138" w:type="dxa"/>
            <w:vAlign w:val="center"/>
          </w:tcPr>
          <w:p>
            <w:pPr>
              <w:pStyle w:val="63"/>
              <w:tabs>
                <w:tab w:val="right" w:pos="8502"/>
                <w:tab w:val="right" w:pos="8802"/>
              </w:tabs>
              <w:rPr>
                <w:rFonts w:eastAsia="宋体"/>
                <w:color w:val="auto"/>
                <w:szCs w:val="21"/>
              </w:rPr>
            </w:pPr>
            <w:r>
              <w:rPr>
                <w:rFonts w:eastAsia="宋体"/>
                <w:color w:val="auto"/>
                <w:szCs w:val="21"/>
              </w:rPr>
              <w:t>8</w:t>
            </w:r>
          </w:p>
        </w:tc>
        <w:tc>
          <w:tcPr>
            <w:tcW w:w="2210" w:type="dxa"/>
            <w:vAlign w:val="center"/>
          </w:tcPr>
          <w:p>
            <w:pPr>
              <w:jc w:val="center"/>
              <w:rPr>
                <w:color w:val="auto"/>
              </w:rPr>
            </w:pPr>
            <w:r>
              <w:rPr>
                <w:color w:val="auto"/>
                <w:szCs w:val="21"/>
              </w:rPr>
              <w:t>铬</w:t>
            </w:r>
          </w:p>
        </w:tc>
        <w:tc>
          <w:tcPr>
            <w:tcW w:w="2968" w:type="dxa"/>
            <w:vAlign w:val="center"/>
          </w:tcPr>
          <w:p>
            <w:pPr>
              <w:jc w:val="center"/>
              <w:rPr>
                <w:rFonts w:hint="default"/>
                <w:color w:val="auto"/>
                <w:szCs w:val="21"/>
                <w:lang w:val="en-US"/>
              </w:rPr>
            </w:pPr>
            <w:r>
              <w:rPr>
                <w:rFonts w:hint="eastAsia"/>
                <w:color w:val="auto"/>
                <w:szCs w:val="21"/>
                <w:highlight w:val="none"/>
                <w:lang w:val="en-US" w:eastAsia="zh-CN"/>
              </w:rPr>
              <w:t>0.18~0.34</w:t>
            </w:r>
          </w:p>
        </w:tc>
        <w:tc>
          <w:tcPr>
            <w:tcW w:w="2970" w:type="dxa"/>
            <w:vAlign w:val="center"/>
          </w:tcPr>
          <w:p>
            <w:pPr>
              <w:adjustRightInd w:val="0"/>
              <w:snapToGrid w:val="0"/>
              <w:ind w:left="221" w:right="221"/>
              <w:jc w:val="center"/>
              <w:rPr>
                <w:color w:val="auto"/>
                <w:szCs w:val="21"/>
              </w:rPr>
            </w:pPr>
            <w:r>
              <w:rPr>
                <w:color w:val="auto"/>
                <w:szCs w:val="21"/>
              </w:rPr>
              <w:t>——</w:t>
            </w:r>
          </w:p>
        </w:tc>
      </w:tr>
    </w:tbl>
    <w:p>
      <w:pPr>
        <w:pStyle w:val="64"/>
        <w:spacing w:line="360" w:lineRule="auto"/>
        <w:ind w:firstLine="456"/>
        <w:rPr>
          <w:rFonts w:cs="Times New Roman"/>
          <w:color w:val="auto"/>
          <w:spacing w:val="-6"/>
          <w:kern w:val="2"/>
        </w:rPr>
      </w:pPr>
      <w:r>
        <w:rPr>
          <w:rFonts w:hint="eastAsia" w:cs="Times New Roman"/>
          <w:color w:val="auto"/>
          <w:spacing w:val="-6"/>
          <w:kern w:val="2"/>
        </w:rPr>
        <w:t>从表3.</w:t>
      </w:r>
      <w:r>
        <w:rPr>
          <w:rFonts w:cs="Times New Roman"/>
          <w:color w:val="auto"/>
          <w:spacing w:val="-6"/>
          <w:kern w:val="2"/>
        </w:rPr>
        <w:t>5</w:t>
      </w:r>
      <w:r>
        <w:rPr>
          <w:rFonts w:hint="eastAsia" w:cs="Times New Roman"/>
          <w:color w:val="auto"/>
          <w:spacing w:val="-6"/>
          <w:kern w:val="2"/>
        </w:rPr>
        <w:t>-</w:t>
      </w:r>
      <w:r>
        <w:rPr>
          <w:rFonts w:cs="Times New Roman"/>
          <w:color w:val="auto"/>
          <w:spacing w:val="-6"/>
          <w:kern w:val="2"/>
        </w:rPr>
        <w:t>3</w:t>
      </w:r>
      <w:r>
        <w:rPr>
          <w:rFonts w:hint="eastAsia" w:cs="Times New Roman"/>
          <w:color w:val="auto"/>
          <w:spacing w:val="-6"/>
          <w:kern w:val="2"/>
        </w:rPr>
        <w:t>来看，柏洋溪和滞洪区排海口的水质尚好，各指标均满足《地表水环境质量标准》</w:t>
      </w:r>
      <w:r>
        <w:rPr>
          <w:rFonts w:hint="eastAsia" w:cs="Times New Roman"/>
          <w:color w:val="auto"/>
          <w:spacing w:val="-6"/>
          <w:kern w:val="2"/>
          <w:lang w:eastAsia="zh-CN"/>
        </w:rPr>
        <w:t>（</w:t>
      </w:r>
      <w:r>
        <w:rPr>
          <w:rFonts w:hint="eastAsia" w:cs="Times New Roman"/>
          <w:color w:val="auto"/>
          <w:spacing w:val="-6"/>
          <w:kern w:val="2"/>
        </w:rPr>
        <w:t xml:space="preserve"> GB3838-2002</w:t>
      </w:r>
      <w:r>
        <w:rPr>
          <w:rFonts w:hint="eastAsia" w:cs="Times New Roman"/>
          <w:color w:val="auto"/>
          <w:spacing w:val="-6"/>
          <w:kern w:val="2"/>
          <w:lang w:eastAsia="zh-CN"/>
        </w:rPr>
        <w:t>）</w:t>
      </w:r>
      <w:r>
        <w:rPr>
          <w:rFonts w:hint="eastAsia" w:cs="Times New Roman"/>
          <w:color w:val="auto"/>
          <w:spacing w:val="-6"/>
          <w:kern w:val="2"/>
        </w:rPr>
        <w:t>Ⅲ类标准值。</w:t>
      </w:r>
    </w:p>
    <w:p>
      <w:pPr>
        <w:spacing w:line="360" w:lineRule="auto"/>
        <w:outlineLvl w:val="2"/>
        <w:rPr>
          <w:b/>
          <w:color w:val="auto"/>
          <w:sz w:val="24"/>
        </w:rPr>
      </w:pPr>
      <w:r>
        <w:rPr>
          <w:b/>
          <w:color w:val="auto"/>
          <w:sz w:val="24"/>
        </w:rPr>
        <w:t>3.</w:t>
      </w:r>
      <w:r>
        <w:rPr>
          <w:rFonts w:hint="eastAsia"/>
          <w:b/>
          <w:color w:val="auto"/>
          <w:sz w:val="24"/>
        </w:rPr>
        <w:t>5</w:t>
      </w:r>
      <w:r>
        <w:rPr>
          <w:b/>
          <w:color w:val="auto"/>
          <w:sz w:val="24"/>
        </w:rPr>
        <w:t>.</w:t>
      </w:r>
      <w:r>
        <w:rPr>
          <w:rFonts w:hint="eastAsia"/>
          <w:b/>
          <w:color w:val="auto"/>
          <w:sz w:val="24"/>
        </w:rPr>
        <w:t>2地下水现状调查与评价</w:t>
      </w:r>
    </w:p>
    <w:p>
      <w:pPr>
        <w:autoSpaceDE w:val="0"/>
        <w:autoSpaceDN w:val="0"/>
        <w:spacing w:line="360" w:lineRule="auto"/>
        <w:ind w:firstLine="480" w:firstLineChars="200"/>
        <w:textAlignment w:val="bottom"/>
        <w:rPr>
          <w:snapToGrid w:val="0"/>
          <w:color w:val="auto"/>
          <w:kern w:val="18"/>
          <w:sz w:val="24"/>
        </w:rPr>
      </w:pPr>
      <w:r>
        <w:rPr>
          <w:rFonts w:hint="eastAsia"/>
          <w:snapToGrid w:val="0"/>
          <w:color w:val="auto"/>
          <w:kern w:val="18"/>
          <w:sz w:val="24"/>
        </w:rPr>
        <w:t>为了解项目周边地下水环境现状，</w:t>
      </w:r>
      <w:r>
        <w:rPr>
          <w:rFonts w:hint="eastAsia"/>
          <w:color w:val="auto"/>
          <w:sz w:val="24"/>
        </w:rPr>
        <w:t>本项目</w:t>
      </w:r>
      <w:r>
        <w:rPr>
          <w:rFonts w:hint="eastAsia"/>
          <w:snapToGrid w:val="0"/>
          <w:color w:val="auto"/>
          <w:kern w:val="18"/>
          <w:sz w:val="24"/>
        </w:rPr>
        <w:t>引用</w:t>
      </w:r>
      <w:r>
        <w:rPr>
          <w:rFonts w:hint="eastAsia"/>
          <w:color w:val="auto"/>
          <w:sz w:val="24"/>
        </w:rPr>
        <w:t>《福建省鳌峰铝业有限公司年产</w:t>
      </w:r>
      <w:r>
        <w:rPr>
          <w:color w:val="auto"/>
          <w:sz w:val="24"/>
        </w:rPr>
        <w:t xml:space="preserve">5000 </w:t>
      </w:r>
      <w:r>
        <w:rPr>
          <w:rFonts w:hint="eastAsia"/>
          <w:color w:val="auto"/>
          <w:sz w:val="24"/>
        </w:rPr>
        <w:t>吨铝型材项目环境影响报告书》</w:t>
      </w:r>
      <w:r>
        <w:rPr>
          <w:color w:val="auto"/>
          <w:sz w:val="24"/>
        </w:rPr>
        <w:t>2017</w:t>
      </w:r>
      <w:r>
        <w:rPr>
          <w:rFonts w:hint="eastAsia"/>
          <w:color w:val="auto"/>
          <w:sz w:val="24"/>
        </w:rPr>
        <w:t>年</w:t>
      </w:r>
      <w:r>
        <w:rPr>
          <w:color w:val="auto"/>
          <w:sz w:val="24"/>
        </w:rPr>
        <w:t>4</w:t>
      </w:r>
      <w:r>
        <w:rPr>
          <w:rFonts w:hint="eastAsia"/>
          <w:color w:val="auto"/>
          <w:sz w:val="24"/>
        </w:rPr>
        <w:t>月</w:t>
      </w:r>
      <w:r>
        <w:rPr>
          <w:color w:val="auto"/>
          <w:sz w:val="24"/>
        </w:rPr>
        <w:t>1</w:t>
      </w:r>
      <w:r>
        <w:rPr>
          <w:rFonts w:hint="eastAsia"/>
          <w:color w:val="auto"/>
          <w:sz w:val="24"/>
        </w:rPr>
        <w:t>日对东埕村水井</w:t>
      </w:r>
      <w:r>
        <w:rPr>
          <w:rFonts w:hint="eastAsia"/>
          <w:snapToGrid w:val="0"/>
          <w:color w:val="auto"/>
          <w:kern w:val="18"/>
          <w:sz w:val="24"/>
        </w:rPr>
        <w:t>地下水水质</w:t>
      </w:r>
      <w:r>
        <w:rPr>
          <w:rFonts w:hint="eastAsia"/>
          <w:color w:val="auto"/>
          <w:sz w:val="24"/>
        </w:rPr>
        <w:t>的监测数据</w:t>
      </w:r>
      <w:r>
        <w:rPr>
          <w:rFonts w:hint="eastAsia"/>
          <w:snapToGrid w:val="0"/>
          <w:color w:val="auto"/>
          <w:kern w:val="18"/>
          <w:sz w:val="24"/>
        </w:rPr>
        <w:t>；同时</w:t>
      </w:r>
      <w:r>
        <w:rPr>
          <w:rFonts w:hint="eastAsia"/>
          <w:color w:val="auto"/>
          <w:sz w:val="24"/>
        </w:rPr>
        <w:t>引用《福建申达钢铁有限公司特种重型模锻钢、高强度管桩端板及阀门铸件改扩建项目环境影响报告书》中</w:t>
      </w:r>
      <w:r>
        <w:rPr>
          <w:color w:val="auto"/>
          <w:sz w:val="24"/>
        </w:rPr>
        <w:t>2017</w:t>
      </w:r>
      <w:r>
        <w:rPr>
          <w:rFonts w:hint="eastAsia"/>
          <w:color w:val="auto"/>
          <w:sz w:val="24"/>
        </w:rPr>
        <w:t>年</w:t>
      </w:r>
      <w:r>
        <w:rPr>
          <w:color w:val="auto"/>
          <w:sz w:val="24"/>
        </w:rPr>
        <w:t>6</w:t>
      </w:r>
      <w:r>
        <w:rPr>
          <w:rFonts w:hint="eastAsia"/>
          <w:color w:val="auto"/>
          <w:sz w:val="24"/>
        </w:rPr>
        <w:t>月</w:t>
      </w:r>
      <w:r>
        <w:rPr>
          <w:color w:val="auto"/>
          <w:sz w:val="24"/>
        </w:rPr>
        <w:t>17</w:t>
      </w:r>
      <w:r>
        <w:rPr>
          <w:rFonts w:hint="eastAsia"/>
          <w:color w:val="auto"/>
          <w:sz w:val="24"/>
        </w:rPr>
        <w:t>日</w:t>
      </w:r>
      <w:r>
        <w:rPr>
          <w:color w:val="auto"/>
          <w:sz w:val="24"/>
        </w:rPr>
        <w:t>-18</w:t>
      </w:r>
      <w:r>
        <w:rPr>
          <w:rFonts w:hint="eastAsia"/>
          <w:color w:val="auto"/>
          <w:sz w:val="24"/>
        </w:rPr>
        <w:t>日对</w:t>
      </w:r>
      <w:r>
        <w:rPr>
          <w:rFonts w:hint="eastAsia"/>
          <w:snapToGrid w:val="0"/>
          <w:color w:val="auto"/>
          <w:kern w:val="18"/>
          <w:sz w:val="24"/>
        </w:rPr>
        <w:t>柏洋村和斗门头村井地下水水质</w:t>
      </w:r>
      <w:r>
        <w:rPr>
          <w:rFonts w:hint="eastAsia"/>
          <w:color w:val="auto"/>
          <w:sz w:val="24"/>
        </w:rPr>
        <w:t>的监测数据</w:t>
      </w:r>
      <w:r>
        <w:rPr>
          <w:rFonts w:hint="eastAsia"/>
          <w:snapToGrid w:val="0"/>
          <w:color w:val="auto"/>
          <w:kern w:val="18"/>
          <w:sz w:val="24"/>
        </w:rPr>
        <w:t>，同时，企业委托福建科林检测技术有限公司于2019年1月15日对集控中心监控井地下水水质进行监测。监测点位置见图</w:t>
      </w:r>
      <w:r>
        <w:rPr>
          <w:snapToGrid w:val="0"/>
          <w:color w:val="auto"/>
          <w:kern w:val="18"/>
          <w:sz w:val="24"/>
        </w:rPr>
        <w:t>3.</w:t>
      </w:r>
      <w:r>
        <w:rPr>
          <w:rFonts w:hint="eastAsia"/>
          <w:snapToGrid w:val="0"/>
          <w:color w:val="auto"/>
          <w:kern w:val="18"/>
          <w:sz w:val="24"/>
        </w:rPr>
        <w:t>5</w:t>
      </w:r>
      <w:r>
        <w:rPr>
          <w:snapToGrid w:val="0"/>
          <w:color w:val="auto"/>
          <w:kern w:val="18"/>
          <w:sz w:val="24"/>
        </w:rPr>
        <w:t>-1</w:t>
      </w:r>
      <w:r>
        <w:rPr>
          <w:rFonts w:hint="eastAsia"/>
          <w:snapToGrid w:val="0"/>
          <w:color w:val="auto"/>
          <w:kern w:val="18"/>
          <w:sz w:val="24"/>
        </w:rPr>
        <w:t>。</w:t>
      </w:r>
    </w:p>
    <w:p>
      <w:pPr>
        <w:spacing w:line="360" w:lineRule="auto"/>
        <w:outlineLvl w:val="3"/>
        <w:rPr>
          <w:color w:val="auto"/>
          <w:sz w:val="24"/>
        </w:rPr>
      </w:pPr>
      <w:r>
        <w:rPr>
          <w:color w:val="auto"/>
          <w:sz w:val="24"/>
        </w:rPr>
        <w:t>3.</w:t>
      </w:r>
      <w:r>
        <w:rPr>
          <w:rFonts w:hint="eastAsia"/>
          <w:color w:val="auto"/>
          <w:sz w:val="24"/>
        </w:rPr>
        <w:t>5.2</w:t>
      </w:r>
      <w:r>
        <w:rPr>
          <w:color w:val="auto"/>
          <w:sz w:val="24"/>
        </w:rPr>
        <w:t>.1</w:t>
      </w:r>
      <w:r>
        <w:rPr>
          <w:rFonts w:hint="eastAsia"/>
          <w:color w:val="auto"/>
          <w:sz w:val="24"/>
        </w:rPr>
        <w:t>监测项目及分析方法</w:t>
      </w:r>
    </w:p>
    <w:p>
      <w:pPr>
        <w:autoSpaceDE w:val="0"/>
        <w:autoSpaceDN w:val="0"/>
        <w:spacing w:line="360" w:lineRule="auto"/>
        <w:ind w:firstLine="480" w:firstLineChars="200"/>
        <w:textAlignment w:val="bottom"/>
        <w:rPr>
          <w:color w:val="auto"/>
          <w:sz w:val="24"/>
        </w:rPr>
      </w:pPr>
      <w:r>
        <w:rPr>
          <w:rFonts w:hint="eastAsia"/>
          <w:color w:val="auto"/>
          <w:sz w:val="24"/>
        </w:rPr>
        <w:t>东埕村监测项目：</w:t>
      </w:r>
      <w:r>
        <w:rPr>
          <w:color w:val="auto"/>
          <w:sz w:val="24"/>
        </w:rPr>
        <w:t>pH</w:t>
      </w:r>
      <w:r>
        <w:rPr>
          <w:rFonts w:hint="eastAsia"/>
          <w:color w:val="auto"/>
          <w:sz w:val="24"/>
        </w:rPr>
        <w:t>、高锰酸盐指数、铅、汞、砷、六价铬、镉、铜、镍；</w:t>
      </w:r>
    </w:p>
    <w:p>
      <w:pPr>
        <w:autoSpaceDE w:val="0"/>
        <w:autoSpaceDN w:val="0"/>
        <w:spacing w:line="360" w:lineRule="auto"/>
        <w:ind w:firstLine="480" w:firstLineChars="200"/>
        <w:textAlignment w:val="bottom"/>
        <w:rPr>
          <w:color w:val="auto"/>
          <w:sz w:val="24"/>
        </w:rPr>
      </w:pPr>
      <w:r>
        <w:rPr>
          <w:rFonts w:hint="eastAsia"/>
          <w:snapToGrid w:val="0"/>
          <w:color w:val="auto"/>
          <w:kern w:val="18"/>
          <w:sz w:val="24"/>
        </w:rPr>
        <w:t>柏洋村和斗门头村</w:t>
      </w:r>
      <w:r>
        <w:rPr>
          <w:rFonts w:hint="eastAsia"/>
          <w:color w:val="auto"/>
          <w:sz w:val="24"/>
        </w:rPr>
        <w:t>监测项目：</w:t>
      </w:r>
      <w:r>
        <w:rPr>
          <w:color w:val="auto"/>
          <w:sz w:val="24"/>
        </w:rPr>
        <w:t>pH</w:t>
      </w:r>
      <w:r>
        <w:rPr>
          <w:rFonts w:hint="eastAsia"/>
          <w:color w:val="auto"/>
          <w:sz w:val="24"/>
        </w:rPr>
        <w:t>、氨氮、高锰酸盐指数、总硬度、硫酸盐、亚硝酸盐、六价铬、砷、镉、汞、铜、镍、铅。</w:t>
      </w:r>
    </w:p>
    <w:p>
      <w:pPr>
        <w:autoSpaceDE w:val="0"/>
        <w:autoSpaceDN w:val="0"/>
        <w:spacing w:line="360" w:lineRule="auto"/>
        <w:ind w:firstLine="480" w:firstLineChars="200"/>
        <w:textAlignment w:val="bottom"/>
        <w:rPr>
          <w:color w:val="auto"/>
          <w:sz w:val="24"/>
        </w:rPr>
      </w:pPr>
      <w:r>
        <w:rPr>
          <w:rFonts w:hint="eastAsia"/>
          <w:color w:val="auto"/>
          <w:sz w:val="24"/>
        </w:rPr>
        <w:t>集控中心地下水监测项目：</w:t>
      </w:r>
      <w:r>
        <w:rPr>
          <w:color w:val="auto"/>
          <w:sz w:val="24"/>
        </w:rPr>
        <w:t>pH</w:t>
      </w:r>
      <w:r>
        <w:rPr>
          <w:rFonts w:hint="eastAsia"/>
          <w:color w:val="auto"/>
          <w:sz w:val="24"/>
        </w:rPr>
        <w:t>、溶解氧、亚硝酸盐、硝酸盐、氯化物、挥发酚、氨氮、硫酸盐、氰化物、氟化物、溶解性总固体、六价铬、铜、镍、锌。</w:t>
      </w:r>
    </w:p>
    <w:p>
      <w:pPr>
        <w:spacing w:line="360" w:lineRule="auto"/>
        <w:outlineLvl w:val="3"/>
        <w:rPr>
          <w:color w:val="auto"/>
          <w:sz w:val="24"/>
        </w:rPr>
      </w:pPr>
      <w:r>
        <w:rPr>
          <w:color w:val="auto"/>
          <w:sz w:val="24"/>
        </w:rPr>
        <w:t>3.</w:t>
      </w:r>
      <w:r>
        <w:rPr>
          <w:rFonts w:hint="eastAsia"/>
          <w:color w:val="auto"/>
          <w:sz w:val="24"/>
        </w:rPr>
        <w:t>5.2</w:t>
      </w:r>
      <w:r>
        <w:rPr>
          <w:color w:val="auto"/>
          <w:sz w:val="24"/>
        </w:rPr>
        <w:t>.2</w:t>
      </w:r>
      <w:r>
        <w:rPr>
          <w:rFonts w:hint="eastAsia"/>
          <w:color w:val="auto"/>
          <w:sz w:val="24"/>
        </w:rPr>
        <w:t>执行标准及评价方法</w:t>
      </w:r>
    </w:p>
    <w:p>
      <w:pPr>
        <w:pStyle w:val="65"/>
        <w:wordWrap w:val="0"/>
        <w:ind w:firstLine="496"/>
        <w:rPr>
          <w:rFonts w:hAnsi="Times New Roman" w:eastAsia="宋体" w:cs="宋体"/>
          <w:color w:val="auto"/>
          <w:spacing w:val="4"/>
          <w:kern w:val="0"/>
          <w:szCs w:val="24"/>
        </w:rPr>
      </w:pPr>
      <w:r>
        <w:rPr>
          <w:rFonts w:hint="eastAsia" w:hAnsi="Times New Roman" w:eastAsia="宋体" w:cs="宋体"/>
          <w:color w:val="auto"/>
          <w:spacing w:val="4"/>
          <w:kern w:val="0"/>
          <w:szCs w:val="24"/>
        </w:rPr>
        <w:t>地下水评价采用《地下水质量标准》（</w:t>
      </w:r>
      <w:r>
        <w:rPr>
          <w:rFonts w:hAnsi="Times New Roman" w:eastAsia="宋体" w:cs="宋体"/>
          <w:color w:val="auto"/>
          <w:spacing w:val="4"/>
          <w:kern w:val="0"/>
          <w:szCs w:val="24"/>
        </w:rPr>
        <w:t>GB/T14848-2017</w:t>
      </w:r>
      <w:r>
        <w:rPr>
          <w:rFonts w:hint="eastAsia" w:hAnsi="Times New Roman" w:eastAsia="宋体" w:cs="宋体"/>
          <w:color w:val="auto"/>
          <w:spacing w:val="4"/>
          <w:kern w:val="0"/>
          <w:szCs w:val="24"/>
        </w:rPr>
        <w:t>）中Ⅲ类标准。评价方法采用单项组分评价。</w:t>
      </w:r>
    </w:p>
    <w:p>
      <w:pPr>
        <w:spacing w:line="360" w:lineRule="auto"/>
        <w:outlineLvl w:val="3"/>
        <w:rPr>
          <w:color w:val="auto"/>
          <w:sz w:val="24"/>
        </w:rPr>
      </w:pPr>
      <w:r>
        <w:rPr>
          <w:color w:val="auto"/>
          <w:sz w:val="24"/>
        </w:rPr>
        <w:t>3.</w:t>
      </w:r>
      <w:r>
        <w:rPr>
          <w:rFonts w:hint="eastAsia"/>
          <w:color w:val="auto"/>
          <w:sz w:val="24"/>
        </w:rPr>
        <w:t>5.2</w:t>
      </w:r>
      <w:r>
        <w:rPr>
          <w:color w:val="auto"/>
          <w:sz w:val="24"/>
        </w:rPr>
        <w:t>.3</w:t>
      </w:r>
      <w:r>
        <w:rPr>
          <w:rFonts w:hint="eastAsia"/>
          <w:color w:val="auto"/>
          <w:sz w:val="24"/>
        </w:rPr>
        <w:t>监测数据及分析评价</w:t>
      </w:r>
    </w:p>
    <w:p>
      <w:pPr>
        <w:pStyle w:val="64"/>
        <w:spacing w:line="360" w:lineRule="auto"/>
        <w:ind w:firstLine="396" w:firstLineChars="0"/>
        <w:rPr>
          <w:color w:val="auto"/>
        </w:rPr>
      </w:pPr>
      <w:r>
        <w:rPr>
          <w:color w:val="auto"/>
        </w:rPr>
        <w:t>监测结果见表3.</w:t>
      </w:r>
      <w:r>
        <w:rPr>
          <w:rFonts w:hint="eastAsia"/>
          <w:color w:val="auto"/>
        </w:rPr>
        <w:t>5-4</w:t>
      </w:r>
      <w:r>
        <w:rPr>
          <w:color w:val="auto"/>
        </w:rPr>
        <w:t>。</w:t>
      </w:r>
    </w:p>
    <w:p>
      <w:pPr>
        <w:autoSpaceDE w:val="0"/>
        <w:autoSpaceDN w:val="0"/>
        <w:spacing w:line="360" w:lineRule="auto"/>
        <w:ind w:firstLine="396" w:firstLineChars="200"/>
        <w:jc w:val="center"/>
        <w:textAlignment w:val="bottom"/>
        <w:rPr>
          <w:color w:val="auto"/>
          <w:spacing w:val="-6"/>
        </w:rPr>
        <w:sectPr>
          <w:pgSz w:w="11906" w:h="16838"/>
          <w:pgMar w:top="1417" w:right="1418" w:bottom="1417" w:left="1418" w:header="851" w:footer="992" w:gutter="0"/>
          <w:pgBorders>
            <w:top w:val="none" w:sz="0" w:space="0"/>
            <w:left w:val="none" w:sz="0" w:space="0"/>
            <w:bottom w:val="none" w:sz="0" w:space="0"/>
            <w:right w:val="none" w:sz="0" w:space="0"/>
          </w:pgBorders>
          <w:pgNumType w:start="1"/>
          <w:cols w:space="0" w:num="1"/>
          <w:docGrid w:type="lines" w:linePitch="312" w:charSpace="0"/>
        </w:sectPr>
      </w:pPr>
    </w:p>
    <w:p>
      <w:pPr>
        <w:autoSpaceDE w:val="0"/>
        <w:autoSpaceDN w:val="0"/>
        <w:spacing w:line="360" w:lineRule="auto"/>
        <w:ind w:firstLine="482" w:firstLineChars="200"/>
        <w:jc w:val="center"/>
        <w:textAlignment w:val="bottom"/>
        <w:rPr>
          <w:b/>
          <w:snapToGrid w:val="0"/>
          <w:color w:val="auto"/>
          <w:kern w:val="18"/>
          <w:sz w:val="24"/>
        </w:rPr>
      </w:pPr>
      <w:r>
        <w:rPr>
          <w:rFonts w:hint="eastAsia"/>
          <w:b/>
          <w:snapToGrid w:val="0"/>
          <w:color w:val="auto"/>
          <w:kern w:val="18"/>
          <w:sz w:val="24"/>
        </w:rPr>
        <w:t>表</w:t>
      </w:r>
      <w:r>
        <w:rPr>
          <w:b/>
          <w:snapToGrid w:val="0"/>
          <w:color w:val="auto"/>
          <w:kern w:val="18"/>
          <w:sz w:val="24"/>
        </w:rPr>
        <w:t>3.</w:t>
      </w:r>
      <w:r>
        <w:rPr>
          <w:rFonts w:hint="eastAsia"/>
          <w:b/>
          <w:snapToGrid w:val="0"/>
          <w:color w:val="auto"/>
          <w:kern w:val="18"/>
          <w:sz w:val="24"/>
        </w:rPr>
        <w:t>5-4</w:t>
      </w:r>
      <w:r>
        <w:rPr>
          <w:b/>
          <w:snapToGrid w:val="0"/>
          <w:color w:val="auto"/>
          <w:kern w:val="18"/>
          <w:sz w:val="24"/>
        </w:rPr>
        <w:t xml:space="preserve">  </w:t>
      </w:r>
      <w:r>
        <w:rPr>
          <w:rFonts w:hint="eastAsia"/>
          <w:b/>
          <w:snapToGrid w:val="0"/>
          <w:color w:val="auto"/>
          <w:kern w:val="18"/>
          <w:sz w:val="24"/>
        </w:rPr>
        <w:t>地下水现状监测数据一览表</w:t>
      </w:r>
      <w:r>
        <w:rPr>
          <w:b/>
          <w:snapToGrid w:val="0"/>
          <w:color w:val="auto"/>
          <w:kern w:val="18"/>
          <w:sz w:val="24"/>
        </w:rPr>
        <w:t xml:space="preserve">   </w:t>
      </w:r>
      <w:r>
        <w:rPr>
          <w:rFonts w:hint="eastAsia"/>
          <w:b/>
          <w:snapToGrid w:val="0"/>
          <w:color w:val="auto"/>
          <w:kern w:val="18"/>
          <w:sz w:val="24"/>
        </w:rPr>
        <w:t>单位：</w:t>
      </w:r>
      <w:r>
        <w:rPr>
          <w:b/>
          <w:snapToGrid w:val="0"/>
          <w:color w:val="auto"/>
          <w:kern w:val="18"/>
          <w:sz w:val="24"/>
        </w:rPr>
        <w:t>mg/L</w:t>
      </w:r>
    </w:p>
    <w:tbl>
      <w:tblPr>
        <w:tblStyle w:val="22"/>
        <w:tblW w:w="14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1438"/>
        <w:gridCol w:w="995"/>
        <w:gridCol w:w="1418"/>
        <w:gridCol w:w="941"/>
        <w:gridCol w:w="996"/>
        <w:gridCol w:w="1139"/>
        <w:gridCol w:w="886"/>
        <w:gridCol w:w="914"/>
        <w:gridCol w:w="1064"/>
        <w:gridCol w:w="913"/>
        <w:gridCol w:w="9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restart"/>
            <w:tcBorders>
              <w:tl2br w:val="nil"/>
              <w:tr2bl w:val="nil"/>
            </w:tcBorders>
            <w:vAlign w:val="center"/>
          </w:tcPr>
          <w:p>
            <w:pPr>
              <w:spacing w:line="240" w:lineRule="atLeast"/>
              <w:jc w:val="center"/>
              <w:rPr>
                <w:color w:val="auto"/>
                <w:szCs w:val="21"/>
              </w:rPr>
            </w:pPr>
            <w:bookmarkStart w:id="4" w:name="OLE_LINK12"/>
            <w:bookmarkStart w:id="5" w:name="OLE_LINK28"/>
            <w:r>
              <w:rPr>
                <w:rFonts w:hint="eastAsia"/>
                <w:color w:val="auto"/>
                <w:szCs w:val="21"/>
              </w:rPr>
              <w:t>采样点位</w:t>
            </w:r>
          </w:p>
        </w:tc>
        <w:tc>
          <w:tcPr>
            <w:tcW w:w="1438" w:type="dxa"/>
            <w:vMerge w:val="restart"/>
            <w:tcBorders>
              <w:tl2br w:val="nil"/>
              <w:tr2bl w:val="nil"/>
            </w:tcBorders>
            <w:vAlign w:val="center"/>
          </w:tcPr>
          <w:p>
            <w:pPr>
              <w:spacing w:line="240" w:lineRule="atLeast"/>
              <w:jc w:val="center"/>
              <w:rPr>
                <w:color w:val="auto"/>
                <w:szCs w:val="21"/>
              </w:rPr>
            </w:pPr>
            <w:r>
              <w:rPr>
                <w:rFonts w:hint="eastAsia"/>
                <w:color w:val="auto"/>
                <w:szCs w:val="21"/>
              </w:rPr>
              <w:t>采样日期</w:t>
            </w:r>
          </w:p>
        </w:tc>
        <w:tc>
          <w:tcPr>
            <w:tcW w:w="10204" w:type="dxa"/>
            <w:gridSpan w:val="10"/>
            <w:tcBorders>
              <w:tl2br w:val="nil"/>
              <w:tr2bl w:val="nil"/>
            </w:tcBorders>
            <w:vAlign w:val="center"/>
          </w:tcPr>
          <w:p>
            <w:pPr>
              <w:spacing w:line="240" w:lineRule="atLeast"/>
              <w:jc w:val="center"/>
              <w:rPr>
                <w:color w:val="auto"/>
                <w:szCs w:val="21"/>
              </w:rPr>
            </w:pPr>
            <w:r>
              <w:rPr>
                <w:rFonts w:hint="eastAsia"/>
                <w:color w:val="auto"/>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continue"/>
            <w:tcBorders>
              <w:tl2br w:val="nil"/>
              <w:tr2bl w:val="nil"/>
            </w:tcBorders>
            <w:vAlign w:val="center"/>
          </w:tcPr>
          <w:p>
            <w:pPr>
              <w:widowControl/>
              <w:jc w:val="left"/>
              <w:rPr>
                <w:color w:val="auto"/>
                <w:szCs w:val="21"/>
              </w:rPr>
            </w:pPr>
          </w:p>
        </w:tc>
        <w:tc>
          <w:tcPr>
            <w:tcW w:w="1438" w:type="dxa"/>
            <w:vMerge w:val="continue"/>
            <w:tcBorders>
              <w:tl2br w:val="nil"/>
              <w:tr2bl w:val="nil"/>
            </w:tcBorders>
            <w:vAlign w:val="center"/>
          </w:tcPr>
          <w:p>
            <w:pPr>
              <w:widowControl/>
              <w:jc w:val="left"/>
              <w:rPr>
                <w:color w:val="auto"/>
                <w:szCs w:val="21"/>
              </w:rPr>
            </w:pPr>
          </w:p>
        </w:tc>
        <w:tc>
          <w:tcPr>
            <w:tcW w:w="995" w:type="dxa"/>
            <w:tcBorders>
              <w:tl2br w:val="nil"/>
              <w:tr2bl w:val="nil"/>
            </w:tcBorders>
            <w:vAlign w:val="center"/>
          </w:tcPr>
          <w:p>
            <w:pPr>
              <w:spacing w:line="240" w:lineRule="atLeast"/>
              <w:jc w:val="center"/>
              <w:rPr>
                <w:bCs/>
                <w:color w:val="auto"/>
                <w:szCs w:val="21"/>
              </w:rPr>
            </w:pPr>
            <w:r>
              <w:rPr>
                <w:bCs/>
                <w:color w:val="auto"/>
                <w:szCs w:val="21"/>
              </w:rPr>
              <w:t>pH</w:t>
            </w:r>
          </w:p>
        </w:tc>
        <w:tc>
          <w:tcPr>
            <w:tcW w:w="1418" w:type="dxa"/>
            <w:tcBorders>
              <w:tl2br w:val="nil"/>
              <w:tr2bl w:val="nil"/>
            </w:tcBorders>
            <w:vAlign w:val="center"/>
          </w:tcPr>
          <w:p>
            <w:pPr>
              <w:spacing w:line="240" w:lineRule="atLeast"/>
              <w:jc w:val="center"/>
              <w:rPr>
                <w:bCs/>
                <w:color w:val="auto"/>
                <w:szCs w:val="21"/>
              </w:rPr>
            </w:pPr>
            <w:r>
              <w:rPr>
                <w:rFonts w:hint="eastAsia"/>
                <w:bCs/>
                <w:color w:val="auto"/>
                <w:szCs w:val="21"/>
              </w:rPr>
              <w:t>总硬度</w:t>
            </w:r>
          </w:p>
          <w:p>
            <w:pPr>
              <w:spacing w:line="240" w:lineRule="atLeast"/>
              <w:jc w:val="center"/>
              <w:rPr>
                <w:bCs/>
                <w:color w:val="auto"/>
                <w:szCs w:val="21"/>
              </w:rPr>
            </w:pPr>
            <w:r>
              <w:rPr>
                <w:rFonts w:hint="eastAsia"/>
                <w:color w:val="auto"/>
                <w:sz w:val="18"/>
                <w:szCs w:val="18"/>
              </w:rPr>
              <w:t>（以</w:t>
            </w:r>
            <w:r>
              <w:rPr>
                <w:color w:val="auto"/>
                <w:sz w:val="18"/>
                <w:szCs w:val="18"/>
              </w:rPr>
              <w:t>CaCO</w:t>
            </w:r>
            <w:r>
              <w:rPr>
                <w:color w:val="auto"/>
                <w:sz w:val="18"/>
                <w:szCs w:val="18"/>
                <w:vertAlign w:val="subscript"/>
              </w:rPr>
              <w:t>3</w:t>
            </w:r>
            <w:r>
              <w:rPr>
                <w:rFonts w:hint="eastAsia"/>
                <w:color w:val="auto"/>
                <w:sz w:val="18"/>
                <w:szCs w:val="18"/>
              </w:rPr>
              <w:t>计）</w:t>
            </w:r>
          </w:p>
        </w:tc>
        <w:tc>
          <w:tcPr>
            <w:tcW w:w="941" w:type="dxa"/>
            <w:tcBorders>
              <w:tl2br w:val="nil"/>
              <w:tr2bl w:val="nil"/>
            </w:tcBorders>
            <w:vAlign w:val="center"/>
          </w:tcPr>
          <w:p>
            <w:pPr>
              <w:spacing w:line="240" w:lineRule="atLeast"/>
              <w:jc w:val="center"/>
              <w:rPr>
                <w:color w:val="auto"/>
                <w:szCs w:val="21"/>
              </w:rPr>
            </w:pPr>
            <w:r>
              <w:rPr>
                <w:rFonts w:hint="eastAsia"/>
                <w:color w:val="auto"/>
                <w:szCs w:val="21"/>
              </w:rPr>
              <w:t>硫酸盐</w:t>
            </w:r>
          </w:p>
        </w:tc>
        <w:tc>
          <w:tcPr>
            <w:tcW w:w="996" w:type="dxa"/>
            <w:tcBorders>
              <w:tl2br w:val="nil"/>
              <w:tr2bl w:val="nil"/>
            </w:tcBorders>
            <w:vAlign w:val="center"/>
          </w:tcPr>
          <w:p>
            <w:pPr>
              <w:spacing w:line="240" w:lineRule="atLeast"/>
              <w:jc w:val="center"/>
              <w:rPr>
                <w:color w:val="auto"/>
                <w:szCs w:val="21"/>
              </w:rPr>
            </w:pPr>
            <w:r>
              <w:rPr>
                <w:rFonts w:hint="eastAsia"/>
                <w:bCs/>
                <w:color w:val="auto"/>
                <w:szCs w:val="21"/>
              </w:rPr>
              <w:t>耗氧量</w:t>
            </w:r>
          </w:p>
        </w:tc>
        <w:tc>
          <w:tcPr>
            <w:tcW w:w="1139" w:type="dxa"/>
            <w:tcBorders>
              <w:tl2br w:val="nil"/>
              <w:tr2bl w:val="nil"/>
            </w:tcBorders>
            <w:vAlign w:val="center"/>
          </w:tcPr>
          <w:p>
            <w:pPr>
              <w:spacing w:line="240" w:lineRule="atLeast"/>
              <w:jc w:val="center"/>
              <w:rPr>
                <w:bCs/>
                <w:color w:val="auto"/>
                <w:szCs w:val="21"/>
              </w:rPr>
            </w:pPr>
            <w:r>
              <w:rPr>
                <w:rFonts w:hint="eastAsia"/>
                <w:bCs/>
                <w:color w:val="auto"/>
                <w:szCs w:val="21"/>
              </w:rPr>
              <w:t>亚硝酸盐</w:t>
            </w:r>
          </w:p>
        </w:tc>
        <w:tc>
          <w:tcPr>
            <w:tcW w:w="886" w:type="dxa"/>
            <w:tcBorders>
              <w:tl2br w:val="nil"/>
              <w:tr2bl w:val="nil"/>
            </w:tcBorders>
            <w:vAlign w:val="center"/>
          </w:tcPr>
          <w:p>
            <w:pPr>
              <w:spacing w:line="240" w:lineRule="atLeast"/>
              <w:jc w:val="center"/>
              <w:rPr>
                <w:color w:val="auto"/>
                <w:szCs w:val="21"/>
              </w:rPr>
            </w:pPr>
            <w:r>
              <w:rPr>
                <w:rFonts w:hint="eastAsia"/>
                <w:color w:val="auto"/>
                <w:szCs w:val="21"/>
              </w:rPr>
              <w:t>硝酸盐</w:t>
            </w:r>
          </w:p>
        </w:tc>
        <w:tc>
          <w:tcPr>
            <w:tcW w:w="914" w:type="dxa"/>
            <w:tcBorders>
              <w:tl2br w:val="nil"/>
              <w:tr2bl w:val="nil"/>
            </w:tcBorders>
            <w:vAlign w:val="center"/>
          </w:tcPr>
          <w:p>
            <w:pPr>
              <w:spacing w:line="240" w:lineRule="atLeast"/>
              <w:jc w:val="center"/>
              <w:rPr>
                <w:bCs/>
                <w:color w:val="auto"/>
                <w:szCs w:val="21"/>
              </w:rPr>
            </w:pPr>
            <w:r>
              <w:rPr>
                <w:rFonts w:hint="eastAsia"/>
                <w:bCs/>
                <w:color w:val="auto"/>
                <w:szCs w:val="21"/>
              </w:rPr>
              <w:t>氨氮</w:t>
            </w:r>
          </w:p>
        </w:tc>
        <w:tc>
          <w:tcPr>
            <w:tcW w:w="1064" w:type="dxa"/>
            <w:tcBorders>
              <w:tl2br w:val="nil"/>
              <w:tr2bl w:val="nil"/>
            </w:tcBorders>
            <w:vAlign w:val="center"/>
          </w:tcPr>
          <w:p>
            <w:pPr>
              <w:spacing w:line="240" w:lineRule="atLeast"/>
              <w:jc w:val="center"/>
              <w:rPr>
                <w:bCs/>
                <w:color w:val="auto"/>
                <w:szCs w:val="21"/>
              </w:rPr>
            </w:pPr>
            <w:r>
              <w:rPr>
                <w:rFonts w:hint="eastAsia"/>
                <w:bCs/>
                <w:color w:val="auto"/>
                <w:szCs w:val="21"/>
              </w:rPr>
              <w:t>镉</w:t>
            </w:r>
          </w:p>
        </w:tc>
        <w:tc>
          <w:tcPr>
            <w:tcW w:w="913" w:type="dxa"/>
            <w:tcBorders>
              <w:tl2br w:val="nil"/>
              <w:tr2bl w:val="nil"/>
            </w:tcBorders>
            <w:vAlign w:val="center"/>
          </w:tcPr>
          <w:p>
            <w:pPr>
              <w:spacing w:line="240" w:lineRule="atLeast"/>
              <w:jc w:val="center"/>
              <w:rPr>
                <w:bCs/>
                <w:color w:val="auto"/>
                <w:szCs w:val="21"/>
              </w:rPr>
            </w:pPr>
            <w:r>
              <w:rPr>
                <w:rFonts w:hint="eastAsia"/>
                <w:color w:val="auto"/>
                <w:szCs w:val="21"/>
              </w:rPr>
              <w:t>铅</w:t>
            </w:r>
          </w:p>
        </w:tc>
        <w:tc>
          <w:tcPr>
            <w:tcW w:w="938" w:type="dxa"/>
            <w:tcBorders>
              <w:tl2br w:val="nil"/>
              <w:tr2bl w:val="nil"/>
            </w:tcBorders>
            <w:vAlign w:val="center"/>
          </w:tcPr>
          <w:p>
            <w:pPr>
              <w:spacing w:line="240" w:lineRule="atLeast"/>
              <w:jc w:val="center"/>
              <w:rPr>
                <w:bCs/>
                <w:color w:val="auto"/>
                <w:szCs w:val="21"/>
              </w:rPr>
            </w:pPr>
            <w:r>
              <w:rPr>
                <w:rFonts w:hint="eastAsia"/>
                <w:bCs/>
                <w:color w:val="auto"/>
                <w:szCs w:val="21"/>
              </w:rPr>
              <w:t>溶解性总固体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tcBorders>
              <w:tl2br w:val="nil"/>
              <w:tr2bl w:val="nil"/>
            </w:tcBorders>
            <w:vAlign w:val="center"/>
          </w:tcPr>
          <w:p>
            <w:pPr>
              <w:spacing w:line="240" w:lineRule="atLeast"/>
              <w:jc w:val="center"/>
              <w:rPr>
                <w:color w:val="auto"/>
                <w:szCs w:val="21"/>
              </w:rPr>
            </w:pPr>
            <w:r>
              <w:rPr>
                <w:color w:val="auto"/>
                <w:szCs w:val="21"/>
              </w:rPr>
              <w:t>1#</w:t>
            </w:r>
            <w:r>
              <w:rPr>
                <w:rFonts w:hint="eastAsia"/>
                <w:color w:val="auto"/>
                <w:szCs w:val="21"/>
              </w:rPr>
              <w:t>东埕村水井</w:t>
            </w:r>
          </w:p>
        </w:tc>
        <w:tc>
          <w:tcPr>
            <w:tcW w:w="1438" w:type="dxa"/>
            <w:tcBorders>
              <w:tl2br w:val="nil"/>
              <w:tr2bl w:val="nil"/>
            </w:tcBorders>
            <w:vAlign w:val="center"/>
          </w:tcPr>
          <w:p>
            <w:pPr>
              <w:spacing w:line="240" w:lineRule="atLeast"/>
              <w:jc w:val="center"/>
              <w:rPr>
                <w:color w:val="auto"/>
                <w:szCs w:val="21"/>
              </w:rPr>
            </w:pPr>
            <w:r>
              <w:rPr>
                <w:color w:val="auto"/>
                <w:szCs w:val="21"/>
              </w:rPr>
              <w:t>2017.4.1</w:t>
            </w:r>
          </w:p>
        </w:tc>
        <w:tc>
          <w:tcPr>
            <w:tcW w:w="995" w:type="dxa"/>
            <w:tcBorders>
              <w:tl2br w:val="nil"/>
              <w:tr2bl w:val="nil"/>
            </w:tcBorders>
            <w:vAlign w:val="center"/>
          </w:tcPr>
          <w:p>
            <w:pPr>
              <w:spacing w:line="240" w:lineRule="atLeast"/>
              <w:jc w:val="center"/>
              <w:rPr>
                <w:bCs/>
                <w:color w:val="auto"/>
                <w:szCs w:val="21"/>
              </w:rPr>
            </w:pPr>
            <w:r>
              <w:rPr>
                <w:bCs/>
                <w:color w:val="auto"/>
                <w:szCs w:val="21"/>
              </w:rPr>
              <w:t>7.04</w:t>
            </w:r>
          </w:p>
        </w:tc>
        <w:tc>
          <w:tcPr>
            <w:tcW w:w="1418" w:type="dxa"/>
            <w:tcBorders>
              <w:tl2br w:val="nil"/>
              <w:tr2bl w:val="nil"/>
            </w:tcBorders>
            <w:vAlign w:val="center"/>
          </w:tcPr>
          <w:p>
            <w:pPr>
              <w:spacing w:line="240" w:lineRule="atLeast"/>
              <w:jc w:val="center"/>
              <w:rPr>
                <w:bCs/>
                <w:color w:val="auto"/>
                <w:szCs w:val="21"/>
              </w:rPr>
            </w:pPr>
            <w:r>
              <w:rPr>
                <w:bCs/>
                <w:color w:val="auto"/>
                <w:szCs w:val="21"/>
              </w:rPr>
              <w:t>/</w:t>
            </w:r>
          </w:p>
        </w:tc>
        <w:tc>
          <w:tcPr>
            <w:tcW w:w="941" w:type="dxa"/>
            <w:tcBorders>
              <w:tl2br w:val="nil"/>
              <w:tr2bl w:val="nil"/>
            </w:tcBorders>
            <w:vAlign w:val="center"/>
          </w:tcPr>
          <w:p>
            <w:pPr>
              <w:spacing w:line="240" w:lineRule="atLeast"/>
              <w:jc w:val="center"/>
              <w:rPr>
                <w:color w:val="auto"/>
                <w:szCs w:val="21"/>
              </w:rPr>
            </w:pPr>
            <w:r>
              <w:rPr>
                <w:color w:val="auto"/>
                <w:szCs w:val="21"/>
              </w:rPr>
              <w:t>/</w:t>
            </w:r>
          </w:p>
        </w:tc>
        <w:tc>
          <w:tcPr>
            <w:tcW w:w="996" w:type="dxa"/>
            <w:tcBorders>
              <w:tl2br w:val="nil"/>
              <w:tr2bl w:val="nil"/>
            </w:tcBorders>
            <w:vAlign w:val="center"/>
          </w:tcPr>
          <w:p>
            <w:pPr>
              <w:spacing w:line="240" w:lineRule="atLeast"/>
              <w:jc w:val="center"/>
              <w:rPr>
                <w:bCs/>
                <w:color w:val="auto"/>
                <w:szCs w:val="21"/>
              </w:rPr>
            </w:pPr>
            <w:r>
              <w:rPr>
                <w:bCs/>
                <w:color w:val="auto"/>
                <w:szCs w:val="21"/>
              </w:rPr>
              <w:t>1.17</w:t>
            </w:r>
          </w:p>
        </w:tc>
        <w:tc>
          <w:tcPr>
            <w:tcW w:w="1139" w:type="dxa"/>
            <w:tcBorders>
              <w:tl2br w:val="nil"/>
              <w:tr2bl w:val="nil"/>
            </w:tcBorders>
            <w:vAlign w:val="center"/>
          </w:tcPr>
          <w:p>
            <w:pPr>
              <w:spacing w:line="240" w:lineRule="atLeast"/>
              <w:jc w:val="center"/>
              <w:rPr>
                <w:bCs/>
                <w:color w:val="auto"/>
                <w:szCs w:val="21"/>
              </w:rPr>
            </w:pPr>
            <w:r>
              <w:rPr>
                <w:bCs/>
                <w:color w:val="auto"/>
                <w:szCs w:val="21"/>
              </w:rPr>
              <w:t>/</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w:t>
            </w:r>
          </w:p>
        </w:tc>
        <w:tc>
          <w:tcPr>
            <w:tcW w:w="1064" w:type="dxa"/>
            <w:tcBorders>
              <w:tl2br w:val="nil"/>
              <w:tr2bl w:val="nil"/>
            </w:tcBorders>
            <w:vAlign w:val="center"/>
          </w:tcPr>
          <w:p>
            <w:pPr>
              <w:spacing w:line="240" w:lineRule="atLeast"/>
              <w:jc w:val="center"/>
              <w:rPr>
                <w:bCs/>
                <w:color w:val="auto"/>
                <w:szCs w:val="21"/>
              </w:rPr>
            </w:pPr>
            <w:r>
              <w:rPr>
                <w:bCs/>
                <w:color w:val="auto"/>
                <w:szCs w:val="21"/>
              </w:rPr>
              <w:t>ND</w:t>
            </w:r>
          </w:p>
        </w:tc>
        <w:tc>
          <w:tcPr>
            <w:tcW w:w="913" w:type="dxa"/>
            <w:tcBorders>
              <w:tl2br w:val="nil"/>
              <w:tr2bl w:val="nil"/>
            </w:tcBorders>
            <w:vAlign w:val="center"/>
          </w:tcPr>
          <w:p>
            <w:pPr>
              <w:spacing w:line="240" w:lineRule="atLeast"/>
              <w:jc w:val="center"/>
              <w:rPr>
                <w:bCs/>
                <w:color w:val="auto"/>
                <w:szCs w:val="21"/>
              </w:rPr>
            </w:pPr>
            <w:r>
              <w:rPr>
                <w:bCs/>
                <w:color w:val="auto"/>
                <w:szCs w:val="21"/>
              </w:rPr>
              <w:t>ND</w:t>
            </w:r>
          </w:p>
        </w:tc>
        <w:tc>
          <w:tcPr>
            <w:tcW w:w="938" w:type="dxa"/>
            <w:tcBorders>
              <w:tl2br w:val="nil"/>
              <w:tr2bl w:val="nil"/>
            </w:tcBorders>
            <w:vAlign w:val="center"/>
          </w:tcPr>
          <w:p>
            <w:pPr>
              <w:spacing w:line="240" w:lineRule="atLeast"/>
              <w:jc w:val="center"/>
              <w:rPr>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restart"/>
            <w:tcBorders>
              <w:tl2br w:val="nil"/>
              <w:tr2bl w:val="nil"/>
            </w:tcBorders>
            <w:vAlign w:val="center"/>
          </w:tcPr>
          <w:p>
            <w:pPr>
              <w:spacing w:line="240" w:lineRule="atLeast"/>
              <w:jc w:val="center"/>
              <w:rPr>
                <w:color w:val="auto"/>
                <w:szCs w:val="21"/>
              </w:rPr>
            </w:pPr>
            <w:r>
              <w:rPr>
                <w:color w:val="auto"/>
                <w:szCs w:val="21"/>
              </w:rPr>
              <w:t>2#</w:t>
            </w:r>
            <w:r>
              <w:rPr>
                <w:rFonts w:hint="eastAsia"/>
                <w:color w:val="auto"/>
                <w:szCs w:val="21"/>
              </w:rPr>
              <w:t>斗门头村水井</w:t>
            </w:r>
          </w:p>
        </w:tc>
        <w:tc>
          <w:tcPr>
            <w:tcW w:w="1438" w:type="dxa"/>
            <w:tcBorders>
              <w:tl2br w:val="nil"/>
              <w:tr2bl w:val="nil"/>
            </w:tcBorders>
            <w:vAlign w:val="center"/>
          </w:tcPr>
          <w:p>
            <w:pPr>
              <w:spacing w:line="240" w:lineRule="atLeast"/>
              <w:jc w:val="center"/>
              <w:rPr>
                <w:color w:val="auto"/>
                <w:szCs w:val="21"/>
              </w:rPr>
            </w:pPr>
            <w:r>
              <w:rPr>
                <w:color w:val="auto"/>
                <w:szCs w:val="21"/>
              </w:rPr>
              <w:t>2017.6.16</w:t>
            </w:r>
          </w:p>
        </w:tc>
        <w:tc>
          <w:tcPr>
            <w:tcW w:w="995" w:type="dxa"/>
            <w:tcBorders>
              <w:tl2br w:val="nil"/>
              <w:tr2bl w:val="nil"/>
            </w:tcBorders>
            <w:vAlign w:val="center"/>
          </w:tcPr>
          <w:p>
            <w:pPr>
              <w:spacing w:line="240" w:lineRule="atLeast"/>
              <w:jc w:val="center"/>
              <w:rPr>
                <w:bCs/>
                <w:color w:val="auto"/>
                <w:szCs w:val="21"/>
              </w:rPr>
            </w:pPr>
            <w:r>
              <w:rPr>
                <w:bCs/>
                <w:color w:val="auto"/>
                <w:szCs w:val="21"/>
              </w:rPr>
              <w:t>7.06</w:t>
            </w:r>
          </w:p>
        </w:tc>
        <w:tc>
          <w:tcPr>
            <w:tcW w:w="1418" w:type="dxa"/>
            <w:tcBorders>
              <w:tl2br w:val="nil"/>
              <w:tr2bl w:val="nil"/>
            </w:tcBorders>
            <w:vAlign w:val="center"/>
          </w:tcPr>
          <w:p>
            <w:pPr>
              <w:spacing w:line="240" w:lineRule="atLeast"/>
              <w:jc w:val="center"/>
              <w:rPr>
                <w:bCs/>
                <w:color w:val="auto"/>
                <w:szCs w:val="21"/>
              </w:rPr>
            </w:pPr>
            <w:r>
              <w:rPr>
                <w:bCs/>
                <w:color w:val="auto"/>
                <w:szCs w:val="21"/>
              </w:rPr>
              <w:t>173</w:t>
            </w:r>
          </w:p>
        </w:tc>
        <w:tc>
          <w:tcPr>
            <w:tcW w:w="941" w:type="dxa"/>
            <w:tcBorders>
              <w:tl2br w:val="nil"/>
              <w:tr2bl w:val="nil"/>
            </w:tcBorders>
            <w:vAlign w:val="center"/>
          </w:tcPr>
          <w:p>
            <w:pPr>
              <w:spacing w:line="240" w:lineRule="atLeast"/>
              <w:jc w:val="center"/>
              <w:rPr>
                <w:bCs/>
                <w:color w:val="auto"/>
                <w:szCs w:val="21"/>
              </w:rPr>
            </w:pPr>
            <w:r>
              <w:rPr>
                <w:bCs/>
                <w:color w:val="auto"/>
                <w:szCs w:val="21"/>
              </w:rPr>
              <w:t>120</w:t>
            </w:r>
          </w:p>
        </w:tc>
        <w:tc>
          <w:tcPr>
            <w:tcW w:w="996" w:type="dxa"/>
            <w:tcBorders>
              <w:tl2br w:val="nil"/>
              <w:tr2bl w:val="nil"/>
            </w:tcBorders>
            <w:vAlign w:val="center"/>
          </w:tcPr>
          <w:p>
            <w:pPr>
              <w:spacing w:line="240" w:lineRule="atLeast"/>
              <w:jc w:val="center"/>
              <w:rPr>
                <w:bCs/>
                <w:color w:val="auto"/>
                <w:szCs w:val="21"/>
              </w:rPr>
            </w:pPr>
            <w:r>
              <w:rPr>
                <w:bCs/>
                <w:color w:val="auto"/>
                <w:szCs w:val="21"/>
              </w:rPr>
              <w:t>0.9</w:t>
            </w:r>
          </w:p>
        </w:tc>
        <w:tc>
          <w:tcPr>
            <w:tcW w:w="1139" w:type="dxa"/>
            <w:tcBorders>
              <w:tl2br w:val="nil"/>
              <w:tr2bl w:val="nil"/>
            </w:tcBorders>
            <w:vAlign w:val="center"/>
          </w:tcPr>
          <w:p>
            <w:pPr>
              <w:spacing w:line="240" w:lineRule="atLeast"/>
              <w:jc w:val="center"/>
              <w:rPr>
                <w:bCs/>
                <w:color w:val="auto"/>
                <w:szCs w:val="21"/>
              </w:rPr>
            </w:pPr>
            <w:r>
              <w:rPr>
                <w:bCs/>
                <w:color w:val="auto"/>
                <w:szCs w:val="21"/>
              </w:rPr>
              <w:t>0.006</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0.05</w:t>
            </w:r>
          </w:p>
        </w:tc>
        <w:tc>
          <w:tcPr>
            <w:tcW w:w="1064" w:type="dxa"/>
            <w:tcBorders>
              <w:tl2br w:val="nil"/>
              <w:tr2bl w:val="nil"/>
            </w:tcBorders>
            <w:vAlign w:val="center"/>
          </w:tcPr>
          <w:p>
            <w:pPr>
              <w:spacing w:line="240" w:lineRule="atLeast"/>
              <w:jc w:val="center"/>
              <w:rPr>
                <w:bCs/>
                <w:color w:val="auto"/>
                <w:szCs w:val="21"/>
              </w:rPr>
            </w:pPr>
            <w:r>
              <w:rPr>
                <w:bCs/>
                <w:color w:val="auto"/>
                <w:szCs w:val="21"/>
              </w:rPr>
              <w:t>ND</w:t>
            </w:r>
          </w:p>
        </w:tc>
        <w:tc>
          <w:tcPr>
            <w:tcW w:w="913" w:type="dxa"/>
            <w:tcBorders>
              <w:tl2br w:val="nil"/>
              <w:tr2bl w:val="nil"/>
            </w:tcBorders>
            <w:vAlign w:val="center"/>
          </w:tcPr>
          <w:p>
            <w:pPr>
              <w:spacing w:line="240" w:lineRule="atLeast"/>
              <w:jc w:val="center"/>
              <w:rPr>
                <w:bCs/>
                <w:color w:val="auto"/>
                <w:szCs w:val="21"/>
              </w:rPr>
            </w:pPr>
            <w:r>
              <w:rPr>
                <w:color w:val="auto"/>
                <w:szCs w:val="21"/>
              </w:rPr>
              <w:t>0.001</w:t>
            </w:r>
          </w:p>
        </w:tc>
        <w:tc>
          <w:tcPr>
            <w:tcW w:w="938" w:type="dxa"/>
            <w:tcBorders>
              <w:tl2br w:val="nil"/>
              <w:tr2bl w:val="nil"/>
            </w:tcBorders>
            <w:vAlign w:val="center"/>
          </w:tcPr>
          <w:p>
            <w:pPr>
              <w:spacing w:line="240" w:lineRule="atLeast"/>
              <w:jc w:val="center"/>
              <w:rPr>
                <w:bCs/>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continue"/>
            <w:tcBorders>
              <w:tl2br w:val="nil"/>
              <w:tr2bl w:val="nil"/>
            </w:tcBorders>
            <w:vAlign w:val="center"/>
          </w:tcPr>
          <w:p>
            <w:pPr>
              <w:widowControl/>
              <w:jc w:val="left"/>
              <w:rPr>
                <w:color w:val="auto"/>
                <w:szCs w:val="21"/>
              </w:rPr>
            </w:pPr>
          </w:p>
        </w:tc>
        <w:tc>
          <w:tcPr>
            <w:tcW w:w="1438" w:type="dxa"/>
            <w:tcBorders>
              <w:tl2br w:val="nil"/>
              <w:tr2bl w:val="nil"/>
            </w:tcBorders>
            <w:vAlign w:val="center"/>
          </w:tcPr>
          <w:p>
            <w:pPr>
              <w:spacing w:line="240" w:lineRule="atLeast"/>
              <w:jc w:val="center"/>
              <w:rPr>
                <w:color w:val="auto"/>
                <w:szCs w:val="21"/>
              </w:rPr>
            </w:pPr>
            <w:r>
              <w:rPr>
                <w:color w:val="auto"/>
                <w:szCs w:val="21"/>
              </w:rPr>
              <w:t>2017.6.17</w:t>
            </w:r>
          </w:p>
        </w:tc>
        <w:tc>
          <w:tcPr>
            <w:tcW w:w="995" w:type="dxa"/>
            <w:tcBorders>
              <w:tl2br w:val="nil"/>
              <w:tr2bl w:val="nil"/>
            </w:tcBorders>
            <w:vAlign w:val="center"/>
          </w:tcPr>
          <w:p>
            <w:pPr>
              <w:spacing w:line="240" w:lineRule="atLeast"/>
              <w:jc w:val="center"/>
              <w:rPr>
                <w:bCs/>
                <w:color w:val="auto"/>
                <w:szCs w:val="21"/>
              </w:rPr>
            </w:pPr>
            <w:r>
              <w:rPr>
                <w:bCs/>
                <w:color w:val="auto"/>
                <w:szCs w:val="21"/>
              </w:rPr>
              <w:t>7.02</w:t>
            </w:r>
          </w:p>
        </w:tc>
        <w:tc>
          <w:tcPr>
            <w:tcW w:w="1418" w:type="dxa"/>
            <w:tcBorders>
              <w:tl2br w:val="nil"/>
              <w:tr2bl w:val="nil"/>
            </w:tcBorders>
            <w:vAlign w:val="center"/>
          </w:tcPr>
          <w:p>
            <w:pPr>
              <w:spacing w:line="240" w:lineRule="atLeast"/>
              <w:jc w:val="center"/>
              <w:rPr>
                <w:bCs/>
                <w:color w:val="auto"/>
                <w:szCs w:val="21"/>
              </w:rPr>
            </w:pPr>
            <w:r>
              <w:rPr>
                <w:bCs/>
                <w:color w:val="auto"/>
                <w:szCs w:val="21"/>
              </w:rPr>
              <w:t>192</w:t>
            </w:r>
          </w:p>
        </w:tc>
        <w:tc>
          <w:tcPr>
            <w:tcW w:w="941" w:type="dxa"/>
            <w:tcBorders>
              <w:tl2br w:val="nil"/>
              <w:tr2bl w:val="nil"/>
            </w:tcBorders>
            <w:vAlign w:val="center"/>
          </w:tcPr>
          <w:p>
            <w:pPr>
              <w:spacing w:line="240" w:lineRule="atLeast"/>
              <w:jc w:val="center"/>
              <w:rPr>
                <w:bCs/>
                <w:color w:val="auto"/>
                <w:szCs w:val="21"/>
              </w:rPr>
            </w:pPr>
            <w:r>
              <w:rPr>
                <w:bCs/>
                <w:color w:val="auto"/>
                <w:szCs w:val="21"/>
              </w:rPr>
              <w:t>118</w:t>
            </w:r>
          </w:p>
        </w:tc>
        <w:tc>
          <w:tcPr>
            <w:tcW w:w="996" w:type="dxa"/>
            <w:tcBorders>
              <w:tl2br w:val="nil"/>
              <w:tr2bl w:val="nil"/>
            </w:tcBorders>
            <w:vAlign w:val="center"/>
          </w:tcPr>
          <w:p>
            <w:pPr>
              <w:spacing w:line="240" w:lineRule="atLeast"/>
              <w:jc w:val="center"/>
              <w:rPr>
                <w:bCs/>
                <w:color w:val="auto"/>
                <w:szCs w:val="21"/>
              </w:rPr>
            </w:pPr>
            <w:r>
              <w:rPr>
                <w:bCs/>
                <w:color w:val="auto"/>
                <w:szCs w:val="21"/>
              </w:rPr>
              <w:t>0.9</w:t>
            </w:r>
          </w:p>
        </w:tc>
        <w:tc>
          <w:tcPr>
            <w:tcW w:w="1139" w:type="dxa"/>
            <w:tcBorders>
              <w:tl2br w:val="nil"/>
              <w:tr2bl w:val="nil"/>
            </w:tcBorders>
            <w:vAlign w:val="center"/>
          </w:tcPr>
          <w:p>
            <w:pPr>
              <w:spacing w:line="240" w:lineRule="atLeast"/>
              <w:jc w:val="center"/>
              <w:rPr>
                <w:color w:val="auto"/>
                <w:szCs w:val="21"/>
              </w:rPr>
            </w:pPr>
            <w:r>
              <w:rPr>
                <w:color w:val="auto"/>
                <w:szCs w:val="21"/>
              </w:rPr>
              <w:t>0.007</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0.06</w:t>
            </w:r>
          </w:p>
        </w:tc>
        <w:tc>
          <w:tcPr>
            <w:tcW w:w="1064" w:type="dxa"/>
            <w:tcBorders>
              <w:tl2br w:val="nil"/>
              <w:tr2bl w:val="nil"/>
            </w:tcBorders>
            <w:vAlign w:val="center"/>
          </w:tcPr>
          <w:p>
            <w:pPr>
              <w:spacing w:line="240" w:lineRule="atLeast"/>
              <w:jc w:val="center"/>
              <w:rPr>
                <w:bCs/>
                <w:color w:val="auto"/>
                <w:szCs w:val="21"/>
              </w:rPr>
            </w:pPr>
            <w:r>
              <w:rPr>
                <w:bCs/>
                <w:color w:val="auto"/>
                <w:szCs w:val="21"/>
              </w:rPr>
              <w:t>ND</w:t>
            </w:r>
          </w:p>
        </w:tc>
        <w:tc>
          <w:tcPr>
            <w:tcW w:w="913" w:type="dxa"/>
            <w:tcBorders>
              <w:tl2br w:val="nil"/>
              <w:tr2bl w:val="nil"/>
            </w:tcBorders>
            <w:vAlign w:val="center"/>
          </w:tcPr>
          <w:p>
            <w:pPr>
              <w:spacing w:line="240" w:lineRule="atLeast"/>
              <w:jc w:val="center"/>
              <w:rPr>
                <w:bCs/>
                <w:color w:val="auto"/>
                <w:szCs w:val="21"/>
              </w:rPr>
            </w:pPr>
            <w:r>
              <w:rPr>
                <w:color w:val="auto"/>
                <w:szCs w:val="21"/>
              </w:rPr>
              <w:t>0.001</w:t>
            </w:r>
          </w:p>
        </w:tc>
        <w:tc>
          <w:tcPr>
            <w:tcW w:w="938" w:type="dxa"/>
            <w:tcBorders>
              <w:tl2br w:val="nil"/>
              <w:tr2bl w:val="nil"/>
            </w:tcBorders>
            <w:vAlign w:val="center"/>
          </w:tcPr>
          <w:p>
            <w:pPr>
              <w:spacing w:line="240" w:lineRule="atLeast"/>
              <w:jc w:val="center"/>
              <w:rPr>
                <w:bCs/>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restart"/>
            <w:tcBorders>
              <w:tl2br w:val="nil"/>
              <w:tr2bl w:val="nil"/>
            </w:tcBorders>
            <w:vAlign w:val="center"/>
          </w:tcPr>
          <w:p>
            <w:pPr>
              <w:spacing w:line="240" w:lineRule="atLeast"/>
              <w:jc w:val="center"/>
              <w:rPr>
                <w:color w:val="auto"/>
                <w:szCs w:val="21"/>
              </w:rPr>
            </w:pPr>
            <w:r>
              <w:rPr>
                <w:color w:val="auto"/>
                <w:szCs w:val="21"/>
              </w:rPr>
              <w:t>3#</w:t>
            </w:r>
            <w:r>
              <w:rPr>
                <w:rFonts w:hint="eastAsia"/>
                <w:color w:val="auto"/>
                <w:szCs w:val="21"/>
              </w:rPr>
              <w:t>柏洋村水井</w:t>
            </w:r>
          </w:p>
        </w:tc>
        <w:tc>
          <w:tcPr>
            <w:tcW w:w="1438" w:type="dxa"/>
            <w:tcBorders>
              <w:tl2br w:val="nil"/>
              <w:tr2bl w:val="nil"/>
            </w:tcBorders>
            <w:vAlign w:val="center"/>
          </w:tcPr>
          <w:p>
            <w:pPr>
              <w:spacing w:line="240" w:lineRule="atLeast"/>
              <w:jc w:val="center"/>
              <w:rPr>
                <w:color w:val="auto"/>
                <w:szCs w:val="21"/>
              </w:rPr>
            </w:pPr>
            <w:r>
              <w:rPr>
                <w:color w:val="auto"/>
                <w:szCs w:val="21"/>
              </w:rPr>
              <w:t>2017.6.16</w:t>
            </w:r>
          </w:p>
        </w:tc>
        <w:tc>
          <w:tcPr>
            <w:tcW w:w="995" w:type="dxa"/>
            <w:tcBorders>
              <w:tl2br w:val="nil"/>
              <w:tr2bl w:val="nil"/>
            </w:tcBorders>
            <w:vAlign w:val="center"/>
          </w:tcPr>
          <w:p>
            <w:pPr>
              <w:spacing w:line="240" w:lineRule="atLeast"/>
              <w:jc w:val="center"/>
              <w:rPr>
                <w:bCs/>
                <w:color w:val="auto"/>
                <w:szCs w:val="21"/>
              </w:rPr>
            </w:pPr>
            <w:r>
              <w:rPr>
                <w:bCs/>
                <w:color w:val="auto"/>
                <w:szCs w:val="21"/>
              </w:rPr>
              <w:t>6.91</w:t>
            </w:r>
          </w:p>
        </w:tc>
        <w:tc>
          <w:tcPr>
            <w:tcW w:w="1418" w:type="dxa"/>
            <w:tcBorders>
              <w:tl2br w:val="nil"/>
              <w:tr2bl w:val="nil"/>
            </w:tcBorders>
            <w:vAlign w:val="center"/>
          </w:tcPr>
          <w:p>
            <w:pPr>
              <w:spacing w:line="240" w:lineRule="atLeast"/>
              <w:jc w:val="center"/>
              <w:rPr>
                <w:color w:val="auto"/>
                <w:szCs w:val="21"/>
              </w:rPr>
            </w:pPr>
            <w:r>
              <w:rPr>
                <w:color w:val="auto"/>
                <w:szCs w:val="21"/>
              </w:rPr>
              <w:t>218</w:t>
            </w:r>
          </w:p>
        </w:tc>
        <w:tc>
          <w:tcPr>
            <w:tcW w:w="941" w:type="dxa"/>
            <w:tcBorders>
              <w:tl2br w:val="nil"/>
              <w:tr2bl w:val="nil"/>
            </w:tcBorders>
            <w:vAlign w:val="center"/>
          </w:tcPr>
          <w:p>
            <w:pPr>
              <w:spacing w:line="240" w:lineRule="atLeast"/>
              <w:jc w:val="center"/>
              <w:rPr>
                <w:color w:val="auto"/>
                <w:szCs w:val="21"/>
              </w:rPr>
            </w:pPr>
            <w:r>
              <w:rPr>
                <w:color w:val="auto"/>
                <w:szCs w:val="21"/>
              </w:rPr>
              <w:t>127</w:t>
            </w:r>
          </w:p>
        </w:tc>
        <w:tc>
          <w:tcPr>
            <w:tcW w:w="996" w:type="dxa"/>
            <w:tcBorders>
              <w:tl2br w:val="nil"/>
              <w:tr2bl w:val="nil"/>
            </w:tcBorders>
            <w:vAlign w:val="center"/>
          </w:tcPr>
          <w:p>
            <w:pPr>
              <w:spacing w:line="240" w:lineRule="atLeast"/>
              <w:jc w:val="center"/>
              <w:rPr>
                <w:color w:val="auto"/>
                <w:szCs w:val="21"/>
              </w:rPr>
            </w:pPr>
            <w:r>
              <w:rPr>
                <w:color w:val="auto"/>
                <w:szCs w:val="21"/>
              </w:rPr>
              <w:t>1.3</w:t>
            </w:r>
          </w:p>
        </w:tc>
        <w:tc>
          <w:tcPr>
            <w:tcW w:w="1139" w:type="dxa"/>
            <w:tcBorders>
              <w:tl2br w:val="nil"/>
              <w:tr2bl w:val="nil"/>
            </w:tcBorders>
            <w:vAlign w:val="center"/>
          </w:tcPr>
          <w:p>
            <w:pPr>
              <w:spacing w:line="240" w:lineRule="atLeast"/>
              <w:jc w:val="center"/>
              <w:rPr>
                <w:bCs/>
                <w:color w:val="auto"/>
                <w:szCs w:val="21"/>
              </w:rPr>
            </w:pPr>
            <w:r>
              <w:rPr>
                <w:bCs/>
                <w:color w:val="auto"/>
                <w:szCs w:val="21"/>
              </w:rPr>
              <w:t>0.009</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0.09</w:t>
            </w:r>
          </w:p>
        </w:tc>
        <w:tc>
          <w:tcPr>
            <w:tcW w:w="1064" w:type="dxa"/>
            <w:tcBorders>
              <w:tl2br w:val="nil"/>
              <w:tr2bl w:val="nil"/>
            </w:tcBorders>
            <w:vAlign w:val="center"/>
          </w:tcPr>
          <w:p>
            <w:pPr>
              <w:spacing w:line="240" w:lineRule="atLeast"/>
              <w:jc w:val="center"/>
              <w:rPr>
                <w:bCs/>
                <w:color w:val="auto"/>
                <w:szCs w:val="21"/>
              </w:rPr>
            </w:pPr>
            <w:r>
              <w:rPr>
                <w:bCs/>
                <w:color w:val="auto"/>
                <w:szCs w:val="21"/>
              </w:rPr>
              <w:t>ND</w:t>
            </w:r>
          </w:p>
        </w:tc>
        <w:tc>
          <w:tcPr>
            <w:tcW w:w="913" w:type="dxa"/>
            <w:tcBorders>
              <w:tl2br w:val="nil"/>
              <w:tr2bl w:val="nil"/>
            </w:tcBorders>
            <w:vAlign w:val="center"/>
          </w:tcPr>
          <w:p>
            <w:pPr>
              <w:spacing w:line="240" w:lineRule="atLeast"/>
              <w:jc w:val="center"/>
              <w:rPr>
                <w:bCs/>
                <w:color w:val="auto"/>
                <w:szCs w:val="21"/>
              </w:rPr>
            </w:pPr>
            <w:r>
              <w:rPr>
                <w:bCs/>
                <w:color w:val="auto"/>
                <w:szCs w:val="21"/>
              </w:rPr>
              <w:t>0.003</w:t>
            </w:r>
          </w:p>
        </w:tc>
        <w:tc>
          <w:tcPr>
            <w:tcW w:w="938" w:type="dxa"/>
            <w:tcBorders>
              <w:tl2br w:val="nil"/>
              <w:tr2bl w:val="nil"/>
            </w:tcBorders>
            <w:vAlign w:val="center"/>
          </w:tcPr>
          <w:p>
            <w:pPr>
              <w:spacing w:line="240" w:lineRule="atLeast"/>
              <w:jc w:val="center"/>
              <w:rPr>
                <w:bCs/>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continue"/>
            <w:tcBorders>
              <w:tl2br w:val="nil"/>
              <w:tr2bl w:val="nil"/>
            </w:tcBorders>
            <w:vAlign w:val="center"/>
          </w:tcPr>
          <w:p>
            <w:pPr>
              <w:widowControl/>
              <w:jc w:val="left"/>
              <w:rPr>
                <w:color w:val="auto"/>
                <w:szCs w:val="21"/>
              </w:rPr>
            </w:pPr>
          </w:p>
        </w:tc>
        <w:tc>
          <w:tcPr>
            <w:tcW w:w="1438" w:type="dxa"/>
            <w:tcBorders>
              <w:tl2br w:val="nil"/>
              <w:tr2bl w:val="nil"/>
            </w:tcBorders>
            <w:vAlign w:val="center"/>
          </w:tcPr>
          <w:p>
            <w:pPr>
              <w:spacing w:line="240" w:lineRule="atLeast"/>
              <w:jc w:val="center"/>
              <w:rPr>
                <w:color w:val="auto"/>
                <w:szCs w:val="21"/>
              </w:rPr>
            </w:pPr>
            <w:r>
              <w:rPr>
                <w:color w:val="auto"/>
                <w:szCs w:val="21"/>
              </w:rPr>
              <w:t>2017.6.17</w:t>
            </w:r>
          </w:p>
        </w:tc>
        <w:tc>
          <w:tcPr>
            <w:tcW w:w="995" w:type="dxa"/>
            <w:tcBorders>
              <w:tl2br w:val="nil"/>
              <w:tr2bl w:val="nil"/>
            </w:tcBorders>
            <w:vAlign w:val="center"/>
          </w:tcPr>
          <w:p>
            <w:pPr>
              <w:spacing w:line="240" w:lineRule="atLeast"/>
              <w:jc w:val="center"/>
              <w:rPr>
                <w:bCs/>
                <w:color w:val="auto"/>
                <w:szCs w:val="21"/>
              </w:rPr>
            </w:pPr>
            <w:r>
              <w:rPr>
                <w:bCs/>
                <w:color w:val="auto"/>
                <w:szCs w:val="21"/>
              </w:rPr>
              <w:t>6.85</w:t>
            </w:r>
          </w:p>
        </w:tc>
        <w:tc>
          <w:tcPr>
            <w:tcW w:w="1418" w:type="dxa"/>
            <w:tcBorders>
              <w:tl2br w:val="nil"/>
              <w:tr2bl w:val="nil"/>
            </w:tcBorders>
            <w:vAlign w:val="center"/>
          </w:tcPr>
          <w:p>
            <w:pPr>
              <w:spacing w:line="240" w:lineRule="atLeast"/>
              <w:jc w:val="center"/>
              <w:rPr>
                <w:bCs/>
                <w:color w:val="auto"/>
                <w:szCs w:val="21"/>
              </w:rPr>
            </w:pPr>
            <w:r>
              <w:rPr>
                <w:bCs/>
                <w:color w:val="auto"/>
                <w:szCs w:val="21"/>
              </w:rPr>
              <w:t>233</w:t>
            </w:r>
          </w:p>
        </w:tc>
        <w:tc>
          <w:tcPr>
            <w:tcW w:w="941" w:type="dxa"/>
            <w:tcBorders>
              <w:tl2br w:val="nil"/>
              <w:tr2bl w:val="nil"/>
            </w:tcBorders>
            <w:vAlign w:val="center"/>
          </w:tcPr>
          <w:p>
            <w:pPr>
              <w:spacing w:line="240" w:lineRule="atLeast"/>
              <w:jc w:val="center"/>
              <w:rPr>
                <w:bCs/>
                <w:color w:val="auto"/>
                <w:szCs w:val="21"/>
              </w:rPr>
            </w:pPr>
            <w:r>
              <w:rPr>
                <w:bCs/>
                <w:color w:val="auto"/>
                <w:szCs w:val="21"/>
              </w:rPr>
              <w:t>124</w:t>
            </w:r>
          </w:p>
        </w:tc>
        <w:tc>
          <w:tcPr>
            <w:tcW w:w="996" w:type="dxa"/>
            <w:tcBorders>
              <w:tl2br w:val="nil"/>
              <w:tr2bl w:val="nil"/>
            </w:tcBorders>
            <w:vAlign w:val="center"/>
          </w:tcPr>
          <w:p>
            <w:pPr>
              <w:spacing w:line="240" w:lineRule="atLeast"/>
              <w:jc w:val="center"/>
              <w:rPr>
                <w:bCs/>
                <w:color w:val="auto"/>
                <w:szCs w:val="21"/>
              </w:rPr>
            </w:pPr>
            <w:r>
              <w:rPr>
                <w:bCs/>
                <w:color w:val="auto"/>
                <w:szCs w:val="21"/>
              </w:rPr>
              <w:t>1.1</w:t>
            </w:r>
          </w:p>
        </w:tc>
        <w:tc>
          <w:tcPr>
            <w:tcW w:w="1139" w:type="dxa"/>
            <w:tcBorders>
              <w:tl2br w:val="nil"/>
              <w:tr2bl w:val="nil"/>
            </w:tcBorders>
            <w:vAlign w:val="center"/>
          </w:tcPr>
          <w:p>
            <w:pPr>
              <w:spacing w:line="240" w:lineRule="atLeast"/>
              <w:jc w:val="center"/>
              <w:rPr>
                <w:color w:val="auto"/>
                <w:szCs w:val="21"/>
              </w:rPr>
            </w:pPr>
            <w:r>
              <w:rPr>
                <w:color w:val="auto"/>
                <w:szCs w:val="21"/>
              </w:rPr>
              <w:t>0.010</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0.09</w:t>
            </w:r>
          </w:p>
        </w:tc>
        <w:tc>
          <w:tcPr>
            <w:tcW w:w="1064" w:type="dxa"/>
            <w:tcBorders>
              <w:tl2br w:val="nil"/>
              <w:tr2bl w:val="nil"/>
            </w:tcBorders>
            <w:vAlign w:val="center"/>
          </w:tcPr>
          <w:p>
            <w:pPr>
              <w:spacing w:line="240" w:lineRule="atLeast"/>
              <w:jc w:val="center"/>
              <w:rPr>
                <w:bCs/>
                <w:color w:val="auto"/>
                <w:szCs w:val="21"/>
              </w:rPr>
            </w:pPr>
            <w:r>
              <w:rPr>
                <w:bCs/>
                <w:color w:val="auto"/>
                <w:szCs w:val="21"/>
              </w:rPr>
              <w:t>ND</w:t>
            </w:r>
          </w:p>
        </w:tc>
        <w:tc>
          <w:tcPr>
            <w:tcW w:w="913" w:type="dxa"/>
            <w:tcBorders>
              <w:tl2br w:val="nil"/>
              <w:tr2bl w:val="nil"/>
            </w:tcBorders>
            <w:vAlign w:val="center"/>
          </w:tcPr>
          <w:p>
            <w:pPr>
              <w:spacing w:line="240" w:lineRule="atLeast"/>
              <w:jc w:val="center"/>
              <w:rPr>
                <w:bCs/>
                <w:color w:val="auto"/>
                <w:szCs w:val="21"/>
              </w:rPr>
            </w:pPr>
            <w:r>
              <w:rPr>
                <w:bCs/>
                <w:color w:val="auto"/>
                <w:szCs w:val="21"/>
              </w:rPr>
              <w:t>0.003</w:t>
            </w:r>
          </w:p>
        </w:tc>
        <w:tc>
          <w:tcPr>
            <w:tcW w:w="938" w:type="dxa"/>
            <w:tcBorders>
              <w:tl2br w:val="nil"/>
              <w:tr2bl w:val="nil"/>
            </w:tcBorders>
            <w:vAlign w:val="center"/>
          </w:tcPr>
          <w:p>
            <w:pPr>
              <w:spacing w:line="240" w:lineRule="atLeast"/>
              <w:jc w:val="center"/>
              <w:rPr>
                <w:bCs/>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tcBorders>
              <w:tl2br w:val="nil"/>
              <w:tr2bl w:val="nil"/>
            </w:tcBorders>
            <w:vAlign w:val="center"/>
          </w:tcPr>
          <w:p>
            <w:pPr>
              <w:spacing w:line="240" w:lineRule="atLeast"/>
              <w:jc w:val="center"/>
              <w:rPr>
                <w:color w:val="auto"/>
                <w:szCs w:val="21"/>
              </w:rPr>
            </w:pPr>
            <w:r>
              <w:rPr>
                <w:color w:val="auto"/>
                <w:szCs w:val="21"/>
              </w:rPr>
              <w:t>4#</w:t>
            </w:r>
            <w:r>
              <w:rPr>
                <w:rFonts w:hint="eastAsia"/>
                <w:color w:val="auto"/>
                <w:szCs w:val="21"/>
              </w:rPr>
              <w:t>集控中心</w:t>
            </w:r>
          </w:p>
        </w:tc>
        <w:tc>
          <w:tcPr>
            <w:tcW w:w="1438" w:type="dxa"/>
            <w:tcBorders>
              <w:tl2br w:val="nil"/>
              <w:tr2bl w:val="nil"/>
            </w:tcBorders>
            <w:vAlign w:val="center"/>
          </w:tcPr>
          <w:p>
            <w:pPr>
              <w:spacing w:line="240" w:lineRule="atLeast"/>
              <w:jc w:val="center"/>
              <w:rPr>
                <w:color w:val="auto"/>
                <w:szCs w:val="21"/>
              </w:rPr>
            </w:pPr>
            <w:r>
              <w:rPr>
                <w:rFonts w:hint="eastAsia"/>
                <w:color w:val="auto"/>
                <w:szCs w:val="21"/>
              </w:rPr>
              <w:t>2019.1.15</w:t>
            </w:r>
          </w:p>
        </w:tc>
        <w:tc>
          <w:tcPr>
            <w:tcW w:w="995" w:type="dxa"/>
            <w:tcBorders>
              <w:tl2br w:val="nil"/>
              <w:tr2bl w:val="nil"/>
            </w:tcBorders>
            <w:vAlign w:val="center"/>
          </w:tcPr>
          <w:p>
            <w:pPr>
              <w:spacing w:line="240" w:lineRule="atLeast"/>
              <w:jc w:val="center"/>
              <w:rPr>
                <w:bCs/>
                <w:color w:val="auto"/>
                <w:szCs w:val="21"/>
              </w:rPr>
            </w:pPr>
            <w:r>
              <w:rPr>
                <w:rFonts w:hint="eastAsia"/>
                <w:bCs/>
                <w:color w:val="auto"/>
                <w:szCs w:val="21"/>
              </w:rPr>
              <w:t>7.36</w:t>
            </w:r>
          </w:p>
        </w:tc>
        <w:tc>
          <w:tcPr>
            <w:tcW w:w="1418" w:type="dxa"/>
            <w:tcBorders>
              <w:tl2br w:val="nil"/>
              <w:tr2bl w:val="nil"/>
            </w:tcBorders>
            <w:vAlign w:val="center"/>
          </w:tcPr>
          <w:p>
            <w:pPr>
              <w:spacing w:line="240" w:lineRule="atLeast"/>
              <w:jc w:val="center"/>
              <w:rPr>
                <w:bCs/>
                <w:color w:val="auto"/>
                <w:szCs w:val="21"/>
              </w:rPr>
            </w:pPr>
            <w:r>
              <w:rPr>
                <w:bCs/>
                <w:color w:val="auto"/>
                <w:szCs w:val="21"/>
              </w:rPr>
              <w:t>/</w:t>
            </w:r>
          </w:p>
        </w:tc>
        <w:tc>
          <w:tcPr>
            <w:tcW w:w="941" w:type="dxa"/>
            <w:tcBorders>
              <w:tl2br w:val="nil"/>
              <w:tr2bl w:val="nil"/>
            </w:tcBorders>
            <w:vAlign w:val="center"/>
          </w:tcPr>
          <w:p>
            <w:pPr>
              <w:spacing w:line="240" w:lineRule="atLeast"/>
              <w:jc w:val="center"/>
              <w:rPr>
                <w:bCs/>
                <w:color w:val="auto"/>
                <w:szCs w:val="21"/>
              </w:rPr>
            </w:pPr>
            <w:r>
              <w:rPr>
                <w:rFonts w:hint="eastAsia"/>
                <w:bCs/>
                <w:color w:val="auto"/>
                <w:szCs w:val="21"/>
              </w:rPr>
              <w:t>2.24</w:t>
            </w:r>
          </w:p>
        </w:tc>
        <w:tc>
          <w:tcPr>
            <w:tcW w:w="996" w:type="dxa"/>
            <w:tcBorders>
              <w:tl2br w:val="nil"/>
              <w:tr2bl w:val="nil"/>
            </w:tcBorders>
            <w:vAlign w:val="center"/>
          </w:tcPr>
          <w:p>
            <w:pPr>
              <w:spacing w:line="240" w:lineRule="atLeast"/>
              <w:jc w:val="center"/>
              <w:rPr>
                <w:bCs/>
                <w:color w:val="auto"/>
                <w:szCs w:val="21"/>
              </w:rPr>
            </w:pPr>
            <w:r>
              <w:rPr>
                <w:rFonts w:hint="eastAsia"/>
                <w:bCs/>
                <w:color w:val="auto"/>
                <w:szCs w:val="21"/>
              </w:rPr>
              <w:t>2.8</w:t>
            </w:r>
          </w:p>
        </w:tc>
        <w:tc>
          <w:tcPr>
            <w:tcW w:w="1139" w:type="dxa"/>
            <w:tcBorders>
              <w:tl2br w:val="nil"/>
              <w:tr2bl w:val="nil"/>
            </w:tcBorders>
            <w:vAlign w:val="center"/>
          </w:tcPr>
          <w:p>
            <w:pPr>
              <w:spacing w:line="240" w:lineRule="atLeast"/>
              <w:jc w:val="center"/>
              <w:rPr>
                <w:color w:val="auto"/>
                <w:szCs w:val="21"/>
              </w:rPr>
            </w:pPr>
            <w:r>
              <w:rPr>
                <w:rFonts w:hint="eastAsia"/>
                <w:color w:val="auto"/>
                <w:szCs w:val="21"/>
              </w:rPr>
              <w:t>0.219</w:t>
            </w:r>
          </w:p>
        </w:tc>
        <w:tc>
          <w:tcPr>
            <w:tcW w:w="886" w:type="dxa"/>
            <w:tcBorders>
              <w:tl2br w:val="nil"/>
              <w:tr2bl w:val="nil"/>
            </w:tcBorders>
            <w:vAlign w:val="center"/>
          </w:tcPr>
          <w:p>
            <w:pPr>
              <w:spacing w:line="240" w:lineRule="atLeast"/>
              <w:jc w:val="center"/>
              <w:rPr>
                <w:bCs/>
                <w:color w:val="auto"/>
                <w:szCs w:val="21"/>
              </w:rPr>
            </w:pPr>
            <w:r>
              <w:rPr>
                <w:rFonts w:hint="eastAsia"/>
                <w:bCs/>
                <w:color w:val="auto"/>
                <w:szCs w:val="21"/>
              </w:rPr>
              <w:t>4.10</w:t>
            </w:r>
          </w:p>
        </w:tc>
        <w:tc>
          <w:tcPr>
            <w:tcW w:w="914" w:type="dxa"/>
            <w:tcBorders>
              <w:tl2br w:val="nil"/>
              <w:tr2bl w:val="nil"/>
            </w:tcBorders>
            <w:vAlign w:val="center"/>
          </w:tcPr>
          <w:p>
            <w:pPr>
              <w:spacing w:line="240" w:lineRule="atLeast"/>
              <w:jc w:val="center"/>
              <w:rPr>
                <w:bCs/>
                <w:color w:val="auto"/>
                <w:szCs w:val="21"/>
              </w:rPr>
            </w:pPr>
            <w:r>
              <w:rPr>
                <w:rFonts w:hint="eastAsia"/>
                <w:bCs/>
                <w:color w:val="auto"/>
                <w:szCs w:val="21"/>
              </w:rPr>
              <w:t>0.442</w:t>
            </w:r>
          </w:p>
        </w:tc>
        <w:tc>
          <w:tcPr>
            <w:tcW w:w="1064" w:type="dxa"/>
            <w:tcBorders>
              <w:tl2br w:val="nil"/>
              <w:tr2bl w:val="nil"/>
            </w:tcBorders>
            <w:vAlign w:val="center"/>
          </w:tcPr>
          <w:p>
            <w:pPr>
              <w:spacing w:line="240" w:lineRule="atLeast"/>
              <w:jc w:val="center"/>
              <w:rPr>
                <w:bCs/>
                <w:color w:val="auto"/>
                <w:szCs w:val="21"/>
              </w:rPr>
            </w:pPr>
            <w:r>
              <w:rPr>
                <w:bCs/>
                <w:color w:val="auto"/>
                <w:szCs w:val="21"/>
              </w:rPr>
              <w:t>/</w:t>
            </w:r>
          </w:p>
        </w:tc>
        <w:tc>
          <w:tcPr>
            <w:tcW w:w="913" w:type="dxa"/>
            <w:tcBorders>
              <w:tl2br w:val="nil"/>
              <w:tr2bl w:val="nil"/>
            </w:tcBorders>
            <w:vAlign w:val="center"/>
          </w:tcPr>
          <w:p>
            <w:pPr>
              <w:spacing w:line="240" w:lineRule="atLeast"/>
              <w:jc w:val="center"/>
              <w:rPr>
                <w:bCs/>
                <w:color w:val="auto"/>
                <w:szCs w:val="21"/>
              </w:rPr>
            </w:pPr>
            <w:r>
              <w:rPr>
                <w:bCs/>
                <w:color w:val="auto"/>
                <w:szCs w:val="21"/>
              </w:rPr>
              <w:t>/</w:t>
            </w:r>
          </w:p>
        </w:tc>
        <w:tc>
          <w:tcPr>
            <w:tcW w:w="938" w:type="dxa"/>
            <w:tcBorders>
              <w:tl2br w:val="nil"/>
              <w:tr2bl w:val="nil"/>
            </w:tcBorders>
            <w:vAlign w:val="center"/>
          </w:tcPr>
          <w:p>
            <w:pPr>
              <w:spacing w:line="240" w:lineRule="atLeast"/>
              <w:jc w:val="center"/>
              <w:rPr>
                <w:bCs/>
                <w:color w:val="auto"/>
                <w:szCs w:val="21"/>
              </w:rPr>
            </w:pPr>
            <w:r>
              <w:rPr>
                <w:rFonts w:hint="eastAsia"/>
                <w:bCs/>
                <w:color w:val="auto"/>
                <w:szCs w:val="21"/>
              </w:rPr>
              <w:t>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16" w:type="dxa"/>
            <w:gridSpan w:val="2"/>
            <w:tcBorders>
              <w:tl2br w:val="nil"/>
              <w:tr2bl w:val="nil"/>
            </w:tcBorders>
            <w:vAlign w:val="center"/>
          </w:tcPr>
          <w:p>
            <w:pPr>
              <w:spacing w:line="240" w:lineRule="atLeast"/>
              <w:jc w:val="center"/>
              <w:rPr>
                <w:color w:val="auto"/>
                <w:szCs w:val="21"/>
              </w:rPr>
            </w:pPr>
            <w:r>
              <w:rPr>
                <w:rFonts w:hint="eastAsia"/>
                <w:color w:val="auto"/>
                <w:szCs w:val="21"/>
              </w:rPr>
              <w:t>标准值</w:t>
            </w:r>
          </w:p>
        </w:tc>
        <w:tc>
          <w:tcPr>
            <w:tcW w:w="995" w:type="dxa"/>
            <w:tcBorders>
              <w:tl2br w:val="nil"/>
              <w:tr2bl w:val="nil"/>
            </w:tcBorders>
            <w:vAlign w:val="center"/>
          </w:tcPr>
          <w:p>
            <w:pPr>
              <w:spacing w:line="240" w:lineRule="atLeast"/>
              <w:jc w:val="center"/>
              <w:rPr>
                <w:bCs/>
                <w:color w:val="auto"/>
                <w:szCs w:val="21"/>
              </w:rPr>
            </w:pPr>
            <w:r>
              <w:rPr>
                <w:color w:val="auto"/>
              </w:rPr>
              <w:t>6.5</w:t>
            </w:r>
            <w:r>
              <w:rPr>
                <w:rFonts w:hint="eastAsia"/>
                <w:color w:val="auto"/>
              </w:rPr>
              <w:t>～</w:t>
            </w:r>
            <w:r>
              <w:rPr>
                <w:color w:val="auto"/>
              </w:rPr>
              <w:t>8.5</w:t>
            </w:r>
          </w:p>
        </w:tc>
        <w:tc>
          <w:tcPr>
            <w:tcW w:w="1418" w:type="dxa"/>
            <w:tcBorders>
              <w:tl2br w:val="nil"/>
              <w:tr2bl w:val="nil"/>
            </w:tcBorders>
            <w:vAlign w:val="center"/>
          </w:tcPr>
          <w:p>
            <w:pPr>
              <w:spacing w:line="240" w:lineRule="atLeast"/>
              <w:jc w:val="center"/>
              <w:rPr>
                <w:bCs/>
                <w:color w:val="auto"/>
                <w:szCs w:val="21"/>
              </w:rPr>
            </w:pPr>
            <w:r>
              <w:rPr>
                <w:color w:val="auto"/>
              </w:rPr>
              <w:t>450</w:t>
            </w:r>
          </w:p>
        </w:tc>
        <w:tc>
          <w:tcPr>
            <w:tcW w:w="941" w:type="dxa"/>
            <w:tcBorders>
              <w:tl2br w:val="nil"/>
              <w:tr2bl w:val="nil"/>
            </w:tcBorders>
            <w:vAlign w:val="center"/>
          </w:tcPr>
          <w:p>
            <w:pPr>
              <w:spacing w:line="240" w:lineRule="atLeast"/>
              <w:jc w:val="center"/>
              <w:rPr>
                <w:bCs/>
                <w:color w:val="auto"/>
                <w:szCs w:val="21"/>
              </w:rPr>
            </w:pPr>
            <w:r>
              <w:rPr>
                <w:color w:val="auto"/>
              </w:rPr>
              <w:t>250</w:t>
            </w:r>
          </w:p>
        </w:tc>
        <w:tc>
          <w:tcPr>
            <w:tcW w:w="996" w:type="dxa"/>
            <w:tcBorders>
              <w:tl2br w:val="nil"/>
              <w:tr2bl w:val="nil"/>
            </w:tcBorders>
            <w:vAlign w:val="center"/>
          </w:tcPr>
          <w:p>
            <w:pPr>
              <w:spacing w:line="240" w:lineRule="atLeast"/>
              <w:jc w:val="center"/>
              <w:rPr>
                <w:bCs/>
                <w:color w:val="auto"/>
                <w:szCs w:val="21"/>
              </w:rPr>
            </w:pPr>
            <w:r>
              <w:rPr>
                <w:color w:val="auto"/>
              </w:rPr>
              <w:t>3.0</w:t>
            </w:r>
          </w:p>
        </w:tc>
        <w:tc>
          <w:tcPr>
            <w:tcW w:w="1139" w:type="dxa"/>
            <w:tcBorders>
              <w:tl2br w:val="nil"/>
              <w:tr2bl w:val="nil"/>
            </w:tcBorders>
            <w:vAlign w:val="center"/>
          </w:tcPr>
          <w:p>
            <w:pPr>
              <w:spacing w:line="240" w:lineRule="atLeast"/>
              <w:jc w:val="center"/>
              <w:rPr>
                <w:color w:val="auto"/>
                <w:szCs w:val="21"/>
              </w:rPr>
            </w:pPr>
            <w:r>
              <w:rPr>
                <w:color w:val="auto"/>
              </w:rPr>
              <w:t>1.0</w:t>
            </w:r>
          </w:p>
        </w:tc>
        <w:tc>
          <w:tcPr>
            <w:tcW w:w="886" w:type="dxa"/>
            <w:tcBorders>
              <w:tl2br w:val="nil"/>
              <w:tr2bl w:val="nil"/>
            </w:tcBorders>
            <w:vAlign w:val="center"/>
          </w:tcPr>
          <w:p>
            <w:pPr>
              <w:spacing w:line="240" w:lineRule="atLeast"/>
              <w:jc w:val="center"/>
              <w:rPr>
                <w:bCs/>
                <w:color w:val="auto"/>
                <w:szCs w:val="21"/>
              </w:rPr>
            </w:pPr>
            <w:r>
              <w:rPr>
                <w:rFonts w:hint="eastAsia"/>
                <w:bCs/>
                <w:color w:val="auto"/>
                <w:szCs w:val="21"/>
              </w:rPr>
              <w:t>20.0</w:t>
            </w:r>
          </w:p>
        </w:tc>
        <w:tc>
          <w:tcPr>
            <w:tcW w:w="914" w:type="dxa"/>
            <w:tcBorders>
              <w:tl2br w:val="nil"/>
              <w:tr2bl w:val="nil"/>
            </w:tcBorders>
            <w:vAlign w:val="center"/>
          </w:tcPr>
          <w:p>
            <w:pPr>
              <w:spacing w:line="240" w:lineRule="atLeast"/>
              <w:jc w:val="center"/>
              <w:rPr>
                <w:color w:val="auto"/>
              </w:rPr>
            </w:pPr>
            <w:r>
              <w:rPr>
                <w:color w:val="auto"/>
              </w:rPr>
              <w:t>0.50</w:t>
            </w:r>
          </w:p>
        </w:tc>
        <w:tc>
          <w:tcPr>
            <w:tcW w:w="1064" w:type="dxa"/>
            <w:tcBorders>
              <w:tl2br w:val="nil"/>
              <w:tr2bl w:val="nil"/>
            </w:tcBorders>
            <w:vAlign w:val="center"/>
          </w:tcPr>
          <w:p>
            <w:pPr>
              <w:spacing w:line="240" w:lineRule="atLeast"/>
              <w:jc w:val="center"/>
              <w:rPr>
                <w:bCs/>
                <w:color w:val="auto"/>
                <w:szCs w:val="21"/>
              </w:rPr>
            </w:pPr>
            <w:r>
              <w:rPr>
                <w:color w:val="auto"/>
                <w:szCs w:val="21"/>
              </w:rPr>
              <w:t>0.005</w:t>
            </w:r>
          </w:p>
        </w:tc>
        <w:tc>
          <w:tcPr>
            <w:tcW w:w="913" w:type="dxa"/>
            <w:tcBorders>
              <w:tl2br w:val="nil"/>
              <w:tr2bl w:val="nil"/>
            </w:tcBorders>
            <w:vAlign w:val="center"/>
          </w:tcPr>
          <w:p>
            <w:pPr>
              <w:spacing w:line="240" w:lineRule="atLeast"/>
              <w:jc w:val="center"/>
              <w:rPr>
                <w:color w:val="auto"/>
                <w:szCs w:val="21"/>
              </w:rPr>
            </w:pPr>
            <w:r>
              <w:rPr>
                <w:color w:val="auto"/>
              </w:rPr>
              <w:t>0.01</w:t>
            </w:r>
          </w:p>
        </w:tc>
        <w:tc>
          <w:tcPr>
            <w:tcW w:w="938" w:type="dxa"/>
            <w:tcBorders>
              <w:tl2br w:val="nil"/>
              <w:tr2bl w:val="nil"/>
            </w:tcBorders>
            <w:vAlign w:val="center"/>
          </w:tcPr>
          <w:p>
            <w:pPr>
              <w:spacing w:line="240" w:lineRule="atLeast"/>
              <w:jc w:val="center"/>
              <w:rPr>
                <w:color w:val="auto"/>
                <w:szCs w:val="21"/>
              </w:rPr>
            </w:pPr>
            <w:r>
              <w:rPr>
                <w:rFonts w:hint="eastAsia"/>
                <w:color w:val="auto"/>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tcBorders>
              <w:tl2br w:val="nil"/>
              <w:tr2bl w:val="nil"/>
            </w:tcBorders>
            <w:vAlign w:val="center"/>
          </w:tcPr>
          <w:p>
            <w:pPr>
              <w:spacing w:line="240" w:lineRule="atLeast"/>
              <w:jc w:val="center"/>
              <w:rPr>
                <w:color w:val="auto"/>
                <w:szCs w:val="21"/>
              </w:rPr>
            </w:pPr>
            <w:r>
              <w:rPr>
                <w:rFonts w:hint="eastAsia"/>
                <w:color w:val="auto"/>
                <w:szCs w:val="21"/>
              </w:rPr>
              <w:t>采样点位</w:t>
            </w:r>
          </w:p>
        </w:tc>
        <w:tc>
          <w:tcPr>
            <w:tcW w:w="1438" w:type="dxa"/>
            <w:tcBorders>
              <w:tl2br w:val="nil"/>
              <w:tr2bl w:val="nil"/>
            </w:tcBorders>
            <w:vAlign w:val="center"/>
          </w:tcPr>
          <w:p>
            <w:pPr>
              <w:spacing w:line="240" w:lineRule="atLeast"/>
              <w:jc w:val="center"/>
              <w:rPr>
                <w:color w:val="auto"/>
                <w:szCs w:val="21"/>
              </w:rPr>
            </w:pPr>
            <w:r>
              <w:rPr>
                <w:rFonts w:hint="eastAsia"/>
                <w:color w:val="auto"/>
                <w:szCs w:val="21"/>
              </w:rPr>
              <w:t>采样日期</w:t>
            </w:r>
          </w:p>
        </w:tc>
        <w:tc>
          <w:tcPr>
            <w:tcW w:w="995" w:type="dxa"/>
            <w:tcBorders>
              <w:tl2br w:val="nil"/>
              <w:tr2bl w:val="nil"/>
            </w:tcBorders>
            <w:vAlign w:val="center"/>
          </w:tcPr>
          <w:p>
            <w:pPr>
              <w:spacing w:line="240" w:lineRule="atLeast"/>
              <w:jc w:val="center"/>
              <w:rPr>
                <w:color w:val="auto"/>
                <w:szCs w:val="21"/>
              </w:rPr>
            </w:pPr>
            <w:r>
              <w:rPr>
                <w:rFonts w:hint="eastAsia"/>
                <w:color w:val="auto"/>
                <w:szCs w:val="21"/>
              </w:rPr>
              <w:t>铜</w:t>
            </w:r>
          </w:p>
        </w:tc>
        <w:tc>
          <w:tcPr>
            <w:tcW w:w="1418" w:type="dxa"/>
            <w:tcBorders>
              <w:tl2br w:val="nil"/>
              <w:tr2bl w:val="nil"/>
            </w:tcBorders>
            <w:vAlign w:val="center"/>
          </w:tcPr>
          <w:p>
            <w:pPr>
              <w:spacing w:line="240" w:lineRule="atLeast"/>
              <w:jc w:val="center"/>
              <w:rPr>
                <w:color w:val="auto"/>
                <w:szCs w:val="21"/>
              </w:rPr>
            </w:pPr>
            <w:r>
              <w:rPr>
                <w:rFonts w:hint="eastAsia"/>
                <w:bCs/>
                <w:color w:val="auto"/>
                <w:szCs w:val="21"/>
              </w:rPr>
              <w:t>镍</w:t>
            </w:r>
          </w:p>
        </w:tc>
        <w:tc>
          <w:tcPr>
            <w:tcW w:w="941" w:type="dxa"/>
            <w:tcBorders>
              <w:tl2br w:val="nil"/>
              <w:tr2bl w:val="nil"/>
            </w:tcBorders>
            <w:vAlign w:val="center"/>
          </w:tcPr>
          <w:p>
            <w:pPr>
              <w:spacing w:line="240" w:lineRule="atLeast"/>
              <w:jc w:val="center"/>
              <w:rPr>
                <w:color w:val="auto"/>
                <w:szCs w:val="21"/>
              </w:rPr>
            </w:pPr>
            <w:r>
              <w:rPr>
                <w:rFonts w:hint="eastAsia"/>
                <w:color w:val="auto"/>
                <w:szCs w:val="21"/>
              </w:rPr>
              <w:t>汞</w:t>
            </w:r>
          </w:p>
        </w:tc>
        <w:tc>
          <w:tcPr>
            <w:tcW w:w="996" w:type="dxa"/>
            <w:tcBorders>
              <w:tl2br w:val="nil"/>
              <w:tr2bl w:val="nil"/>
            </w:tcBorders>
            <w:vAlign w:val="center"/>
          </w:tcPr>
          <w:p>
            <w:pPr>
              <w:spacing w:line="240" w:lineRule="atLeast"/>
              <w:jc w:val="center"/>
              <w:rPr>
                <w:color w:val="auto"/>
                <w:szCs w:val="21"/>
              </w:rPr>
            </w:pPr>
            <w:r>
              <w:rPr>
                <w:rFonts w:hint="eastAsia"/>
                <w:color w:val="auto"/>
                <w:szCs w:val="21"/>
              </w:rPr>
              <w:t>砷</w:t>
            </w:r>
          </w:p>
        </w:tc>
        <w:tc>
          <w:tcPr>
            <w:tcW w:w="1139" w:type="dxa"/>
            <w:tcBorders>
              <w:tl2br w:val="nil"/>
              <w:tr2bl w:val="nil"/>
            </w:tcBorders>
            <w:vAlign w:val="center"/>
          </w:tcPr>
          <w:p>
            <w:pPr>
              <w:spacing w:line="240" w:lineRule="atLeast"/>
              <w:jc w:val="center"/>
              <w:rPr>
                <w:bCs/>
                <w:color w:val="auto"/>
                <w:szCs w:val="21"/>
              </w:rPr>
            </w:pPr>
            <w:r>
              <w:rPr>
                <w:rFonts w:hint="eastAsia"/>
                <w:bCs/>
                <w:color w:val="auto"/>
                <w:szCs w:val="21"/>
              </w:rPr>
              <w:t>六价铬</w:t>
            </w:r>
          </w:p>
        </w:tc>
        <w:tc>
          <w:tcPr>
            <w:tcW w:w="886" w:type="dxa"/>
            <w:tcBorders>
              <w:tl2br w:val="nil"/>
              <w:tr2bl w:val="nil"/>
            </w:tcBorders>
            <w:vAlign w:val="center"/>
          </w:tcPr>
          <w:p>
            <w:pPr>
              <w:spacing w:line="240" w:lineRule="atLeast"/>
              <w:jc w:val="center"/>
              <w:rPr>
                <w:bCs/>
                <w:color w:val="auto"/>
                <w:szCs w:val="21"/>
              </w:rPr>
            </w:pPr>
            <w:r>
              <w:rPr>
                <w:rFonts w:hint="eastAsia"/>
                <w:bCs/>
                <w:color w:val="auto"/>
                <w:szCs w:val="21"/>
              </w:rPr>
              <w:t>锌</w:t>
            </w:r>
          </w:p>
        </w:tc>
        <w:tc>
          <w:tcPr>
            <w:tcW w:w="914" w:type="dxa"/>
            <w:tcBorders>
              <w:tl2br w:val="nil"/>
              <w:tr2bl w:val="nil"/>
            </w:tcBorders>
            <w:vAlign w:val="center"/>
          </w:tcPr>
          <w:p>
            <w:pPr>
              <w:spacing w:line="240" w:lineRule="atLeast"/>
              <w:jc w:val="center"/>
              <w:rPr>
                <w:bCs/>
                <w:color w:val="auto"/>
                <w:szCs w:val="21"/>
              </w:rPr>
            </w:pPr>
            <w:r>
              <w:rPr>
                <w:rFonts w:hint="eastAsia"/>
                <w:bCs/>
                <w:color w:val="auto"/>
                <w:szCs w:val="21"/>
              </w:rPr>
              <w:t>氯化物</w:t>
            </w:r>
          </w:p>
        </w:tc>
        <w:tc>
          <w:tcPr>
            <w:tcW w:w="1064" w:type="dxa"/>
            <w:tcBorders>
              <w:tl2br w:val="nil"/>
              <w:tr2bl w:val="nil"/>
            </w:tcBorders>
            <w:vAlign w:val="center"/>
          </w:tcPr>
          <w:p>
            <w:pPr>
              <w:spacing w:line="240" w:lineRule="atLeast"/>
              <w:jc w:val="center"/>
              <w:rPr>
                <w:color w:val="auto"/>
                <w:szCs w:val="21"/>
              </w:rPr>
            </w:pPr>
            <w:r>
              <w:rPr>
                <w:rFonts w:hint="eastAsia"/>
                <w:color w:val="auto"/>
                <w:szCs w:val="21"/>
              </w:rPr>
              <w:t>挥发酚</w:t>
            </w:r>
          </w:p>
        </w:tc>
        <w:tc>
          <w:tcPr>
            <w:tcW w:w="913" w:type="dxa"/>
            <w:tcBorders>
              <w:tl2br w:val="nil"/>
              <w:tr2bl w:val="nil"/>
            </w:tcBorders>
            <w:vAlign w:val="center"/>
          </w:tcPr>
          <w:p>
            <w:pPr>
              <w:spacing w:line="240" w:lineRule="atLeast"/>
              <w:jc w:val="center"/>
              <w:rPr>
                <w:color w:val="auto"/>
                <w:szCs w:val="21"/>
              </w:rPr>
            </w:pPr>
            <w:r>
              <w:rPr>
                <w:rFonts w:hint="eastAsia"/>
                <w:color w:val="auto"/>
                <w:szCs w:val="21"/>
              </w:rPr>
              <w:t>氰化物</w:t>
            </w:r>
          </w:p>
        </w:tc>
        <w:tc>
          <w:tcPr>
            <w:tcW w:w="938" w:type="dxa"/>
            <w:tcBorders>
              <w:tl2br w:val="nil"/>
              <w:tr2bl w:val="nil"/>
            </w:tcBorders>
            <w:vAlign w:val="center"/>
          </w:tcPr>
          <w:p>
            <w:pPr>
              <w:spacing w:line="240" w:lineRule="atLeast"/>
              <w:jc w:val="center"/>
              <w:rPr>
                <w:color w:val="auto"/>
                <w:szCs w:val="21"/>
              </w:rPr>
            </w:pPr>
            <w:r>
              <w:rPr>
                <w:rFonts w:hint="eastAsia"/>
                <w:color w:val="auto"/>
                <w:szCs w:val="21"/>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tcBorders>
              <w:tl2br w:val="nil"/>
              <w:tr2bl w:val="nil"/>
            </w:tcBorders>
            <w:vAlign w:val="center"/>
          </w:tcPr>
          <w:p>
            <w:pPr>
              <w:spacing w:line="240" w:lineRule="atLeast"/>
              <w:jc w:val="center"/>
              <w:rPr>
                <w:color w:val="auto"/>
                <w:szCs w:val="21"/>
              </w:rPr>
            </w:pPr>
            <w:r>
              <w:rPr>
                <w:color w:val="auto"/>
                <w:szCs w:val="21"/>
              </w:rPr>
              <w:t>1#</w:t>
            </w:r>
            <w:r>
              <w:rPr>
                <w:rFonts w:hint="eastAsia"/>
                <w:color w:val="auto"/>
                <w:szCs w:val="21"/>
              </w:rPr>
              <w:t>东埕村水井</w:t>
            </w:r>
          </w:p>
        </w:tc>
        <w:tc>
          <w:tcPr>
            <w:tcW w:w="1438" w:type="dxa"/>
            <w:tcBorders>
              <w:tl2br w:val="nil"/>
              <w:tr2bl w:val="nil"/>
            </w:tcBorders>
            <w:vAlign w:val="center"/>
          </w:tcPr>
          <w:p>
            <w:pPr>
              <w:spacing w:line="240" w:lineRule="atLeast"/>
              <w:jc w:val="center"/>
              <w:rPr>
                <w:color w:val="auto"/>
                <w:szCs w:val="21"/>
              </w:rPr>
            </w:pPr>
            <w:r>
              <w:rPr>
                <w:color w:val="auto"/>
                <w:szCs w:val="21"/>
              </w:rPr>
              <w:t>2017.4.1</w:t>
            </w:r>
          </w:p>
        </w:tc>
        <w:tc>
          <w:tcPr>
            <w:tcW w:w="995" w:type="dxa"/>
            <w:tcBorders>
              <w:tl2br w:val="nil"/>
              <w:tr2bl w:val="nil"/>
            </w:tcBorders>
            <w:vAlign w:val="center"/>
          </w:tcPr>
          <w:p>
            <w:pPr>
              <w:spacing w:line="240" w:lineRule="atLeast"/>
              <w:jc w:val="center"/>
              <w:rPr>
                <w:color w:val="auto"/>
                <w:szCs w:val="21"/>
              </w:rPr>
            </w:pPr>
            <w:r>
              <w:rPr>
                <w:bCs/>
                <w:color w:val="auto"/>
                <w:szCs w:val="21"/>
              </w:rPr>
              <w:t>ND</w:t>
            </w:r>
          </w:p>
        </w:tc>
        <w:tc>
          <w:tcPr>
            <w:tcW w:w="1418" w:type="dxa"/>
            <w:tcBorders>
              <w:tl2br w:val="nil"/>
              <w:tr2bl w:val="nil"/>
            </w:tcBorders>
            <w:vAlign w:val="center"/>
          </w:tcPr>
          <w:p>
            <w:pPr>
              <w:spacing w:line="240" w:lineRule="atLeast"/>
              <w:jc w:val="center"/>
              <w:rPr>
                <w:bCs/>
                <w:color w:val="auto"/>
                <w:szCs w:val="21"/>
              </w:rPr>
            </w:pPr>
            <w:r>
              <w:rPr>
                <w:bCs/>
                <w:color w:val="auto"/>
                <w:szCs w:val="21"/>
              </w:rPr>
              <w:t>ND</w:t>
            </w:r>
          </w:p>
        </w:tc>
        <w:tc>
          <w:tcPr>
            <w:tcW w:w="941" w:type="dxa"/>
            <w:tcBorders>
              <w:tl2br w:val="nil"/>
              <w:tr2bl w:val="nil"/>
            </w:tcBorders>
            <w:vAlign w:val="center"/>
          </w:tcPr>
          <w:p>
            <w:pPr>
              <w:spacing w:line="240" w:lineRule="atLeast"/>
              <w:jc w:val="center"/>
              <w:rPr>
                <w:color w:val="auto"/>
                <w:szCs w:val="21"/>
              </w:rPr>
            </w:pPr>
            <w:r>
              <w:rPr>
                <w:bCs/>
                <w:color w:val="auto"/>
                <w:szCs w:val="21"/>
              </w:rPr>
              <w:t>ND</w:t>
            </w:r>
          </w:p>
        </w:tc>
        <w:tc>
          <w:tcPr>
            <w:tcW w:w="996" w:type="dxa"/>
            <w:tcBorders>
              <w:tl2br w:val="nil"/>
              <w:tr2bl w:val="nil"/>
            </w:tcBorders>
            <w:vAlign w:val="center"/>
          </w:tcPr>
          <w:p>
            <w:pPr>
              <w:spacing w:line="240" w:lineRule="atLeast"/>
              <w:jc w:val="center"/>
              <w:rPr>
                <w:color w:val="auto"/>
                <w:szCs w:val="21"/>
              </w:rPr>
            </w:pPr>
            <w:r>
              <w:rPr>
                <w:bCs/>
                <w:color w:val="auto"/>
                <w:szCs w:val="21"/>
              </w:rPr>
              <w:t>ND</w:t>
            </w:r>
          </w:p>
        </w:tc>
        <w:tc>
          <w:tcPr>
            <w:tcW w:w="1139" w:type="dxa"/>
            <w:tcBorders>
              <w:tl2br w:val="nil"/>
              <w:tr2bl w:val="nil"/>
            </w:tcBorders>
            <w:vAlign w:val="center"/>
          </w:tcPr>
          <w:p>
            <w:pPr>
              <w:spacing w:line="240" w:lineRule="atLeast"/>
              <w:jc w:val="center"/>
              <w:rPr>
                <w:bCs/>
                <w:color w:val="auto"/>
                <w:szCs w:val="21"/>
              </w:rPr>
            </w:pPr>
            <w:r>
              <w:rPr>
                <w:bCs/>
                <w:color w:val="auto"/>
                <w:szCs w:val="21"/>
              </w:rPr>
              <w:t>ND</w:t>
            </w:r>
          </w:p>
        </w:tc>
        <w:tc>
          <w:tcPr>
            <w:tcW w:w="886" w:type="dxa"/>
            <w:tcBorders>
              <w:tl2br w:val="nil"/>
              <w:tr2bl w:val="nil"/>
            </w:tcBorders>
            <w:vAlign w:val="center"/>
          </w:tcPr>
          <w:p>
            <w:pPr>
              <w:spacing w:line="240" w:lineRule="atLeast"/>
              <w:jc w:val="center"/>
              <w:rPr>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w:t>
            </w:r>
          </w:p>
        </w:tc>
        <w:tc>
          <w:tcPr>
            <w:tcW w:w="1064" w:type="dxa"/>
            <w:tcBorders>
              <w:tl2br w:val="nil"/>
              <w:tr2bl w:val="nil"/>
            </w:tcBorders>
            <w:vAlign w:val="center"/>
          </w:tcPr>
          <w:p>
            <w:pPr>
              <w:spacing w:line="240" w:lineRule="atLeast"/>
              <w:jc w:val="center"/>
              <w:rPr>
                <w:color w:val="auto"/>
                <w:szCs w:val="21"/>
              </w:rPr>
            </w:pPr>
            <w:r>
              <w:rPr>
                <w:bCs/>
                <w:color w:val="auto"/>
                <w:szCs w:val="21"/>
              </w:rPr>
              <w:t>/</w:t>
            </w:r>
          </w:p>
        </w:tc>
        <w:tc>
          <w:tcPr>
            <w:tcW w:w="913" w:type="dxa"/>
            <w:tcBorders>
              <w:tl2br w:val="nil"/>
              <w:tr2bl w:val="nil"/>
            </w:tcBorders>
            <w:vAlign w:val="center"/>
          </w:tcPr>
          <w:p>
            <w:pPr>
              <w:spacing w:line="240" w:lineRule="atLeast"/>
              <w:jc w:val="center"/>
              <w:rPr>
                <w:color w:val="auto"/>
                <w:szCs w:val="21"/>
              </w:rPr>
            </w:pPr>
            <w:r>
              <w:rPr>
                <w:bCs/>
                <w:color w:val="auto"/>
                <w:szCs w:val="21"/>
              </w:rPr>
              <w:t>/</w:t>
            </w:r>
          </w:p>
        </w:tc>
        <w:tc>
          <w:tcPr>
            <w:tcW w:w="938" w:type="dxa"/>
            <w:tcBorders>
              <w:tl2br w:val="nil"/>
              <w:tr2bl w:val="nil"/>
            </w:tcBorders>
            <w:vAlign w:val="center"/>
          </w:tcPr>
          <w:p>
            <w:pPr>
              <w:spacing w:line="240" w:lineRule="atLeast"/>
              <w:jc w:val="center"/>
              <w:rPr>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restart"/>
            <w:tcBorders>
              <w:tl2br w:val="nil"/>
              <w:tr2bl w:val="nil"/>
            </w:tcBorders>
            <w:vAlign w:val="center"/>
          </w:tcPr>
          <w:p>
            <w:pPr>
              <w:spacing w:line="240" w:lineRule="atLeast"/>
              <w:jc w:val="center"/>
              <w:rPr>
                <w:color w:val="auto"/>
                <w:szCs w:val="21"/>
              </w:rPr>
            </w:pPr>
            <w:r>
              <w:rPr>
                <w:color w:val="auto"/>
                <w:szCs w:val="21"/>
              </w:rPr>
              <w:t>2#</w:t>
            </w:r>
            <w:r>
              <w:rPr>
                <w:rFonts w:hint="eastAsia"/>
                <w:color w:val="auto"/>
                <w:szCs w:val="21"/>
              </w:rPr>
              <w:t>斗门头村水井</w:t>
            </w:r>
          </w:p>
        </w:tc>
        <w:tc>
          <w:tcPr>
            <w:tcW w:w="1438" w:type="dxa"/>
            <w:tcBorders>
              <w:tl2br w:val="nil"/>
              <w:tr2bl w:val="nil"/>
            </w:tcBorders>
            <w:vAlign w:val="center"/>
          </w:tcPr>
          <w:p>
            <w:pPr>
              <w:spacing w:line="240" w:lineRule="atLeast"/>
              <w:jc w:val="center"/>
              <w:rPr>
                <w:color w:val="auto"/>
                <w:szCs w:val="21"/>
              </w:rPr>
            </w:pPr>
            <w:r>
              <w:rPr>
                <w:color w:val="auto"/>
                <w:szCs w:val="21"/>
              </w:rPr>
              <w:t>2017.6.16</w:t>
            </w:r>
          </w:p>
        </w:tc>
        <w:tc>
          <w:tcPr>
            <w:tcW w:w="995" w:type="dxa"/>
            <w:tcBorders>
              <w:tl2br w:val="nil"/>
              <w:tr2bl w:val="nil"/>
            </w:tcBorders>
            <w:vAlign w:val="center"/>
          </w:tcPr>
          <w:p>
            <w:pPr>
              <w:spacing w:line="240" w:lineRule="atLeast"/>
              <w:jc w:val="center"/>
              <w:rPr>
                <w:bCs/>
                <w:color w:val="auto"/>
                <w:szCs w:val="21"/>
              </w:rPr>
            </w:pPr>
            <w:r>
              <w:rPr>
                <w:bCs/>
                <w:color w:val="auto"/>
                <w:szCs w:val="21"/>
              </w:rPr>
              <w:t>ND</w:t>
            </w:r>
          </w:p>
        </w:tc>
        <w:tc>
          <w:tcPr>
            <w:tcW w:w="1418" w:type="dxa"/>
            <w:tcBorders>
              <w:tl2br w:val="nil"/>
              <w:tr2bl w:val="nil"/>
            </w:tcBorders>
            <w:vAlign w:val="center"/>
          </w:tcPr>
          <w:p>
            <w:pPr>
              <w:spacing w:line="240" w:lineRule="atLeast"/>
              <w:jc w:val="center"/>
              <w:rPr>
                <w:bCs/>
                <w:color w:val="auto"/>
                <w:szCs w:val="21"/>
              </w:rPr>
            </w:pPr>
            <w:r>
              <w:rPr>
                <w:bCs/>
                <w:color w:val="auto"/>
                <w:szCs w:val="21"/>
              </w:rPr>
              <w:t>ND</w:t>
            </w:r>
          </w:p>
        </w:tc>
        <w:tc>
          <w:tcPr>
            <w:tcW w:w="941" w:type="dxa"/>
            <w:tcBorders>
              <w:tl2br w:val="nil"/>
              <w:tr2bl w:val="nil"/>
            </w:tcBorders>
            <w:vAlign w:val="center"/>
          </w:tcPr>
          <w:p>
            <w:pPr>
              <w:spacing w:line="240" w:lineRule="atLeast"/>
              <w:jc w:val="center"/>
              <w:rPr>
                <w:bCs/>
                <w:color w:val="auto"/>
                <w:szCs w:val="21"/>
              </w:rPr>
            </w:pPr>
            <w:r>
              <w:rPr>
                <w:bCs/>
                <w:color w:val="auto"/>
                <w:szCs w:val="21"/>
              </w:rPr>
              <w:t>ND</w:t>
            </w:r>
          </w:p>
        </w:tc>
        <w:tc>
          <w:tcPr>
            <w:tcW w:w="996" w:type="dxa"/>
            <w:tcBorders>
              <w:tl2br w:val="nil"/>
              <w:tr2bl w:val="nil"/>
            </w:tcBorders>
            <w:vAlign w:val="center"/>
          </w:tcPr>
          <w:p>
            <w:pPr>
              <w:spacing w:line="240" w:lineRule="atLeast"/>
              <w:jc w:val="center"/>
              <w:rPr>
                <w:bCs/>
                <w:color w:val="auto"/>
                <w:szCs w:val="21"/>
              </w:rPr>
            </w:pPr>
            <w:r>
              <w:rPr>
                <w:bCs/>
                <w:color w:val="auto"/>
                <w:szCs w:val="21"/>
              </w:rPr>
              <w:t>ND</w:t>
            </w:r>
          </w:p>
        </w:tc>
        <w:tc>
          <w:tcPr>
            <w:tcW w:w="1139" w:type="dxa"/>
            <w:tcBorders>
              <w:tl2br w:val="nil"/>
              <w:tr2bl w:val="nil"/>
            </w:tcBorders>
            <w:vAlign w:val="center"/>
          </w:tcPr>
          <w:p>
            <w:pPr>
              <w:spacing w:line="240" w:lineRule="atLeast"/>
              <w:jc w:val="center"/>
              <w:rPr>
                <w:bCs/>
                <w:color w:val="auto"/>
                <w:szCs w:val="21"/>
              </w:rPr>
            </w:pPr>
            <w:r>
              <w:rPr>
                <w:bCs/>
                <w:color w:val="auto"/>
                <w:szCs w:val="21"/>
              </w:rPr>
              <w:t>ND</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w:t>
            </w:r>
          </w:p>
        </w:tc>
        <w:tc>
          <w:tcPr>
            <w:tcW w:w="1064" w:type="dxa"/>
            <w:tcBorders>
              <w:tl2br w:val="nil"/>
              <w:tr2bl w:val="nil"/>
            </w:tcBorders>
            <w:vAlign w:val="center"/>
          </w:tcPr>
          <w:p>
            <w:pPr>
              <w:spacing w:line="240" w:lineRule="atLeast"/>
              <w:jc w:val="center"/>
              <w:rPr>
                <w:color w:val="auto"/>
                <w:szCs w:val="21"/>
              </w:rPr>
            </w:pPr>
            <w:r>
              <w:rPr>
                <w:bCs/>
                <w:color w:val="auto"/>
                <w:szCs w:val="21"/>
              </w:rPr>
              <w:t>/</w:t>
            </w:r>
          </w:p>
        </w:tc>
        <w:tc>
          <w:tcPr>
            <w:tcW w:w="913" w:type="dxa"/>
            <w:tcBorders>
              <w:tl2br w:val="nil"/>
              <w:tr2bl w:val="nil"/>
            </w:tcBorders>
            <w:vAlign w:val="center"/>
          </w:tcPr>
          <w:p>
            <w:pPr>
              <w:spacing w:line="240" w:lineRule="atLeast"/>
              <w:jc w:val="center"/>
              <w:rPr>
                <w:color w:val="auto"/>
                <w:szCs w:val="21"/>
              </w:rPr>
            </w:pPr>
            <w:r>
              <w:rPr>
                <w:bCs/>
                <w:color w:val="auto"/>
                <w:szCs w:val="21"/>
              </w:rPr>
              <w:t>/</w:t>
            </w:r>
          </w:p>
        </w:tc>
        <w:tc>
          <w:tcPr>
            <w:tcW w:w="938" w:type="dxa"/>
            <w:tcBorders>
              <w:tl2br w:val="nil"/>
              <w:tr2bl w:val="nil"/>
            </w:tcBorders>
            <w:vAlign w:val="center"/>
          </w:tcPr>
          <w:p>
            <w:pPr>
              <w:spacing w:line="240" w:lineRule="atLeast"/>
              <w:jc w:val="center"/>
              <w:rPr>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continue"/>
            <w:tcBorders>
              <w:tl2br w:val="nil"/>
              <w:tr2bl w:val="nil"/>
            </w:tcBorders>
            <w:vAlign w:val="center"/>
          </w:tcPr>
          <w:p>
            <w:pPr>
              <w:widowControl/>
              <w:jc w:val="left"/>
              <w:rPr>
                <w:color w:val="auto"/>
                <w:szCs w:val="21"/>
              </w:rPr>
            </w:pPr>
          </w:p>
        </w:tc>
        <w:tc>
          <w:tcPr>
            <w:tcW w:w="1438" w:type="dxa"/>
            <w:tcBorders>
              <w:tl2br w:val="nil"/>
              <w:tr2bl w:val="nil"/>
            </w:tcBorders>
            <w:vAlign w:val="center"/>
          </w:tcPr>
          <w:p>
            <w:pPr>
              <w:spacing w:line="240" w:lineRule="atLeast"/>
              <w:jc w:val="center"/>
              <w:rPr>
                <w:color w:val="auto"/>
                <w:szCs w:val="21"/>
              </w:rPr>
            </w:pPr>
            <w:r>
              <w:rPr>
                <w:color w:val="auto"/>
                <w:szCs w:val="21"/>
              </w:rPr>
              <w:t>2017.6.17</w:t>
            </w:r>
          </w:p>
        </w:tc>
        <w:tc>
          <w:tcPr>
            <w:tcW w:w="995" w:type="dxa"/>
            <w:tcBorders>
              <w:tl2br w:val="nil"/>
              <w:tr2bl w:val="nil"/>
            </w:tcBorders>
            <w:vAlign w:val="center"/>
          </w:tcPr>
          <w:p>
            <w:pPr>
              <w:spacing w:line="240" w:lineRule="atLeast"/>
              <w:jc w:val="center"/>
              <w:rPr>
                <w:bCs/>
                <w:color w:val="auto"/>
                <w:szCs w:val="21"/>
              </w:rPr>
            </w:pPr>
            <w:r>
              <w:rPr>
                <w:bCs/>
                <w:color w:val="auto"/>
                <w:szCs w:val="21"/>
              </w:rPr>
              <w:t>ND</w:t>
            </w:r>
          </w:p>
        </w:tc>
        <w:tc>
          <w:tcPr>
            <w:tcW w:w="1418" w:type="dxa"/>
            <w:tcBorders>
              <w:tl2br w:val="nil"/>
              <w:tr2bl w:val="nil"/>
            </w:tcBorders>
            <w:vAlign w:val="center"/>
          </w:tcPr>
          <w:p>
            <w:pPr>
              <w:spacing w:line="240" w:lineRule="atLeast"/>
              <w:jc w:val="center"/>
              <w:rPr>
                <w:bCs/>
                <w:color w:val="auto"/>
                <w:szCs w:val="21"/>
              </w:rPr>
            </w:pPr>
            <w:r>
              <w:rPr>
                <w:bCs/>
                <w:color w:val="auto"/>
                <w:szCs w:val="21"/>
              </w:rPr>
              <w:t>ND</w:t>
            </w:r>
          </w:p>
        </w:tc>
        <w:tc>
          <w:tcPr>
            <w:tcW w:w="941" w:type="dxa"/>
            <w:tcBorders>
              <w:tl2br w:val="nil"/>
              <w:tr2bl w:val="nil"/>
            </w:tcBorders>
            <w:vAlign w:val="center"/>
          </w:tcPr>
          <w:p>
            <w:pPr>
              <w:spacing w:line="240" w:lineRule="atLeast"/>
              <w:jc w:val="center"/>
              <w:rPr>
                <w:bCs/>
                <w:color w:val="auto"/>
                <w:szCs w:val="21"/>
              </w:rPr>
            </w:pPr>
            <w:r>
              <w:rPr>
                <w:bCs/>
                <w:color w:val="auto"/>
                <w:szCs w:val="21"/>
              </w:rPr>
              <w:t>ND</w:t>
            </w:r>
          </w:p>
        </w:tc>
        <w:tc>
          <w:tcPr>
            <w:tcW w:w="996" w:type="dxa"/>
            <w:tcBorders>
              <w:tl2br w:val="nil"/>
              <w:tr2bl w:val="nil"/>
            </w:tcBorders>
            <w:vAlign w:val="center"/>
          </w:tcPr>
          <w:p>
            <w:pPr>
              <w:spacing w:line="240" w:lineRule="atLeast"/>
              <w:jc w:val="center"/>
              <w:rPr>
                <w:bCs/>
                <w:color w:val="auto"/>
                <w:szCs w:val="21"/>
              </w:rPr>
            </w:pPr>
            <w:r>
              <w:rPr>
                <w:bCs/>
                <w:color w:val="auto"/>
                <w:szCs w:val="21"/>
              </w:rPr>
              <w:t>ND</w:t>
            </w:r>
          </w:p>
        </w:tc>
        <w:tc>
          <w:tcPr>
            <w:tcW w:w="1139" w:type="dxa"/>
            <w:tcBorders>
              <w:tl2br w:val="nil"/>
              <w:tr2bl w:val="nil"/>
            </w:tcBorders>
            <w:vAlign w:val="center"/>
          </w:tcPr>
          <w:p>
            <w:pPr>
              <w:spacing w:line="240" w:lineRule="atLeast"/>
              <w:jc w:val="center"/>
              <w:rPr>
                <w:bCs/>
                <w:color w:val="auto"/>
                <w:szCs w:val="21"/>
              </w:rPr>
            </w:pPr>
            <w:r>
              <w:rPr>
                <w:bCs/>
                <w:color w:val="auto"/>
                <w:szCs w:val="21"/>
              </w:rPr>
              <w:t>ND</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w:t>
            </w:r>
          </w:p>
        </w:tc>
        <w:tc>
          <w:tcPr>
            <w:tcW w:w="1064" w:type="dxa"/>
            <w:tcBorders>
              <w:tl2br w:val="nil"/>
              <w:tr2bl w:val="nil"/>
            </w:tcBorders>
            <w:vAlign w:val="center"/>
          </w:tcPr>
          <w:p>
            <w:pPr>
              <w:spacing w:line="240" w:lineRule="atLeast"/>
              <w:jc w:val="center"/>
              <w:rPr>
                <w:color w:val="auto"/>
                <w:szCs w:val="21"/>
              </w:rPr>
            </w:pPr>
            <w:r>
              <w:rPr>
                <w:bCs/>
                <w:color w:val="auto"/>
                <w:szCs w:val="21"/>
              </w:rPr>
              <w:t>/</w:t>
            </w:r>
          </w:p>
        </w:tc>
        <w:tc>
          <w:tcPr>
            <w:tcW w:w="913" w:type="dxa"/>
            <w:tcBorders>
              <w:tl2br w:val="nil"/>
              <w:tr2bl w:val="nil"/>
            </w:tcBorders>
            <w:vAlign w:val="center"/>
          </w:tcPr>
          <w:p>
            <w:pPr>
              <w:spacing w:line="240" w:lineRule="atLeast"/>
              <w:jc w:val="center"/>
              <w:rPr>
                <w:color w:val="auto"/>
                <w:szCs w:val="21"/>
              </w:rPr>
            </w:pPr>
            <w:r>
              <w:rPr>
                <w:bCs/>
                <w:color w:val="auto"/>
                <w:szCs w:val="21"/>
              </w:rPr>
              <w:t>/</w:t>
            </w:r>
          </w:p>
        </w:tc>
        <w:tc>
          <w:tcPr>
            <w:tcW w:w="938" w:type="dxa"/>
            <w:tcBorders>
              <w:tl2br w:val="nil"/>
              <w:tr2bl w:val="nil"/>
            </w:tcBorders>
            <w:vAlign w:val="center"/>
          </w:tcPr>
          <w:p>
            <w:pPr>
              <w:spacing w:line="240" w:lineRule="atLeast"/>
              <w:jc w:val="center"/>
              <w:rPr>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restart"/>
            <w:tcBorders>
              <w:tl2br w:val="nil"/>
              <w:tr2bl w:val="nil"/>
            </w:tcBorders>
            <w:vAlign w:val="center"/>
          </w:tcPr>
          <w:p>
            <w:pPr>
              <w:spacing w:line="240" w:lineRule="atLeast"/>
              <w:jc w:val="center"/>
              <w:rPr>
                <w:color w:val="auto"/>
                <w:szCs w:val="21"/>
              </w:rPr>
            </w:pPr>
            <w:r>
              <w:rPr>
                <w:color w:val="auto"/>
                <w:szCs w:val="21"/>
              </w:rPr>
              <w:t>3#</w:t>
            </w:r>
            <w:r>
              <w:rPr>
                <w:rFonts w:hint="eastAsia"/>
                <w:color w:val="auto"/>
                <w:szCs w:val="21"/>
              </w:rPr>
              <w:t>柏洋村水井</w:t>
            </w:r>
          </w:p>
        </w:tc>
        <w:tc>
          <w:tcPr>
            <w:tcW w:w="1438" w:type="dxa"/>
            <w:tcBorders>
              <w:tl2br w:val="nil"/>
              <w:tr2bl w:val="nil"/>
            </w:tcBorders>
            <w:vAlign w:val="center"/>
          </w:tcPr>
          <w:p>
            <w:pPr>
              <w:spacing w:line="240" w:lineRule="atLeast"/>
              <w:jc w:val="center"/>
              <w:rPr>
                <w:color w:val="auto"/>
                <w:szCs w:val="21"/>
              </w:rPr>
            </w:pPr>
            <w:r>
              <w:rPr>
                <w:color w:val="auto"/>
                <w:szCs w:val="21"/>
              </w:rPr>
              <w:t>2017.6.16</w:t>
            </w:r>
          </w:p>
        </w:tc>
        <w:tc>
          <w:tcPr>
            <w:tcW w:w="995" w:type="dxa"/>
            <w:tcBorders>
              <w:tl2br w:val="nil"/>
              <w:tr2bl w:val="nil"/>
            </w:tcBorders>
            <w:vAlign w:val="center"/>
          </w:tcPr>
          <w:p>
            <w:pPr>
              <w:spacing w:line="240" w:lineRule="atLeast"/>
              <w:jc w:val="center"/>
              <w:rPr>
                <w:bCs/>
                <w:color w:val="auto"/>
                <w:szCs w:val="21"/>
              </w:rPr>
            </w:pPr>
            <w:r>
              <w:rPr>
                <w:bCs/>
                <w:color w:val="auto"/>
                <w:szCs w:val="21"/>
              </w:rPr>
              <w:t>ND</w:t>
            </w:r>
          </w:p>
        </w:tc>
        <w:tc>
          <w:tcPr>
            <w:tcW w:w="1418" w:type="dxa"/>
            <w:tcBorders>
              <w:tl2br w:val="nil"/>
              <w:tr2bl w:val="nil"/>
            </w:tcBorders>
            <w:vAlign w:val="center"/>
          </w:tcPr>
          <w:p>
            <w:pPr>
              <w:spacing w:line="240" w:lineRule="atLeast"/>
              <w:jc w:val="center"/>
              <w:rPr>
                <w:bCs/>
                <w:color w:val="auto"/>
                <w:szCs w:val="21"/>
              </w:rPr>
            </w:pPr>
            <w:r>
              <w:rPr>
                <w:bCs/>
                <w:color w:val="auto"/>
                <w:szCs w:val="21"/>
              </w:rPr>
              <w:t>ND</w:t>
            </w:r>
          </w:p>
        </w:tc>
        <w:tc>
          <w:tcPr>
            <w:tcW w:w="941" w:type="dxa"/>
            <w:tcBorders>
              <w:tl2br w:val="nil"/>
              <w:tr2bl w:val="nil"/>
            </w:tcBorders>
            <w:vAlign w:val="center"/>
          </w:tcPr>
          <w:p>
            <w:pPr>
              <w:spacing w:line="240" w:lineRule="atLeast"/>
              <w:jc w:val="center"/>
              <w:rPr>
                <w:color w:val="auto"/>
                <w:szCs w:val="21"/>
              </w:rPr>
            </w:pPr>
            <w:r>
              <w:rPr>
                <w:bCs/>
                <w:color w:val="auto"/>
                <w:szCs w:val="21"/>
              </w:rPr>
              <w:t>0.00012</w:t>
            </w:r>
          </w:p>
        </w:tc>
        <w:tc>
          <w:tcPr>
            <w:tcW w:w="996" w:type="dxa"/>
            <w:tcBorders>
              <w:tl2br w:val="nil"/>
              <w:tr2bl w:val="nil"/>
            </w:tcBorders>
            <w:vAlign w:val="center"/>
          </w:tcPr>
          <w:p>
            <w:pPr>
              <w:spacing w:line="240" w:lineRule="atLeast"/>
              <w:jc w:val="center"/>
              <w:rPr>
                <w:bCs/>
                <w:color w:val="auto"/>
                <w:szCs w:val="21"/>
              </w:rPr>
            </w:pPr>
            <w:r>
              <w:rPr>
                <w:bCs/>
                <w:color w:val="auto"/>
                <w:szCs w:val="21"/>
              </w:rPr>
              <w:t>ND</w:t>
            </w:r>
          </w:p>
        </w:tc>
        <w:tc>
          <w:tcPr>
            <w:tcW w:w="1139" w:type="dxa"/>
            <w:tcBorders>
              <w:tl2br w:val="nil"/>
              <w:tr2bl w:val="nil"/>
            </w:tcBorders>
            <w:vAlign w:val="center"/>
          </w:tcPr>
          <w:p>
            <w:pPr>
              <w:spacing w:line="240" w:lineRule="atLeast"/>
              <w:jc w:val="center"/>
              <w:rPr>
                <w:bCs/>
                <w:color w:val="auto"/>
                <w:szCs w:val="21"/>
              </w:rPr>
            </w:pPr>
            <w:r>
              <w:rPr>
                <w:bCs/>
                <w:color w:val="auto"/>
                <w:szCs w:val="21"/>
              </w:rPr>
              <w:t>ND</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w:t>
            </w:r>
          </w:p>
        </w:tc>
        <w:tc>
          <w:tcPr>
            <w:tcW w:w="1064" w:type="dxa"/>
            <w:tcBorders>
              <w:tl2br w:val="nil"/>
              <w:tr2bl w:val="nil"/>
            </w:tcBorders>
            <w:vAlign w:val="center"/>
          </w:tcPr>
          <w:p>
            <w:pPr>
              <w:spacing w:line="240" w:lineRule="atLeast"/>
              <w:jc w:val="center"/>
              <w:rPr>
                <w:color w:val="auto"/>
                <w:szCs w:val="21"/>
              </w:rPr>
            </w:pPr>
            <w:r>
              <w:rPr>
                <w:bCs/>
                <w:color w:val="auto"/>
                <w:szCs w:val="21"/>
              </w:rPr>
              <w:t>/</w:t>
            </w:r>
          </w:p>
        </w:tc>
        <w:tc>
          <w:tcPr>
            <w:tcW w:w="913" w:type="dxa"/>
            <w:tcBorders>
              <w:tl2br w:val="nil"/>
              <w:tr2bl w:val="nil"/>
            </w:tcBorders>
            <w:vAlign w:val="center"/>
          </w:tcPr>
          <w:p>
            <w:pPr>
              <w:spacing w:line="240" w:lineRule="atLeast"/>
              <w:jc w:val="center"/>
              <w:rPr>
                <w:color w:val="auto"/>
                <w:szCs w:val="21"/>
              </w:rPr>
            </w:pPr>
            <w:r>
              <w:rPr>
                <w:bCs/>
                <w:color w:val="auto"/>
                <w:szCs w:val="21"/>
              </w:rPr>
              <w:t>/</w:t>
            </w:r>
          </w:p>
        </w:tc>
        <w:tc>
          <w:tcPr>
            <w:tcW w:w="938" w:type="dxa"/>
            <w:tcBorders>
              <w:tl2br w:val="nil"/>
              <w:tr2bl w:val="nil"/>
            </w:tcBorders>
            <w:vAlign w:val="center"/>
          </w:tcPr>
          <w:p>
            <w:pPr>
              <w:spacing w:line="240" w:lineRule="atLeast"/>
              <w:jc w:val="center"/>
              <w:rPr>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continue"/>
            <w:tcBorders>
              <w:tl2br w:val="nil"/>
              <w:tr2bl w:val="nil"/>
            </w:tcBorders>
            <w:vAlign w:val="center"/>
          </w:tcPr>
          <w:p>
            <w:pPr>
              <w:widowControl/>
              <w:jc w:val="left"/>
              <w:rPr>
                <w:color w:val="auto"/>
                <w:szCs w:val="21"/>
              </w:rPr>
            </w:pPr>
          </w:p>
        </w:tc>
        <w:tc>
          <w:tcPr>
            <w:tcW w:w="1438" w:type="dxa"/>
            <w:tcBorders>
              <w:tl2br w:val="nil"/>
              <w:tr2bl w:val="nil"/>
            </w:tcBorders>
            <w:vAlign w:val="center"/>
          </w:tcPr>
          <w:p>
            <w:pPr>
              <w:spacing w:line="240" w:lineRule="atLeast"/>
              <w:jc w:val="center"/>
              <w:rPr>
                <w:color w:val="auto"/>
                <w:szCs w:val="21"/>
              </w:rPr>
            </w:pPr>
            <w:r>
              <w:rPr>
                <w:color w:val="auto"/>
                <w:szCs w:val="21"/>
              </w:rPr>
              <w:t>2017.6.17</w:t>
            </w:r>
          </w:p>
        </w:tc>
        <w:tc>
          <w:tcPr>
            <w:tcW w:w="995" w:type="dxa"/>
            <w:tcBorders>
              <w:tl2br w:val="nil"/>
              <w:tr2bl w:val="nil"/>
            </w:tcBorders>
            <w:vAlign w:val="center"/>
          </w:tcPr>
          <w:p>
            <w:pPr>
              <w:spacing w:line="240" w:lineRule="atLeast"/>
              <w:jc w:val="center"/>
              <w:rPr>
                <w:bCs/>
                <w:color w:val="auto"/>
                <w:szCs w:val="21"/>
              </w:rPr>
            </w:pPr>
            <w:r>
              <w:rPr>
                <w:bCs/>
                <w:color w:val="auto"/>
                <w:szCs w:val="21"/>
              </w:rPr>
              <w:t>ND</w:t>
            </w:r>
          </w:p>
        </w:tc>
        <w:tc>
          <w:tcPr>
            <w:tcW w:w="1418" w:type="dxa"/>
            <w:tcBorders>
              <w:tl2br w:val="nil"/>
              <w:tr2bl w:val="nil"/>
            </w:tcBorders>
            <w:vAlign w:val="center"/>
          </w:tcPr>
          <w:p>
            <w:pPr>
              <w:spacing w:line="240" w:lineRule="atLeast"/>
              <w:jc w:val="center"/>
              <w:rPr>
                <w:bCs/>
                <w:color w:val="auto"/>
                <w:szCs w:val="21"/>
              </w:rPr>
            </w:pPr>
            <w:r>
              <w:rPr>
                <w:bCs/>
                <w:color w:val="auto"/>
                <w:szCs w:val="21"/>
              </w:rPr>
              <w:t>ND</w:t>
            </w:r>
          </w:p>
        </w:tc>
        <w:tc>
          <w:tcPr>
            <w:tcW w:w="941" w:type="dxa"/>
            <w:tcBorders>
              <w:tl2br w:val="nil"/>
              <w:tr2bl w:val="nil"/>
            </w:tcBorders>
            <w:vAlign w:val="center"/>
          </w:tcPr>
          <w:p>
            <w:pPr>
              <w:spacing w:line="240" w:lineRule="atLeast"/>
              <w:jc w:val="center"/>
              <w:rPr>
                <w:color w:val="auto"/>
                <w:szCs w:val="21"/>
              </w:rPr>
            </w:pPr>
            <w:r>
              <w:rPr>
                <w:bCs/>
                <w:color w:val="auto"/>
                <w:szCs w:val="21"/>
              </w:rPr>
              <w:t>0.00008</w:t>
            </w:r>
          </w:p>
        </w:tc>
        <w:tc>
          <w:tcPr>
            <w:tcW w:w="996" w:type="dxa"/>
            <w:tcBorders>
              <w:tl2br w:val="nil"/>
              <w:tr2bl w:val="nil"/>
            </w:tcBorders>
            <w:vAlign w:val="center"/>
          </w:tcPr>
          <w:p>
            <w:pPr>
              <w:spacing w:line="240" w:lineRule="atLeast"/>
              <w:jc w:val="center"/>
              <w:rPr>
                <w:bCs/>
                <w:color w:val="auto"/>
                <w:szCs w:val="21"/>
              </w:rPr>
            </w:pPr>
            <w:r>
              <w:rPr>
                <w:bCs/>
                <w:color w:val="auto"/>
                <w:szCs w:val="21"/>
              </w:rPr>
              <w:t>ND</w:t>
            </w:r>
          </w:p>
        </w:tc>
        <w:tc>
          <w:tcPr>
            <w:tcW w:w="1139" w:type="dxa"/>
            <w:tcBorders>
              <w:tl2br w:val="nil"/>
              <w:tr2bl w:val="nil"/>
            </w:tcBorders>
            <w:vAlign w:val="center"/>
          </w:tcPr>
          <w:p>
            <w:pPr>
              <w:spacing w:line="240" w:lineRule="atLeast"/>
              <w:jc w:val="center"/>
              <w:rPr>
                <w:bCs/>
                <w:color w:val="auto"/>
                <w:szCs w:val="21"/>
              </w:rPr>
            </w:pPr>
            <w:r>
              <w:rPr>
                <w:bCs/>
                <w:color w:val="auto"/>
                <w:szCs w:val="21"/>
              </w:rPr>
              <w:t>ND</w:t>
            </w:r>
          </w:p>
        </w:tc>
        <w:tc>
          <w:tcPr>
            <w:tcW w:w="886" w:type="dxa"/>
            <w:tcBorders>
              <w:tl2br w:val="nil"/>
              <w:tr2bl w:val="nil"/>
            </w:tcBorders>
            <w:vAlign w:val="center"/>
          </w:tcPr>
          <w:p>
            <w:pPr>
              <w:spacing w:line="240" w:lineRule="atLeast"/>
              <w:jc w:val="center"/>
              <w:rPr>
                <w:bCs/>
                <w:color w:val="auto"/>
                <w:szCs w:val="21"/>
              </w:rPr>
            </w:pPr>
            <w:r>
              <w:rPr>
                <w:bCs/>
                <w:color w:val="auto"/>
                <w:szCs w:val="21"/>
              </w:rPr>
              <w:t>/</w:t>
            </w:r>
          </w:p>
        </w:tc>
        <w:tc>
          <w:tcPr>
            <w:tcW w:w="914" w:type="dxa"/>
            <w:tcBorders>
              <w:tl2br w:val="nil"/>
              <w:tr2bl w:val="nil"/>
            </w:tcBorders>
            <w:vAlign w:val="center"/>
          </w:tcPr>
          <w:p>
            <w:pPr>
              <w:spacing w:line="240" w:lineRule="atLeast"/>
              <w:jc w:val="center"/>
              <w:rPr>
                <w:bCs/>
                <w:color w:val="auto"/>
                <w:szCs w:val="21"/>
              </w:rPr>
            </w:pPr>
            <w:r>
              <w:rPr>
                <w:bCs/>
                <w:color w:val="auto"/>
                <w:szCs w:val="21"/>
              </w:rPr>
              <w:t>/</w:t>
            </w:r>
          </w:p>
        </w:tc>
        <w:tc>
          <w:tcPr>
            <w:tcW w:w="1064" w:type="dxa"/>
            <w:tcBorders>
              <w:tl2br w:val="nil"/>
              <w:tr2bl w:val="nil"/>
            </w:tcBorders>
            <w:vAlign w:val="center"/>
          </w:tcPr>
          <w:p>
            <w:pPr>
              <w:spacing w:line="240" w:lineRule="atLeast"/>
              <w:jc w:val="center"/>
              <w:rPr>
                <w:color w:val="auto"/>
                <w:szCs w:val="21"/>
              </w:rPr>
            </w:pPr>
            <w:r>
              <w:rPr>
                <w:bCs/>
                <w:color w:val="auto"/>
                <w:szCs w:val="21"/>
              </w:rPr>
              <w:t>/</w:t>
            </w:r>
          </w:p>
        </w:tc>
        <w:tc>
          <w:tcPr>
            <w:tcW w:w="913" w:type="dxa"/>
            <w:tcBorders>
              <w:tl2br w:val="nil"/>
              <w:tr2bl w:val="nil"/>
            </w:tcBorders>
            <w:vAlign w:val="center"/>
          </w:tcPr>
          <w:p>
            <w:pPr>
              <w:spacing w:line="240" w:lineRule="atLeast"/>
              <w:jc w:val="center"/>
              <w:rPr>
                <w:color w:val="auto"/>
                <w:szCs w:val="21"/>
              </w:rPr>
            </w:pPr>
            <w:r>
              <w:rPr>
                <w:bCs/>
                <w:color w:val="auto"/>
                <w:szCs w:val="21"/>
              </w:rPr>
              <w:t>/</w:t>
            </w:r>
          </w:p>
        </w:tc>
        <w:tc>
          <w:tcPr>
            <w:tcW w:w="938" w:type="dxa"/>
            <w:tcBorders>
              <w:tl2br w:val="nil"/>
              <w:tr2bl w:val="nil"/>
            </w:tcBorders>
            <w:vAlign w:val="center"/>
          </w:tcPr>
          <w:p>
            <w:pPr>
              <w:spacing w:line="240" w:lineRule="atLeast"/>
              <w:jc w:val="center"/>
              <w:rPr>
                <w:color w:val="auto"/>
                <w:szCs w:val="21"/>
              </w:rPr>
            </w:pPr>
            <w:r>
              <w:rPr>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tcBorders>
              <w:tl2br w:val="nil"/>
              <w:tr2bl w:val="nil"/>
            </w:tcBorders>
            <w:vAlign w:val="center"/>
          </w:tcPr>
          <w:p>
            <w:pPr>
              <w:spacing w:line="240" w:lineRule="atLeast"/>
              <w:jc w:val="center"/>
              <w:rPr>
                <w:color w:val="auto"/>
                <w:szCs w:val="21"/>
              </w:rPr>
            </w:pPr>
            <w:r>
              <w:rPr>
                <w:color w:val="auto"/>
                <w:szCs w:val="21"/>
              </w:rPr>
              <w:t>4#</w:t>
            </w:r>
            <w:r>
              <w:rPr>
                <w:rFonts w:hint="eastAsia"/>
                <w:color w:val="auto"/>
                <w:szCs w:val="21"/>
              </w:rPr>
              <w:t>集控中心</w:t>
            </w:r>
          </w:p>
        </w:tc>
        <w:tc>
          <w:tcPr>
            <w:tcW w:w="1438" w:type="dxa"/>
            <w:tcBorders>
              <w:tl2br w:val="nil"/>
              <w:tr2bl w:val="nil"/>
            </w:tcBorders>
            <w:vAlign w:val="center"/>
          </w:tcPr>
          <w:p>
            <w:pPr>
              <w:spacing w:line="240" w:lineRule="atLeast"/>
              <w:jc w:val="center"/>
              <w:rPr>
                <w:color w:val="auto"/>
                <w:szCs w:val="21"/>
              </w:rPr>
            </w:pPr>
            <w:r>
              <w:rPr>
                <w:rFonts w:hint="eastAsia"/>
                <w:color w:val="auto"/>
                <w:szCs w:val="21"/>
              </w:rPr>
              <w:t>2019.1.15</w:t>
            </w:r>
          </w:p>
        </w:tc>
        <w:tc>
          <w:tcPr>
            <w:tcW w:w="995" w:type="dxa"/>
            <w:tcBorders>
              <w:tl2br w:val="nil"/>
              <w:tr2bl w:val="nil"/>
            </w:tcBorders>
            <w:vAlign w:val="center"/>
          </w:tcPr>
          <w:p>
            <w:pPr>
              <w:spacing w:line="240" w:lineRule="atLeast"/>
              <w:jc w:val="center"/>
              <w:rPr>
                <w:bCs/>
                <w:color w:val="auto"/>
                <w:szCs w:val="21"/>
              </w:rPr>
            </w:pPr>
            <w:r>
              <w:rPr>
                <w:rFonts w:hint="eastAsia"/>
                <w:bCs/>
                <w:color w:val="auto"/>
                <w:szCs w:val="21"/>
              </w:rPr>
              <w:t>0.004</w:t>
            </w:r>
          </w:p>
        </w:tc>
        <w:tc>
          <w:tcPr>
            <w:tcW w:w="1418" w:type="dxa"/>
            <w:tcBorders>
              <w:tl2br w:val="nil"/>
              <w:tr2bl w:val="nil"/>
            </w:tcBorders>
            <w:vAlign w:val="center"/>
          </w:tcPr>
          <w:p>
            <w:pPr>
              <w:spacing w:line="240" w:lineRule="atLeast"/>
              <w:jc w:val="center"/>
              <w:rPr>
                <w:bCs/>
                <w:color w:val="auto"/>
                <w:szCs w:val="21"/>
              </w:rPr>
            </w:pPr>
            <w:r>
              <w:rPr>
                <w:rFonts w:hint="eastAsia"/>
                <w:bCs/>
                <w:color w:val="auto"/>
                <w:szCs w:val="21"/>
              </w:rPr>
              <w:t>0.00076</w:t>
            </w:r>
          </w:p>
        </w:tc>
        <w:tc>
          <w:tcPr>
            <w:tcW w:w="941" w:type="dxa"/>
            <w:tcBorders>
              <w:tl2br w:val="nil"/>
              <w:tr2bl w:val="nil"/>
            </w:tcBorders>
            <w:vAlign w:val="center"/>
          </w:tcPr>
          <w:p>
            <w:pPr>
              <w:spacing w:line="240" w:lineRule="atLeast"/>
              <w:jc w:val="center"/>
              <w:rPr>
                <w:bCs/>
                <w:color w:val="auto"/>
                <w:szCs w:val="21"/>
              </w:rPr>
            </w:pPr>
            <w:r>
              <w:rPr>
                <w:bCs/>
                <w:color w:val="auto"/>
                <w:szCs w:val="21"/>
              </w:rPr>
              <w:t>/</w:t>
            </w:r>
          </w:p>
        </w:tc>
        <w:tc>
          <w:tcPr>
            <w:tcW w:w="996" w:type="dxa"/>
            <w:tcBorders>
              <w:tl2br w:val="nil"/>
              <w:tr2bl w:val="nil"/>
            </w:tcBorders>
            <w:vAlign w:val="center"/>
          </w:tcPr>
          <w:p>
            <w:pPr>
              <w:spacing w:line="240" w:lineRule="atLeast"/>
              <w:jc w:val="center"/>
              <w:rPr>
                <w:bCs/>
                <w:color w:val="auto"/>
                <w:szCs w:val="21"/>
              </w:rPr>
            </w:pPr>
            <w:r>
              <w:rPr>
                <w:bCs/>
                <w:color w:val="auto"/>
                <w:szCs w:val="21"/>
              </w:rPr>
              <w:t>/</w:t>
            </w:r>
          </w:p>
        </w:tc>
        <w:tc>
          <w:tcPr>
            <w:tcW w:w="1139" w:type="dxa"/>
            <w:tcBorders>
              <w:tl2br w:val="nil"/>
              <w:tr2bl w:val="nil"/>
            </w:tcBorders>
            <w:vAlign w:val="center"/>
          </w:tcPr>
          <w:p>
            <w:pPr>
              <w:spacing w:line="240" w:lineRule="atLeast"/>
              <w:jc w:val="center"/>
              <w:rPr>
                <w:bCs/>
                <w:color w:val="auto"/>
                <w:szCs w:val="21"/>
              </w:rPr>
            </w:pPr>
            <w:r>
              <w:rPr>
                <w:rFonts w:hint="eastAsia"/>
                <w:bCs/>
                <w:color w:val="auto"/>
                <w:szCs w:val="21"/>
              </w:rPr>
              <w:t>0.041</w:t>
            </w:r>
          </w:p>
        </w:tc>
        <w:tc>
          <w:tcPr>
            <w:tcW w:w="886" w:type="dxa"/>
            <w:tcBorders>
              <w:tl2br w:val="nil"/>
              <w:tr2bl w:val="nil"/>
            </w:tcBorders>
            <w:vAlign w:val="center"/>
          </w:tcPr>
          <w:p>
            <w:pPr>
              <w:spacing w:line="240" w:lineRule="atLeast"/>
              <w:jc w:val="center"/>
              <w:rPr>
                <w:bCs/>
                <w:color w:val="auto"/>
                <w:szCs w:val="21"/>
              </w:rPr>
            </w:pPr>
            <w:r>
              <w:rPr>
                <w:rFonts w:hint="eastAsia"/>
                <w:bCs/>
                <w:color w:val="auto"/>
                <w:szCs w:val="21"/>
              </w:rPr>
              <w:t>0.0122</w:t>
            </w:r>
          </w:p>
        </w:tc>
        <w:tc>
          <w:tcPr>
            <w:tcW w:w="914" w:type="dxa"/>
            <w:tcBorders>
              <w:tl2br w:val="nil"/>
              <w:tr2bl w:val="nil"/>
            </w:tcBorders>
            <w:vAlign w:val="center"/>
          </w:tcPr>
          <w:p>
            <w:pPr>
              <w:spacing w:line="240" w:lineRule="atLeast"/>
              <w:jc w:val="center"/>
              <w:rPr>
                <w:bCs/>
                <w:color w:val="auto"/>
                <w:szCs w:val="21"/>
              </w:rPr>
            </w:pPr>
            <w:r>
              <w:rPr>
                <w:rFonts w:hint="eastAsia"/>
                <w:bCs/>
                <w:color w:val="auto"/>
                <w:szCs w:val="21"/>
              </w:rPr>
              <w:t>5.02</w:t>
            </w:r>
          </w:p>
        </w:tc>
        <w:tc>
          <w:tcPr>
            <w:tcW w:w="1064" w:type="dxa"/>
            <w:tcBorders>
              <w:tl2br w:val="nil"/>
              <w:tr2bl w:val="nil"/>
            </w:tcBorders>
            <w:vAlign w:val="center"/>
          </w:tcPr>
          <w:p>
            <w:pPr>
              <w:spacing w:line="240" w:lineRule="atLeast"/>
              <w:jc w:val="center"/>
              <w:rPr>
                <w:color w:val="auto"/>
                <w:szCs w:val="21"/>
              </w:rPr>
            </w:pPr>
            <w:r>
              <w:rPr>
                <w:rFonts w:hint="eastAsia"/>
                <w:color w:val="auto"/>
                <w:szCs w:val="21"/>
              </w:rPr>
              <w:t>＜0.0003</w:t>
            </w:r>
          </w:p>
        </w:tc>
        <w:tc>
          <w:tcPr>
            <w:tcW w:w="913" w:type="dxa"/>
            <w:tcBorders>
              <w:tl2br w:val="nil"/>
              <w:tr2bl w:val="nil"/>
            </w:tcBorders>
            <w:vAlign w:val="center"/>
          </w:tcPr>
          <w:p>
            <w:pPr>
              <w:spacing w:line="240" w:lineRule="atLeast"/>
              <w:jc w:val="center"/>
              <w:rPr>
                <w:color w:val="auto"/>
                <w:szCs w:val="21"/>
              </w:rPr>
            </w:pPr>
            <w:r>
              <w:rPr>
                <w:rFonts w:hint="eastAsia"/>
                <w:color w:val="auto"/>
                <w:szCs w:val="21"/>
              </w:rPr>
              <w:t>＜0.002</w:t>
            </w:r>
          </w:p>
        </w:tc>
        <w:tc>
          <w:tcPr>
            <w:tcW w:w="938" w:type="dxa"/>
            <w:tcBorders>
              <w:tl2br w:val="nil"/>
              <w:tr2bl w:val="nil"/>
            </w:tcBorders>
            <w:vAlign w:val="center"/>
          </w:tcPr>
          <w:p>
            <w:pPr>
              <w:spacing w:line="240" w:lineRule="atLeast"/>
              <w:jc w:val="center"/>
              <w:rPr>
                <w:color w:val="auto"/>
                <w:szCs w:val="21"/>
              </w:rPr>
            </w:pPr>
            <w:r>
              <w:rPr>
                <w:rFonts w:hint="eastAsia"/>
                <w:color w:val="auto"/>
                <w:szCs w:val="21"/>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016" w:type="dxa"/>
            <w:gridSpan w:val="2"/>
            <w:tcBorders>
              <w:tl2br w:val="nil"/>
              <w:tr2bl w:val="nil"/>
            </w:tcBorders>
            <w:vAlign w:val="center"/>
          </w:tcPr>
          <w:p>
            <w:pPr>
              <w:spacing w:line="240" w:lineRule="atLeast"/>
              <w:jc w:val="center"/>
              <w:rPr>
                <w:color w:val="auto"/>
                <w:szCs w:val="21"/>
              </w:rPr>
            </w:pPr>
            <w:r>
              <w:rPr>
                <w:rFonts w:hint="eastAsia"/>
                <w:color w:val="auto"/>
                <w:szCs w:val="21"/>
              </w:rPr>
              <w:t>标准值</w:t>
            </w:r>
          </w:p>
        </w:tc>
        <w:tc>
          <w:tcPr>
            <w:tcW w:w="995" w:type="dxa"/>
            <w:tcBorders>
              <w:tl2br w:val="nil"/>
              <w:tr2bl w:val="nil"/>
            </w:tcBorders>
            <w:vAlign w:val="center"/>
          </w:tcPr>
          <w:p>
            <w:pPr>
              <w:spacing w:line="240" w:lineRule="atLeast"/>
              <w:jc w:val="center"/>
              <w:rPr>
                <w:bCs/>
                <w:color w:val="auto"/>
                <w:szCs w:val="21"/>
              </w:rPr>
            </w:pPr>
            <w:r>
              <w:rPr>
                <w:color w:val="auto"/>
              </w:rPr>
              <w:t>1.0</w:t>
            </w:r>
          </w:p>
        </w:tc>
        <w:tc>
          <w:tcPr>
            <w:tcW w:w="1418" w:type="dxa"/>
            <w:tcBorders>
              <w:tl2br w:val="nil"/>
              <w:tr2bl w:val="nil"/>
            </w:tcBorders>
            <w:vAlign w:val="center"/>
          </w:tcPr>
          <w:p>
            <w:pPr>
              <w:spacing w:line="240" w:lineRule="atLeast"/>
              <w:jc w:val="center"/>
              <w:rPr>
                <w:bCs/>
                <w:color w:val="auto"/>
                <w:szCs w:val="21"/>
              </w:rPr>
            </w:pPr>
            <w:r>
              <w:rPr>
                <w:color w:val="auto"/>
                <w:szCs w:val="21"/>
              </w:rPr>
              <w:t>0.02</w:t>
            </w:r>
          </w:p>
        </w:tc>
        <w:tc>
          <w:tcPr>
            <w:tcW w:w="941" w:type="dxa"/>
            <w:tcBorders>
              <w:tl2br w:val="nil"/>
              <w:tr2bl w:val="nil"/>
            </w:tcBorders>
            <w:vAlign w:val="center"/>
          </w:tcPr>
          <w:p>
            <w:pPr>
              <w:spacing w:line="240" w:lineRule="atLeast"/>
              <w:jc w:val="center"/>
              <w:rPr>
                <w:bCs/>
                <w:color w:val="auto"/>
                <w:szCs w:val="21"/>
              </w:rPr>
            </w:pPr>
            <w:r>
              <w:rPr>
                <w:color w:val="auto"/>
              </w:rPr>
              <w:t>0.001</w:t>
            </w:r>
          </w:p>
        </w:tc>
        <w:tc>
          <w:tcPr>
            <w:tcW w:w="996" w:type="dxa"/>
            <w:tcBorders>
              <w:tl2br w:val="nil"/>
              <w:tr2bl w:val="nil"/>
            </w:tcBorders>
            <w:vAlign w:val="center"/>
          </w:tcPr>
          <w:p>
            <w:pPr>
              <w:spacing w:line="240" w:lineRule="atLeast"/>
              <w:jc w:val="center"/>
              <w:rPr>
                <w:color w:val="auto"/>
                <w:szCs w:val="21"/>
              </w:rPr>
            </w:pPr>
            <w:r>
              <w:rPr>
                <w:color w:val="auto"/>
              </w:rPr>
              <w:t>0.01</w:t>
            </w:r>
          </w:p>
        </w:tc>
        <w:tc>
          <w:tcPr>
            <w:tcW w:w="1139" w:type="dxa"/>
            <w:tcBorders>
              <w:tl2br w:val="nil"/>
              <w:tr2bl w:val="nil"/>
            </w:tcBorders>
            <w:vAlign w:val="center"/>
          </w:tcPr>
          <w:p>
            <w:pPr>
              <w:spacing w:line="240" w:lineRule="atLeast"/>
              <w:jc w:val="center"/>
              <w:rPr>
                <w:color w:val="auto"/>
                <w:szCs w:val="21"/>
              </w:rPr>
            </w:pPr>
            <w:r>
              <w:rPr>
                <w:color w:val="auto"/>
                <w:szCs w:val="21"/>
              </w:rPr>
              <w:t>0.05</w:t>
            </w:r>
          </w:p>
        </w:tc>
        <w:tc>
          <w:tcPr>
            <w:tcW w:w="886" w:type="dxa"/>
            <w:tcBorders>
              <w:tl2br w:val="nil"/>
              <w:tr2bl w:val="nil"/>
            </w:tcBorders>
            <w:vAlign w:val="center"/>
          </w:tcPr>
          <w:p>
            <w:pPr>
              <w:spacing w:line="240" w:lineRule="atLeast"/>
              <w:jc w:val="center"/>
              <w:rPr>
                <w:color w:val="auto"/>
                <w:szCs w:val="21"/>
              </w:rPr>
            </w:pPr>
            <w:r>
              <w:rPr>
                <w:rFonts w:hint="eastAsia"/>
                <w:color w:val="auto"/>
                <w:szCs w:val="21"/>
              </w:rPr>
              <w:t>1.0</w:t>
            </w:r>
          </w:p>
        </w:tc>
        <w:tc>
          <w:tcPr>
            <w:tcW w:w="914" w:type="dxa"/>
            <w:tcBorders>
              <w:tl2br w:val="nil"/>
              <w:tr2bl w:val="nil"/>
            </w:tcBorders>
            <w:vAlign w:val="center"/>
          </w:tcPr>
          <w:p>
            <w:pPr>
              <w:spacing w:line="240" w:lineRule="atLeast"/>
              <w:jc w:val="center"/>
              <w:rPr>
                <w:color w:val="auto"/>
                <w:szCs w:val="21"/>
              </w:rPr>
            </w:pPr>
            <w:r>
              <w:rPr>
                <w:rFonts w:hint="eastAsia"/>
                <w:color w:val="auto"/>
                <w:szCs w:val="21"/>
              </w:rPr>
              <w:t>250</w:t>
            </w:r>
          </w:p>
        </w:tc>
        <w:tc>
          <w:tcPr>
            <w:tcW w:w="1064" w:type="dxa"/>
            <w:tcBorders>
              <w:tl2br w:val="nil"/>
              <w:tr2bl w:val="nil"/>
            </w:tcBorders>
            <w:vAlign w:val="center"/>
          </w:tcPr>
          <w:p>
            <w:pPr>
              <w:spacing w:line="240" w:lineRule="atLeast"/>
              <w:jc w:val="center"/>
              <w:rPr>
                <w:color w:val="auto"/>
                <w:szCs w:val="21"/>
              </w:rPr>
            </w:pPr>
            <w:r>
              <w:rPr>
                <w:rFonts w:hint="eastAsia"/>
                <w:color w:val="auto"/>
                <w:szCs w:val="21"/>
              </w:rPr>
              <w:t>0.002</w:t>
            </w:r>
          </w:p>
        </w:tc>
        <w:tc>
          <w:tcPr>
            <w:tcW w:w="913" w:type="dxa"/>
            <w:tcBorders>
              <w:tl2br w:val="nil"/>
              <w:tr2bl w:val="nil"/>
            </w:tcBorders>
            <w:vAlign w:val="center"/>
          </w:tcPr>
          <w:p>
            <w:pPr>
              <w:spacing w:line="240" w:lineRule="atLeast"/>
              <w:jc w:val="center"/>
              <w:rPr>
                <w:color w:val="auto"/>
                <w:szCs w:val="21"/>
              </w:rPr>
            </w:pPr>
            <w:r>
              <w:rPr>
                <w:rFonts w:hint="eastAsia"/>
                <w:color w:val="auto"/>
                <w:szCs w:val="21"/>
              </w:rPr>
              <w:t>0.05</w:t>
            </w:r>
          </w:p>
        </w:tc>
        <w:tc>
          <w:tcPr>
            <w:tcW w:w="938" w:type="dxa"/>
            <w:tcBorders>
              <w:tl2br w:val="nil"/>
              <w:tr2bl w:val="nil"/>
            </w:tcBorders>
            <w:vAlign w:val="center"/>
          </w:tcPr>
          <w:p>
            <w:pPr>
              <w:spacing w:line="240" w:lineRule="atLeast"/>
              <w:ind w:left="63"/>
              <w:jc w:val="center"/>
              <w:rPr>
                <w:color w:val="auto"/>
                <w:szCs w:val="21"/>
              </w:rPr>
            </w:pPr>
            <w:r>
              <w:rPr>
                <w:rFonts w:hint="eastAsia"/>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tcBorders>
              <w:tl2br w:val="nil"/>
              <w:tr2bl w:val="nil"/>
            </w:tcBorders>
            <w:vAlign w:val="center"/>
          </w:tcPr>
          <w:p>
            <w:pPr>
              <w:spacing w:line="240" w:lineRule="atLeast"/>
              <w:jc w:val="center"/>
              <w:rPr>
                <w:color w:val="auto"/>
                <w:szCs w:val="21"/>
              </w:rPr>
            </w:pPr>
            <w:r>
              <w:rPr>
                <w:rFonts w:hint="eastAsia"/>
                <w:color w:val="auto"/>
                <w:szCs w:val="21"/>
              </w:rPr>
              <w:t>备注</w:t>
            </w:r>
          </w:p>
        </w:tc>
        <w:tc>
          <w:tcPr>
            <w:tcW w:w="11642" w:type="dxa"/>
            <w:gridSpan w:val="11"/>
            <w:tcBorders>
              <w:tl2br w:val="nil"/>
              <w:tr2bl w:val="nil"/>
            </w:tcBorders>
            <w:vAlign w:val="center"/>
          </w:tcPr>
          <w:p>
            <w:pPr>
              <w:spacing w:line="240" w:lineRule="atLeast"/>
              <w:jc w:val="left"/>
              <w:rPr>
                <w:color w:val="auto"/>
                <w:szCs w:val="21"/>
              </w:rPr>
            </w:pPr>
            <w:r>
              <w:rPr>
                <w:color w:val="auto"/>
                <w:szCs w:val="21"/>
              </w:rPr>
              <w:t>1</w:t>
            </w:r>
            <w:r>
              <w:rPr>
                <w:rFonts w:hint="eastAsia"/>
                <w:color w:val="auto"/>
                <w:szCs w:val="21"/>
              </w:rPr>
              <w:t>、</w:t>
            </w:r>
            <w:r>
              <w:rPr>
                <w:color w:val="auto"/>
                <w:szCs w:val="21"/>
              </w:rPr>
              <w:t>ND</w:t>
            </w:r>
            <w:r>
              <w:rPr>
                <w:rFonts w:hint="eastAsia"/>
                <w:color w:val="auto"/>
                <w:szCs w:val="21"/>
              </w:rPr>
              <w:t>表示未检出。</w:t>
            </w:r>
          </w:p>
          <w:p>
            <w:pPr>
              <w:spacing w:line="240" w:lineRule="atLeast"/>
              <w:jc w:val="left"/>
              <w:rPr>
                <w:color w:val="auto"/>
                <w:szCs w:val="21"/>
              </w:rPr>
            </w:pPr>
            <w:r>
              <w:rPr>
                <w:color w:val="auto"/>
                <w:szCs w:val="21"/>
              </w:rPr>
              <w:t>2</w:t>
            </w:r>
            <w:r>
              <w:rPr>
                <w:rFonts w:hint="eastAsia"/>
                <w:color w:val="auto"/>
                <w:szCs w:val="21"/>
              </w:rPr>
              <w:t>、</w:t>
            </w:r>
            <w:r>
              <w:rPr>
                <w:color w:val="auto"/>
                <w:szCs w:val="21"/>
              </w:rPr>
              <w:t>1#</w:t>
            </w:r>
            <w:r>
              <w:rPr>
                <w:rFonts w:hint="eastAsia"/>
                <w:color w:val="auto"/>
                <w:szCs w:val="21"/>
              </w:rPr>
              <w:t>东埕村</w:t>
            </w:r>
            <w:r>
              <w:rPr>
                <w:color w:val="auto"/>
                <w:szCs w:val="21"/>
              </w:rPr>
              <w:t>GPS</w:t>
            </w:r>
            <w:r>
              <w:rPr>
                <w:rFonts w:hint="eastAsia"/>
                <w:color w:val="auto"/>
                <w:szCs w:val="21"/>
              </w:rPr>
              <w:t>：</w:t>
            </w:r>
            <w:r>
              <w:rPr>
                <w:color w:val="auto"/>
                <w:szCs w:val="21"/>
              </w:rPr>
              <w:t>27°4′13.68″N</w:t>
            </w:r>
            <w:r>
              <w:rPr>
                <w:rFonts w:hint="eastAsia"/>
                <w:color w:val="auto"/>
                <w:szCs w:val="21"/>
              </w:rPr>
              <w:t>，</w:t>
            </w:r>
            <w:r>
              <w:rPr>
                <w:color w:val="auto"/>
                <w:szCs w:val="21"/>
              </w:rPr>
              <w:t>120°15′11.76″E</w:t>
            </w:r>
          </w:p>
          <w:p>
            <w:pPr>
              <w:spacing w:line="240" w:lineRule="atLeast"/>
              <w:jc w:val="left"/>
              <w:rPr>
                <w:color w:val="auto"/>
                <w:szCs w:val="21"/>
              </w:rPr>
            </w:pPr>
            <w:r>
              <w:rPr>
                <w:color w:val="auto"/>
                <w:szCs w:val="21"/>
              </w:rPr>
              <w:t xml:space="preserve">   2#</w:t>
            </w:r>
            <w:r>
              <w:rPr>
                <w:rFonts w:hint="eastAsia"/>
                <w:color w:val="auto"/>
                <w:szCs w:val="21"/>
              </w:rPr>
              <w:t>斗门头村水井</w:t>
            </w:r>
            <w:r>
              <w:rPr>
                <w:color w:val="auto"/>
                <w:szCs w:val="21"/>
              </w:rPr>
              <w:t>GPS</w:t>
            </w:r>
            <w:r>
              <w:rPr>
                <w:rFonts w:hint="eastAsia"/>
                <w:color w:val="auto"/>
                <w:szCs w:val="21"/>
              </w:rPr>
              <w:t>：</w:t>
            </w:r>
            <w:r>
              <w:rPr>
                <w:color w:val="auto"/>
                <w:szCs w:val="21"/>
              </w:rPr>
              <w:t>27°3′21.43″N</w:t>
            </w:r>
            <w:r>
              <w:rPr>
                <w:rFonts w:hint="eastAsia"/>
                <w:color w:val="auto"/>
                <w:szCs w:val="21"/>
              </w:rPr>
              <w:t>，</w:t>
            </w:r>
            <w:r>
              <w:rPr>
                <w:color w:val="auto"/>
                <w:szCs w:val="21"/>
              </w:rPr>
              <w:t>120°14′8.63″E</w:t>
            </w:r>
            <w:r>
              <w:rPr>
                <w:rFonts w:hint="eastAsia"/>
                <w:color w:val="auto"/>
                <w:szCs w:val="21"/>
              </w:rPr>
              <w:t>；</w:t>
            </w:r>
            <w:r>
              <w:rPr>
                <w:color w:val="auto"/>
                <w:szCs w:val="21"/>
              </w:rPr>
              <w:t xml:space="preserve"> </w:t>
            </w:r>
          </w:p>
          <w:p>
            <w:pPr>
              <w:spacing w:line="240" w:lineRule="atLeast"/>
              <w:ind w:firstLine="315" w:firstLineChars="150"/>
              <w:jc w:val="left"/>
              <w:rPr>
                <w:color w:val="auto"/>
                <w:szCs w:val="21"/>
              </w:rPr>
            </w:pPr>
            <w:r>
              <w:rPr>
                <w:color w:val="auto"/>
                <w:szCs w:val="21"/>
              </w:rPr>
              <w:t>3#</w:t>
            </w:r>
            <w:r>
              <w:rPr>
                <w:rFonts w:hint="eastAsia"/>
                <w:color w:val="auto"/>
                <w:szCs w:val="21"/>
              </w:rPr>
              <w:t>柏洋村水井</w:t>
            </w:r>
            <w:r>
              <w:rPr>
                <w:color w:val="auto"/>
                <w:szCs w:val="21"/>
              </w:rPr>
              <w:t>GPS</w:t>
            </w:r>
            <w:r>
              <w:rPr>
                <w:rFonts w:hint="eastAsia"/>
                <w:color w:val="auto"/>
                <w:szCs w:val="21"/>
              </w:rPr>
              <w:t>：</w:t>
            </w:r>
            <w:r>
              <w:rPr>
                <w:color w:val="auto"/>
                <w:szCs w:val="21"/>
              </w:rPr>
              <w:t>27°2′53.62″N</w:t>
            </w:r>
            <w:r>
              <w:rPr>
                <w:rFonts w:hint="eastAsia"/>
                <w:color w:val="auto"/>
                <w:szCs w:val="21"/>
              </w:rPr>
              <w:t>，</w:t>
            </w:r>
            <w:r>
              <w:rPr>
                <w:color w:val="auto"/>
                <w:szCs w:val="21"/>
              </w:rPr>
              <w:t>120°13′34.97″E</w:t>
            </w:r>
            <w:r>
              <w:rPr>
                <w:rFonts w:hint="eastAsia"/>
                <w:color w:val="auto"/>
                <w:szCs w:val="21"/>
              </w:rPr>
              <w:t>；</w:t>
            </w:r>
          </w:p>
          <w:p>
            <w:pPr>
              <w:spacing w:line="240" w:lineRule="atLeast"/>
              <w:ind w:firstLine="315" w:firstLineChars="150"/>
              <w:jc w:val="left"/>
              <w:rPr>
                <w:color w:val="auto"/>
                <w:szCs w:val="21"/>
              </w:rPr>
            </w:pPr>
            <w:r>
              <w:rPr>
                <w:color w:val="auto"/>
                <w:szCs w:val="21"/>
              </w:rPr>
              <w:t>4#</w:t>
            </w:r>
            <w:r>
              <w:rPr>
                <w:rFonts w:hint="eastAsia"/>
                <w:color w:val="auto"/>
                <w:szCs w:val="21"/>
              </w:rPr>
              <w:t>集控中心</w:t>
            </w:r>
            <w:r>
              <w:rPr>
                <w:color w:val="auto"/>
                <w:szCs w:val="21"/>
              </w:rPr>
              <w:t>GPS</w:t>
            </w:r>
            <w:r>
              <w:rPr>
                <w:rFonts w:hint="eastAsia"/>
                <w:color w:val="auto"/>
                <w:szCs w:val="21"/>
              </w:rPr>
              <w:t>：</w:t>
            </w:r>
            <w:r>
              <w:rPr>
                <w:color w:val="auto"/>
                <w:szCs w:val="21"/>
              </w:rPr>
              <w:t>27</w:t>
            </w:r>
            <w:r>
              <w:rPr>
                <w:rFonts w:hint="eastAsia"/>
                <w:color w:val="auto"/>
                <w:szCs w:val="21"/>
              </w:rPr>
              <w:t>°</w:t>
            </w:r>
            <w:r>
              <w:rPr>
                <w:color w:val="auto"/>
                <w:szCs w:val="21"/>
              </w:rPr>
              <w:t>3</w:t>
            </w:r>
            <w:r>
              <w:rPr>
                <w:rFonts w:hint="eastAsia"/>
                <w:color w:val="auto"/>
                <w:szCs w:val="21"/>
              </w:rPr>
              <w:t>′</w:t>
            </w:r>
            <w:r>
              <w:rPr>
                <w:color w:val="auto"/>
                <w:szCs w:val="21"/>
              </w:rPr>
              <w:t>23.36</w:t>
            </w:r>
            <w:r>
              <w:rPr>
                <w:rFonts w:hint="eastAsia"/>
                <w:color w:val="auto"/>
                <w:szCs w:val="21"/>
              </w:rPr>
              <w:t>″</w:t>
            </w:r>
            <w:r>
              <w:rPr>
                <w:color w:val="auto"/>
                <w:szCs w:val="21"/>
              </w:rPr>
              <w:t>N</w:t>
            </w:r>
            <w:r>
              <w:rPr>
                <w:rFonts w:hint="eastAsia"/>
                <w:color w:val="auto"/>
                <w:szCs w:val="21"/>
              </w:rPr>
              <w:t>，</w:t>
            </w:r>
            <w:r>
              <w:rPr>
                <w:color w:val="auto"/>
                <w:szCs w:val="21"/>
              </w:rPr>
              <w:t>120</w:t>
            </w:r>
            <w:r>
              <w:rPr>
                <w:rFonts w:hint="eastAsia"/>
                <w:color w:val="auto"/>
                <w:szCs w:val="21"/>
              </w:rPr>
              <w:t>°</w:t>
            </w:r>
            <w:r>
              <w:rPr>
                <w:color w:val="auto"/>
                <w:szCs w:val="21"/>
              </w:rPr>
              <w:t>14</w:t>
            </w:r>
            <w:r>
              <w:rPr>
                <w:rFonts w:hint="eastAsia"/>
                <w:color w:val="auto"/>
                <w:szCs w:val="21"/>
              </w:rPr>
              <w:t>′</w:t>
            </w:r>
            <w:r>
              <w:rPr>
                <w:color w:val="auto"/>
                <w:szCs w:val="21"/>
              </w:rPr>
              <w:t>49.19</w:t>
            </w:r>
            <w:r>
              <w:rPr>
                <w:rFonts w:hint="eastAsia"/>
                <w:color w:val="auto"/>
                <w:szCs w:val="21"/>
              </w:rPr>
              <w:t>″</w:t>
            </w:r>
            <w:r>
              <w:rPr>
                <w:color w:val="auto"/>
                <w:szCs w:val="21"/>
              </w:rPr>
              <w:t>E</w:t>
            </w:r>
          </w:p>
        </w:tc>
      </w:tr>
      <w:bookmarkEnd w:id="4"/>
      <w:bookmarkEnd w:id="5"/>
    </w:tbl>
    <w:p>
      <w:pPr>
        <w:autoSpaceDE w:val="0"/>
        <w:autoSpaceDN w:val="0"/>
        <w:spacing w:line="360" w:lineRule="auto"/>
        <w:ind w:firstLine="396" w:firstLineChars="200"/>
        <w:jc w:val="center"/>
        <w:textAlignment w:val="bottom"/>
        <w:rPr>
          <w:color w:val="auto"/>
          <w:spacing w:val="-6"/>
        </w:rPr>
        <w:sectPr>
          <w:pgSz w:w="16838" w:h="11906" w:orient="landscape"/>
          <w:pgMar w:top="1417" w:right="1418" w:bottom="1417" w:left="1418" w:header="851" w:footer="992" w:gutter="0"/>
          <w:pgBorders>
            <w:top w:val="none" w:sz="0" w:space="0"/>
            <w:left w:val="none" w:sz="0" w:space="0"/>
            <w:bottom w:val="none" w:sz="0" w:space="0"/>
            <w:right w:val="none" w:sz="0" w:space="0"/>
          </w:pgBorders>
          <w:pgNumType w:start="1"/>
          <w:cols w:space="0" w:num="1"/>
          <w:docGrid w:type="lines" w:linePitch="312" w:charSpace="0"/>
        </w:sectPr>
      </w:pPr>
    </w:p>
    <w:p>
      <w:pPr>
        <w:spacing w:line="360" w:lineRule="auto"/>
        <w:ind w:firstLine="480" w:firstLineChars="200"/>
        <w:rPr>
          <w:color w:val="auto"/>
          <w:sz w:val="24"/>
        </w:rPr>
      </w:pPr>
      <w:r>
        <w:rPr>
          <w:rFonts w:hint="eastAsia"/>
          <w:color w:val="auto"/>
          <w:sz w:val="24"/>
        </w:rPr>
        <w:t>从表</w:t>
      </w:r>
      <w:r>
        <w:rPr>
          <w:color w:val="auto"/>
          <w:sz w:val="24"/>
        </w:rPr>
        <w:t>3.</w:t>
      </w:r>
      <w:r>
        <w:rPr>
          <w:rFonts w:hint="eastAsia"/>
          <w:color w:val="auto"/>
          <w:sz w:val="24"/>
        </w:rPr>
        <w:t>5-4监测结果可知，监测点位所有监测指标均可达《地下水质量标准》（</w:t>
      </w:r>
      <w:r>
        <w:rPr>
          <w:color w:val="auto"/>
          <w:sz w:val="24"/>
        </w:rPr>
        <w:t>GB/T14848-2017</w:t>
      </w:r>
      <w:r>
        <w:rPr>
          <w:rFonts w:hint="eastAsia"/>
          <w:color w:val="auto"/>
          <w:sz w:val="24"/>
        </w:rPr>
        <w:t>）中</w:t>
      </w:r>
      <w:r>
        <w:rPr>
          <w:rFonts w:hint="eastAsia" w:ascii="宋体" w:hAnsi="宋体" w:cs="宋体"/>
          <w:color w:val="auto"/>
          <w:sz w:val="24"/>
        </w:rPr>
        <w:t>Ⅲ</w:t>
      </w:r>
      <w:r>
        <w:rPr>
          <w:rFonts w:hint="eastAsia"/>
          <w:color w:val="auto"/>
          <w:sz w:val="24"/>
        </w:rPr>
        <w:t>类标准，说明该区域地下水环境质量现状良好。</w:t>
      </w:r>
    </w:p>
    <w:p>
      <w:pPr>
        <w:adjustRightInd w:val="0"/>
        <w:snapToGrid w:val="0"/>
        <w:spacing w:before="156" w:beforeLines="50" w:line="360" w:lineRule="auto"/>
        <w:outlineLvl w:val="2"/>
        <w:rPr>
          <w:b/>
          <w:color w:val="auto"/>
          <w:sz w:val="24"/>
        </w:rPr>
      </w:pPr>
      <w:r>
        <w:rPr>
          <w:b/>
          <w:color w:val="auto"/>
          <w:sz w:val="24"/>
        </w:rPr>
        <w:t>3.5.</w:t>
      </w:r>
      <w:r>
        <w:rPr>
          <w:rFonts w:hint="eastAsia"/>
          <w:b/>
          <w:color w:val="auto"/>
          <w:sz w:val="24"/>
        </w:rPr>
        <w:t>3</w:t>
      </w:r>
      <w:r>
        <w:rPr>
          <w:b/>
          <w:color w:val="auto"/>
          <w:sz w:val="24"/>
        </w:rPr>
        <w:t>大气环境质量现状</w:t>
      </w:r>
    </w:p>
    <w:p>
      <w:pPr>
        <w:pStyle w:val="2"/>
        <w:ind w:firstLine="420"/>
        <w:rPr>
          <w:color w:val="auto"/>
        </w:rPr>
      </w:pPr>
      <w:r>
        <w:rPr>
          <w:rFonts w:hint="eastAsia"/>
          <w:color w:val="auto"/>
        </w:rPr>
        <w:t>本项目位于福鼎市，通过收集福鼎市环境监测站统计的关于福鼎市</w:t>
      </w:r>
      <w:r>
        <w:rPr>
          <w:color w:val="auto"/>
        </w:rPr>
        <w:t>2017</w:t>
      </w:r>
      <w:r>
        <w:rPr>
          <w:rFonts w:hint="eastAsia"/>
          <w:color w:val="auto"/>
        </w:rPr>
        <w:t>年的基本污染物的年均浓度，</w:t>
      </w:r>
      <w:r>
        <w:rPr>
          <w:color w:val="auto"/>
        </w:rPr>
        <w:t>SO</w:t>
      </w:r>
      <w:r>
        <w:rPr>
          <w:color w:val="auto"/>
          <w:vertAlign w:val="subscript"/>
        </w:rPr>
        <w:t>2</w:t>
      </w:r>
      <w:r>
        <w:rPr>
          <w:rFonts w:hint="eastAsia"/>
          <w:color w:val="auto"/>
        </w:rPr>
        <w:t>、</w:t>
      </w:r>
      <w:r>
        <w:rPr>
          <w:color w:val="auto"/>
        </w:rPr>
        <w:t>NO</w:t>
      </w:r>
      <w:r>
        <w:rPr>
          <w:color w:val="auto"/>
          <w:vertAlign w:val="subscript"/>
        </w:rPr>
        <w:t>2</w:t>
      </w:r>
      <w:r>
        <w:rPr>
          <w:rFonts w:hint="eastAsia"/>
          <w:color w:val="auto"/>
        </w:rPr>
        <w:t>、</w:t>
      </w:r>
      <w:r>
        <w:rPr>
          <w:color w:val="auto"/>
        </w:rPr>
        <w:t>PM</w:t>
      </w:r>
      <w:r>
        <w:rPr>
          <w:color w:val="auto"/>
          <w:vertAlign w:val="subscript"/>
        </w:rPr>
        <w:t>10</w:t>
      </w:r>
      <w:r>
        <w:rPr>
          <w:color w:val="auto"/>
        </w:rPr>
        <w:t xml:space="preserve"> </w:t>
      </w:r>
      <w:r>
        <w:rPr>
          <w:rFonts w:hint="eastAsia"/>
          <w:color w:val="auto"/>
        </w:rPr>
        <w:t>、</w:t>
      </w:r>
      <w:r>
        <w:rPr>
          <w:color w:val="auto"/>
        </w:rPr>
        <w:t>PM</w:t>
      </w:r>
      <w:r>
        <w:rPr>
          <w:color w:val="auto"/>
          <w:vertAlign w:val="subscript"/>
        </w:rPr>
        <w:t>2.5</w:t>
      </w:r>
      <w:r>
        <w:rPr>
          <w:rFonts w:hint="eastAsia"/>
          <w:color w:val="auto"/>
        </w:rPr>
        <w:t>、</w:t>
      </w:r>
      <w:r>
        <w:rPr>
          <w:color w:val="auto"/>
        </w:rPr>
        <w:t>CO</w:t>
      </w:r>
      <w:r>
        <w:rPr>
          <w:rFonts w:hint="eastAsia"/>
          <w:color w:val="auto"/>
        </w:rPr>
        <w:t>、</w:t>
      </w:r>
      <w:r>
        <w:rPr>
          <w:color w:val="auto"/>
        </w:rPr>
        <w:t>O</w:t>
      </w:r>
      <w:r>
        <w:rPr>
          <w:color w:val="auto"/>
          <w:vertAlign w:val="subscript"/>
        </w:rPr>
        <w:t>3</w:t>
      </w:r>
      <w:r>
        <w:rPr>
          <w:rFonts w:hint="eastAsia"/>
          <w:color w:val="auto"/>
        </w:rPr>
        <w:t>六项污染物全部符合《环境空气质量标准》（</w:t>
      </w:r>
      <w:r>
        <w:rPr>
          <w:color w:val="auto"/>
        </w:rPr>
        <w:t>GB3095-2012</w:t>
      </w:r>
      <w:r>
        <w:rPr>
          <w:rFonts w:hint="eastAsia"/>
          <w:color w:val="auto"/>
        </w:rPr>
        <w:t>）中的二级标准要求</w:t>
      </w:r>
      <w:r>
        <w:rPr>
          <w:rFonts w:hint="eastAsia"/>
          <w:color w:val="auto"/>
          <w:lang w:eastAsia="zh-CN"/>
        </w:rPr>
        <w:t>，属于达标区</w:t>
      </w:r>
      <w:r>
        <w:rPr>
          <w:rFonts w:hint="eastAsia"/>
          <w:color w:val="auto"/>
        </w:rPr>
        <w:t>；另外对项目所在地氯化氢、氟化物的补充监测结果表明，特征因子均能满足</w:t>
      </w:r>
      <w:r>
        <w:rPr>
          <w:color w:val="auto"/>
          <w:spacing w:val="-6"/>
          <w:kern w:val="2"/>
        </w:rPr>
        <w:t>《环境空气质量标准》（GB3095-2012）中的二级标准。</w:t>
      </w:r>
      <w:r>
        <w:rPr>
          <w:rFonts w:hint="eastAsia"/>
          <w:color w:val="auto"/>
        </w:rPr>
        <w:t>详见附录大气环境影响专题评价。</w:t>
      </w:r>
    </w:p>
    <w:p>
      <w:pPr>
        <w:adjustRightInd w:val="0"/>
        <w:snapToGrid w:val="0"/>
        <w:spacing w:before="156" w:beforeLines="50" w:line="360" w:lineRule="auto"/>
        <w:outlineLvl w:val="2"/>
        <w:rPr>
          <w:b/>
          <w:color w:val="auto"/>
          <w:sz w:val="24"/>
        </w:rPr>
      </w:pPr>
      <w:r>
        <w:rPr>
          <w:b/>
          <w:color w:val="auto"/>
          <w:sz w:val="24"/>
        </w:rPr>
        <w:t>3.5.</w:t>
      </w:r>
      <w:r>
        <w:rPr>
          <w:rFonts w:hint="eastAsia"/>
          <w:b/>
          <w:color w:val="auto"/>
          <w:sz w:val="24"/>
        </w:rPr>
        <w:t>4</w:t>
      </w:r>
      <w:r>
        <w:rPr>
          <w:b/>
          <w:color w:val="auto"/>
          <w:sz w:val="24"/>
        </w:rPr>
        <w:t>声环境质量现状</w:t>
      </w:r>
    </w:p>
    <w:p>
      <w:pPr>
        <w:pStyle w:val="64"/>
        <w:spacing w:line="360" w:lineRule="auto"/>
        <w:ind w:firstLine="456"/>
        <w:rPr>
          <w:rFonts w:cs="Times New Roman"/>
          <w:color w:val="auto"/>
          <w:spacing w:val="-6"/>
          <w:kern w:val="2"/>
        </w:rPr>
      </w:pPr>
      <w:r>
        <w:rPr>
          <w:rFonts w:cs="Times New Roman"/>
          <w:color w:val="auto"/>
          <w:spacing w:val="-6"/>
          <w:kern w:val="2"/>
        </w:rPr>
        <w:t>为了解项目建设区域声环境质量现状，</w:t>
      </w:r>
      <w:r>
        <w:rPr>
          <w:rFonts w:hint="eastAsia"/>
          <w:color w:val="auto"/>
        </w:rPr>
        <w:t>建设单位委托福建拓普检测技术有限公司</w:t>
      </w:r>
      <w:r>
        <w:rPr>
          <w:color w:val="auto"/>
        </w:rPr>
        <w:t>于201</w:t>
      </w:r>
      <w:r>
        <w:rPr>
          <w:rFonts w:hint="eastAsia"/>
          <w:color w:val="auto"/>
        </w:rPr>
        <w:t>9</w:t>
      </w:r>
      <w:r>
        <w:rPr>
          <w:color w:val="auto"/>
        </w:rPr>
        <w:t>年</w:t>
      </w:r>
      <w:r>
        <w:rPr>
          <w:rFonts w:hint="eastAsia"/>
          <w:color w:val="auto"/>
        </w:rPr>
        <w:t>3</w:t>
      </w:r>
      <w:r>
        <w:rPr>
          <w:color w:val="auto"/>
        </w:rPr>
        <w:t>月</w:t>
      </w:r>
      <w:r>
        <w:rPr>
          <w:rFonts w:hint="eastAsia"/>
          <w:color w:val="auto"/>
        </w:rPr>
        <w:t>6</w:t>
      </w:r>
      <w:r>
        <w:rPr>
          <w:color w:val="auto"/>
        </w:rPr>
        <w:t>日对</w:t>
      </w:r>
      <w:r>
        <w:rPr>
          <w:rFonts w:hint="eastAsia"/>
          <w:color w:val="auto"/>
        </w:rPr>
        <w:t>拟建</w:t>
      </w:r>
      <w:r>
        <w:rPr>
          <w:color w:val="auto"/>
        </w:rPr>
        <w:t>项目厂界声环境进行现状监测（见附件）</w:t>
      </w:r>
      <w:r>
        <w:rPr>
          <w:rFonts w:cs="Times New Roman"/>
          <w:color w:val="auto"/>
          <w:spacing w:val="-6"/>
          <w:kern w:val="2"/>
        </w:rPr>
        <w:t>，</w:t>
      </w:r>
      <w:r>
        <w:rPr>
          <w:rFonts w:hint="eastAsia" w:cs="Times New Roman"/>
          <w:color w:val="auto"/>
          <w:spacing w:val="-6"/>
          <w:kern w:val="2"/>
        </w:rPr>
        <w:t>厂界</w:t>
      </w:r>
      <w:r>
        <w:rPr>
          <w:rFonts w:cs="Times New Roman"/>
          <w:color w:val="auto"/>
          <w:spacing w:val="-6"/>
          <w:kern w:val="2"/>
        </w:rPr>
        <w:t>共布设</w:t>
      </w:r>
      <w:r>
        <w:rPr>
          <w:rFonts w:hint="eastAsia" w:cs="Times New Roman"/>
          <w:color w:val="auto"/>
          <w:spacing w:val="-6"/>
          <w:kern w:val="2"/>
        </w:rPr>
        <w:t>3</w:t>
      </w:r>
      <w:r>
        <w:rPr>
          <w:rFonts w:cs="Times New Roman"/>
          <w:color w:val="auto"/>
          <w:spacing w:val="-6"/>
          <w:kern w:val="2"/>
        </w:rPr>
        <w:t>个监测点位，具体各监测点位见图3.5-</w:t>
      </w:r>
      <w:r>
        <w:rPr>
          <w:rFonts w:hint="eastAsia" w:cs="Times New Roman"/>
          <w:color w:val="auto"/>
          <w:spacing w:val="-6"/>
          <w:kern w:val="2"/>
          <w:lang w:val="en-US" w:eastAsia="zh-CN"/>
        </w:rPr>
        <w:t>2</w:t>
      </w:r>
      <w:r>
        <w:rPr>
          <w:rFonts w:cs="Times New Roman"/>
          <w:color w:val="auto"/>
          <w:spacing w:val="-6"/>
          <w:kern w:val="2"/>
        </w:rPr>
        <w:t>。</w:t>
      </w:r>
    </w:p>
    <w:p>
      <w:pPr>
        <w:spacing w:line="360" w:lineRule="auto"/>
        <w:jc w:val="center"/>
        <w:rPr>
          <w:b/>
          <w:color w:val="auto"/>
          <w:sz w:val="24"/>
        </w:rPr>
      </w:pPr>
      <w:r>
        <w:rPr>
          <w:b/>
          <w:color w:val="auto"/>
          <w:sz w:val="24"/>
        </w:rPr>
        <w:t>表3.5-</w:t>
      </w:r>
      <w:r>
        <w:rPr>
          <w:rFonts w:hint="eastAsia"/>
          <w:b/>
          <w:color w:val="auto"/>
          <w:sz w:val="24"/>
        </w:rPr>
        <w:t>5</w:t>
      </w:r>
      <w:r>
        <w:rPr>
          <w:b/>
          <w:color w:val="auto"/>
          <w:sz w:val="24"/>
        </w:rPr>
        <w:t xml:space="preserve">  噪声现状监测值   单位：dB(A)</w:t>
      </w:r>
    </w:p>
    <w:tbl>
      <w:tblPr>
        <w:tblStyle w:val="23"/>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704"/>
        <w:gridCol w:w="1214"/>
        <w:gridCol w:w="2564"/>
        <w:gridCol w:w="2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7" w:type="dxa"/>
            <w:vMerge w:val="restart"/>
            <w:tcBorders>
              <w:tl2br w:val="nil"/>
              <w:tr2bl w:val="nil"/>
            </w:tcBorders>
            <w:vAlign w:val="center"/>
          </w:tcPr>
          <w:p>
            <w:pPr>
              <w:pStyle w:val="41"/>
              <w:rPr>
                <w:b/>
                <w:bCs/>
                <w:color w:val="auto"/>
              </w:rPr>
            </w:pPr>
            <w:r>
              <w:rPr>
                <w:rFonts w:hint="eastAsia"/>
                <w:b/>
                <w:bCs/>
                <w:color w:val="auto"/>
              </w:rPr>
              <w:t>测点编号</w:t>
            </w:r>
          </w:p>
        </w:tc>
        <w:tc>
          <w:tcPr>
            <w:tcW w:w="1704" w:type="dxa"/>
            <w:vMerge w:val="restart"/>
            <w:tcBorders>
              <w:tl2br w:val="nil"/>
              <w:tr2bl w:val="nil"/>
            </w:tcBorders>
            <w:vAlign w:val="center"/>
          </w:tcPr>
          <w:p>
            <w:pPr>
              <w:pStyle w:val="41"/>
              <w:rPr>
                <w:b/>
                <w:bCs/>
                <w:color w:val="auto"/>
              </w:rPr>
            </w:pPr>
            <w:r>
              <w:rPr>
                <w:rFonts w:hint="eastAsia"/>
                <w:b/>
                <w:bCs/>
                <w:color w:val="auto"/>
              </w:rPr>
              <w:t>测点名称</w:t>
            </w:r>
          </w:p>
        </w:tc>
        <w:tc>
          <w:tcPr>
            <w:tcW w:w="1214" w:type="dxa"/>
            <w:vMerge w:val="restart"/>
            <w:tcBorders>
              <w:tl2br w:val="nil"/>
              <w:tr2bl w:val="nil"/>
            </w:tcBorders>
            <w:vAlign w:val="center"/>
          </w:tcPr>
          <w:p>
            <w:pPr>
              <w:pStyle w:val="41"/>
              <w:rPr>
                <w:b/>
                <w:bCs/>
                <w:color w:val="auto"/>
              </w:rPr>
            </w:pPr>
            <w:r>
              <w:rPr>
                <w:rFonts w:hint="eastAsia"/>
                <w:b/>
                <w:bCs/>
                <w:color w:val="auto"/>
              </w:rPr>
              <w:t>主要声源</w:t>
            </w:r>
          </w:p>
        </w:tc>
        <w:tc>
          <w:tcPr>
            <w:tcW w:w="5251" w:type="dxa"/>
            <w:gridSpan w:val="2"/>
            <w:tcBorders>
              <w:tl2br w:val="nil"/>
              <w:tr2bl w:val="nil"/>
            </w:tcBorders>
            <w:vAlign w:val="center"/>
          </w:tcPr>
          <w:p>
            <w:pPr>
              <w:pStyle w:val="41"/>
              <w:rPr>
                <w:b/>
                <w:bCs/>
                <w:color w:val="auto"/>
              </w:rPr>
            </w:pPr>
            <w:r>
              <w:rPr>
                <w:rFonts w:hint="eastAsia"/>
                <w:b/>
                <w:bCs/>
                <w:color w:val="auto"/>
              </w:rPr>
              <w:t>采样时间：2019.3.6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7" w:type="dxa"/>
            <w:vMerge w:val="continue"/>
            <w:tcBorders>
              <w:tl2br w:val="nil"/>
              <w:tr2bl w:val="nil"/>
            </w:tcBorders>
            <w:vAlign w:val="center"/>
          </w:tcPr>
          <w:p>
            <w:pPr>
              <w:pStyle w:val="41"/>
              <w:rPr>
                <w:b/>
                <w:bCs/>
                <w:color w:val="auto"/>
              </w:rPr>
            </w:pPr>
          </w:p>
        </w:tc>
        <w:tc>
          <w:tcPr>
            <w:tcW w:w="1704" w:type="dxa"/>
            <w:vMerge w:val="continue"/>
            <w:tcBorders>
              <w:tl2br w:val="nil"/>
              <w:tr2bl w:val="nil"/>
            </w:tcBorders>
            <w:vAlign w:val="center"/>
          </w:tcPr>
          <w:p>
            <w:pPr>
              <w:pStyle w:val="41"/>
              <w:rPr>
                <w:b/>
                <w:bCs/>
                <w:color w:val="auto"/>
              </w:rPr>
            </w:pPr>
          </w:p>
        </w:tc>
        <w:tc>
          <w:tcPr>
            <w:tcW w:w="1214" w:type="dxa"/>
            <w:vMerge w:val="continue"/>
            <w:tcBorders>
              <w:tl2br w:val="nil"/>
              <w:tr2bl w:val="nil"/>
            </w:tcBorders>
            <w:vAlign w:val="center"/>
          </w:tcPr>
          <w:p>
            <w:pPr>
              <w:pStyle w:val="41"/>
              <w:rPr>
                <w:b/>
                <w:bCs/>
                <w:color w:val="auto"/>
              </w:rPr>
            </w:pPr>
          </w:p>
        </w:tc>
        <w:tc>
          <w:tcPr>
            <w:tcW w:w="2564" w:type="dxa"/>
            <w:tcBorders>
              <w:tl2br w:val="nil"/>
              <w:tr2bl w:val="nil"/>
            </w:tcBorders>
            <w:vAlign w:val="center"/>
          </w:tcPr>
          <w:p>
            <w:pPr>
              <w:pStyle w:val="41"/>
              <w:rPr>
                <w:b/>
                <w:bCs/>
                <w:color w:val="auto"/>
              </w:rPr>
            </w:pPr>
            <w:r>
              <w:rPr>
                <w:rFonts w:hint="eastAsia"/>
                <w:b/>
                <w:bCs/>
                <w:color w:val="auto"/>
              </w:rPr>
              <w:t>昼间检测结果</w:t>
            </w:r>
            <w:r>
              <w:rPr>
                <w:b/>
                <w:bCs/>
                <w:color w:val="auto"/>
              </w:rPr>
              <w:t>Leq dB（A）</w:t>
            </w:r>
          </w:p>
        </w:tc>
        <w:tc>
          <w:tcPr>
            <w:tcW w:w="2687" w:type="dxa"/>
            <w:tcBorders>
              <w:tl2br w:val="nil"/>
              <w:tr2bl w:val="nil"/>
            </w:tcBorders>
            <w:vAlign w:val="center"/>
          </w:tcPr>
          <w:p>
            <w:pPr>
              <w:pStyle w:val="41"/>
              <w:rPr>
                <w:b/>
                <w:bCs/>
                <w:color w:val="auto"/>
              </w:rPr>
            </w:pPr>
            <w:r>
              <w:rPr>
                <w:rFonts w:hint="eastAsia"/>
                <w:b/>
                <w:bCs/>
                <w:color w:val="auto"/>
              </w:rPr>
              <w:t>夜间检测结果</w:t>
            </w:r>
            <w:r>
              <w:rPr>
                <w:b/>
                <w:bCs/>
                <w:color w:val="auto"/>
              </w:rPr>
              <w:t>Leq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7" w:type="dxa"/>
            <w:tcBorders>
              <w:tl2br w:val="nil"/>
              <w:tr2bl w:val="nil"/>
            </w:tcBorders>
            <w:vAlign w:val="center"/>
          </w:tcPr>
          <w:p>
            <w:pPr>
              <w:pStyle w:val="41"/>
              <w:rPr>
                <w:color w:val="auto"/>
              </w:rPr>
            </w:pPr>
            <w:r>
              <w:rPr>
                <w:rFonts w:hint="eastAsia"/>
                <w:color w:val="auto"/>
              </w:rPr>
              <w:t>N1</w:t>
            </w:r>
          </w:p>
        </w:tc>
        <w:tc>
          <w:tcPr>
            <w:tcW w:w="1704" w:type="dxa"/>
            <w:tcBorders>
              <w:tl2br w:val="nil"/>
              <w:tr2bl w:val="nil"/>
            </w:tcBorders>
            <w:vAlign w:val="center"/>
          </w:tcPr>
          <w:p>
            <w:pPr>
              <w:pStyle w:val="41"/>
              <w:rPr>
                <w:color w:val="auto"/>
              </w:rPr>
            </w:pPr>
            <w:r>
              <w:rPr>
                <w:rFonts w:hint="eastAsia"/>
                <w:color w:val="auto"/>
              </w:rPr>
              <w:t>厂界北侧外1m</w:t>
            </w:r>
          </w:p>
        </w:tc>
        <w:tc>
          <w:tcPr>
            <w:tcW w:w="1214" w:type="dxa"/>
            <w:tcBorders>
              <w:tl2br w:val="nil"/>
              <w:tr2bl w:val="nil"/>
            </w:tcBorders>
            <w:vAlign w:val="center"/>
          </w:tcPr>
          <w:p>
            <w:pPr>
              <w:pStyle w:val="41"/>
              <w:rPr>
                <w:color w:val="auto"/>
              </w:rPr>
            </w:pPr>
            <w:r>
              <w:rPr>
                <w:rFonts w:hint="eastAsia"/>
                <w:color w:val="auto"/>
              </w:rPr>
              <w:t>环境噪声</w:t>
            </w:r>
          </w:p>
        </w:tc>
        <w:tc>
          <w:tcPr>
            <w:tcW w:w="2564" w:type="dxa"/>
            <w:tcBorders>
              <w:tl2br w:val="nil"/>
              <w:tr2bl w:val="nil"/>
            </w:tcBorders>
            <w:vAlign w:val="center"/>
          </w:tcPr>
          <w:p>
            <w:pPr>
              <w:pStyle w:val="41"/>
              <w:rPr>
                <w:color w:val="auto"/>
              </w:rPr>
            </w:pPr>
            <w:r>
              <w:rPr>
                <w:rFonts w:hint="eastAsia"/>
                <w:color w:val="auto"/>
              </w:rPr>
              <w:t>59.4</w:t>
            </w:r>
          </w:p>
        </w:tc>
        <w:tc>
          <w:tcPr>
            <w:tcW w:w="2687" w:type="dxa"/>
            <w:tcBorders>
              <w:tl2br w:val="nil"/>
              <w:tr2bl w:val="nil"/>
            </w:tcBorders>
            <w:vAlign w:val="center"/>
          </w:tcPr>
          <w:p>
            <w:pPr>
              <w:pStyle w:val="41"/>
              <w:rPr>
                <w:color w:val="auto"/>
              </w:rPr>
            </w:pPr>
            <w:r>
              <w:rPr>
                <w:rFonts w:hint="eastAsia"/>
                <w:color w:val="auto"/>
              </w:rPr>
              <w:t>45.8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7" w:type="dxa"/>
            <w:tcBorders>
              <w:tl2br w:val="nil"/>
              <w:tr2bl w:val="nil"/>
            </w:tcBorders>
            <w:vAlign w:val="center"/>
          </w:tcPr>
          <w:p>
            <w:pPr>
              <w:pStyle w:val="41"/>
              <w:rPr>
                <w:color w:val="auto"/>
              </w:rPr>
            </w:pPr>
            <w:r>
              <w:rPr>
                <w:rFonts w:hint="eastAsia"/>
                <w:color w:val="auto"/>
              </w:rPr>
              <w:t>N2</w:t>
            </w:r>
          </w:p>
        </w:tc>
        <w:tc>
          <w:tcPr>
            <w:tcW w:w="1704" w:type="dxa"/>
            <w:tcBorders>
              <w:tl2br w:val="nil"/>
              <w:tr2bl w:val="nil"/>
            </w:tcBorders>
            <w:vAlign w:val="center"/>
          </w:tcPr>
          <w:p>
            <w:pPr>
              <w:pStyle w:val="41"/>
              <w:rPr>
                <w:color w:val="auto"/>
              </w:rPr>
            </w:pPr>
            <w:r>
              <w:rPr>
                <w:rFonts w:hint="eastAsia"/>
                <w:color w:val="auto"/>
              </w:rPr>
              <w:t>厂界东侧外1m</w:t>
            </w:r>
          </w:p>
        </w:tc>
        <w:tc>
          <w:tcPr>
            <w:tcW w:w="1214" w:type="dxa"/>
            <w:tcBorders>
              <w:tl2br w:val="nil"/>
              <w:tr2bl w:val="nil"/>
            </w:tcBorders>
            <w:vAlign w:val="center"/>
          </w:tcPr>
          <w:p>
            <w:pPr>
              <w:jc w:val="center"/>
              <w:rPr>
                <w:color w:val="auto"/>
              </w:rPr>
            </w:pPr>
            <w:r>
              <w:rPr>
                <w:rFonts w:hint="eastAsia"/>
                <w:color w:val="auto"/>
              </w:rPr>
              <w:t>环境噪声</w:t>
            </w:r>
          </w:p>
        </w:tc>
        <w:tc>
          <w:tcPr>
            <w:tcW w:w="2564" w:type="dxa"/>
            <w:tcBorders>
              <w:tl2br w:val="nil"/>
              <w:tr2bl w:val="nil"/>
            </w:tcBorders>
            <w:vAlign w:val="center"/>
          </w:tcPr>
          <w:p>
            <w:pPr>
              <w:pStyle w:val="41"/>
              <w:rPr>
                <w:color w:val="auto"/>
              </w:rPr>
            </w:pPr>
            <w:r>
              <w:rPr>
                <w:rFonts w:hint="eastAsia"/>
                <w:color w:val="auto"/>
              </w:rPr>
              <w:t>57.7</w:t>
            </w:r>
          </w:p>
        </w:tc>
        <w:tc>
          <w:tcPr>
            <w:tcW w:w="2687" w:type="dxa"/>
            <w:tcBorders>
              <w:tl2br w:val="nil"/>
              <w:tr2bl w:val="nil"/>
            </w:tcBorders>
            <w:vAlign w:val="center"/>
          </w:tcPr>
          <w:p>
            <w:pPr>
              <w:pStyle w:val="41"/>
              <w:rPr>
                <w:color w:val="auto"/>
              </w:rPr>
            </w:pPr>
            <w:r>
              <w:rPr>
                <w:rFonts w:hint="eastAsia"/>
                <w:color w:val="auto"/>
              </w:rPr>
              <w:t>46.9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17" w:type="dxa"/>
            <w:tcBorders>
              <w:tl2br w:val="nil"/>
              <w:tr2bl w:val="nil"/>
            </w:tcBorders>
            <w:vAlign w:val="center"/>
          </w:tcPr>
          <w:p>
            <w:pPr>
              <w:pStyle w:val="41"/>
              <w:rPr>
                <w:color w:val="auto"/>
              </w:rPr>
            </w:pPr>
            <w:r>
              <w:rPr>
                <w:rFonts w:hint="eastAsia"/>
                <w:color w:val="auto"/>
              </w:rPr>
              <w:t>N3</w:t>
            </w:r>
          </w:p>
        </w:tc>
        <w:tc>
          <w:tcPr>
            <w:tcW w:w="1704" w:type="dxa"/>
            <w:tcBorders>
              <w:tl2br w:val="nil"/>
              <w:tr2bl w:val="nil"/>
            </w:tcBorders>
            <w:vAlign w:val="center"/>
          </w:tcPr>
          <w:p>
            <w:pPr>
              <w:pStyle w:val="41"/>
              <w:rPr>
                <w:color w:val="auto"/>
              </w:rPr>
            </w:pPr>
            <w:r>
              <w:rPr>
                <w:rFonts w:hint="eastAsia"/>
                <w:color w:val="auto"/>
              </w:rPr>
              <w:t>厂界南侧外1m</w:t>
            </w:r>
          </w:p>
        </w:tc>
        <w:tc>
          <w:tcPr>
            <w:tcW w:w="1214" w:type="dxa"/>
            <w:tcBorders>
              <w:tl2br w:val="nil"/>
              <w:tr2bl w:val="nil"/>
            </w:tcBorders>
            <w:vAlign w:val="center"/>
          </w:tcPr>
          <w:p>
            <w:pPr>
              <w:jc w:val="center"/>
              <w:rPr>
                <w:color w:val="auto"/>
              </w:rPr>
            </w:pPr>
            <w:r>
              <w:rPr>
                <w:rFonts w:hint="eastAsia"/>
                <w:color w:val="auto"/>
              </w:rPr>
              <w:t>环境噪声</w:t>
            </w:r>
          </w:p>
        </w:tc>
        <w:tc>
          <w:tcPr>
            <w:tcW w:w="2564" w:type="dxa"/>
            <w:tcBorders>
              <w:tl2br w:val="nil"/>
              <w:tr2bl w:val="nil"/>
            </w:tcBorders>
            <w:vAlign w:val="center"/>
          </w:tcPr>
          <w:p>
            <w:pPr>
              <w:pStyle w:val="41"/>
              <w:rPr>
                <w:color w:val="auto"/>
              </w:rPr>
            </w:pPr>
            <w:r>
              <w:rPr>
                <w:rFonts w:hint="eastAsia"/>
                <w:color w:val="auto"/>
              </w:rPr>
              <w:t>58.8</w:t>
            </w:r>
          </w:p>
        </w:tc>
        <w:tc>
          <w:tcPr>
            <w:tcW w:w="2687" w:type="dxa"/>
            <w:tcBorders>
              <w:tl2br w:val="nil"/>
              <w:tr2bl w:val="nil"/>
            </w:tcBorders>
            <w:vAlign w:val="center"/>
          </w:tcPr>
          <w:p>
            <w:pPr>
              <w:pStyle w:val="41"/>
              <w:rPr>
                <w:color w:val="auto"/>
              </w:rPr>
            </w:pPr>
            <w:r>
              <w:rPr>
                <w:rFonts w:hint="eastAsia"/>
                <w:color w:val="auto"/>
              </w:rPr>
              <w:t>46.6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35" w:type="dxa"/>
            <w:gridSpan w:val="3"/>
            <w:tcBorders>
              <w:tl2br w:val="nil"/>
              <w:tr2bl w:val="nil"/>
            </w:tcBorders>
            <w:vAlign w:val="center"/>
          </w:tcPr>
          <w:p>
            <w:pPr>
              <w:jc w:val="center"/>
              <w:rPr>
                <w:color w:val="auto"/>
              </w:rPr>
            </w:pPr>
            <w:r>
              <w:rPr>
                <w:rFonts w:hint="eastAsia"/>
                <w:color w:val="auto"/>
              </w:rPr>
              <w:t>标准值</w:t>
            </w:r>
            <w:r>
              <w:rPr>
                <w:color w:val="auto"/>
              </w:rPr>
              <w:t>dB（A）</w:t>
            </w:r>
          </w:p>
        </w:tc>
        <w:tc>
          <w:tcPr>
            <w:tcW w:w="2564" w:type="dxa"/>
            <w:tcBorders>
              <w:tl2br w:val="nil"/>
              <w:tr2bl w:val="nil"/>
            </w:tcBorders>
            <w:vAlign w:val="center"/>
          </w:tcPr>
          <w:p>
            <w:pPr>
              <w:pStyle w:val="41"/>
              <w:rPr>
                <w:color w:val="auto"/>
              </w:rPr>
            </w:pPr>
            <w:r>
              <w:rPr>
                <w:rFonts w:hint="eastAsia"/>
                <w:color w:val="auto"/>
              </w:rPr>
              <w:t>65</w:t>
            </w:r>
          </w:p>
        </w:tc>
        <w:tc>
          <w:tcPr>
            <w:tcW w:w="2687" w:type="dxa"/>
            <w:tcBorders>
              <w:tl2br w:val="nil"/>
              <w:tr2bl w:val="nil"/>
            </w:tcBorders>
            <w:vAlign w:val="center"/>
          </w:tcPr>
          <w:p>
            <w:pPr>
              <w:pStyle w:val="41"/>
              <w:rPr>
                <w:color w:val="auto"/>
              </w:rPr>
            </w:pPr>
            <w:r>
              <w:rPr>
                <w:rFonts w:hint="eastAsia"/>
                <w:color w:val="auto"/>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035" w:type="dxa"/>
            <w:gridSpan w:val="3"/>
            <w:tcBorders>
              <w:tl2br w:val="nil"/>
              <w:tr2bl w:val="nil"/>
            </w:tcBorders>
            <w:vAlign w:val="center"/>
          </w:tcPr>
          <w:p>
            <w:pPr>
              <w:jc w:val="center"/>
              <w:rPr>
                <w:color w:val="auto"/>
              </w:rPr>
            </w:pPr>
            <w:r>
              <w:rPr>
                <w:rFonts w:hint="eastAsia"/>
                <w:color w:val="auto"/>
              </w:rPr>
              <w:t>达标情况</w:t>
            </w:r>
          </w:p>
        </w:tc>
        <w:tc>
          <w:tcPr>
            <w:tcW w:w="2564" w:type="dxa"/>
            <w:tcBorders>
              <w:tl2br w:val="nil"/>
              <w:tr2bl w:val="nil"/>
            </w:tcBorders>
            <w:vAlign w:val="center"/>
          </w:tcPr>
          <w:p>
            <w:pPr>
              <w:pStyle w:val="41"/>
              <w:rPr>
                <w:color w:val="auto"/>
              </w:rPr>
            </w:pPr>
            <w:r>
              <w:rPr>
                <w:rFonts w:hint="eastAsia"/>
                <w:color w:val="auto"/>
              </w:rPr>
              <w:t>达标</w:t>
            </w:r>
          </w:p>
        </w:tc>
        <w:tc>
          <w:tcPr>
            <w:tcW w:w="2687" w:type="dxa"/>
            <w:tcBorders>
              <w:tl2br w:val="nil"/>
              <w:tr2bl w:val="nil"/>
            </w:tcBorders>
            <w:vAlign w:val="center"/>
          </w:tcPr>
          <w:p>
            <w:pPr>
              <w:pStyle w:val="41"/>
              <w:rPr>
                <w:color w:val="auto"/>
              </w:rPr>
            </w:pPr>
            <w:r>
              <w:rPr>
                <w:rFonts w:hint="eastAsia"/>
                <w:color w:val="auto"/>
              </w:rPr>
              <w:t>达标</w:t>
            </w:r>
          </w:p>
        </w:tc>
      </w:tr>
    </w:tbl>
    <w:p>
      <w:pPr>
        <w:pStyle w:val="64"/>
        <w:spacing w:line="360" w:lineRule="auto"/>
        <w:ind w:firstLine="456"/>
        <w:rPr>
          <w:rFonts w:cs="Times New Roman"/>
          <w:color w:val="auto"/>
          <w:spacing w:val="-6"/>
          <w:kern w:val="2"/>
        </w:rPr>
        <w:sectPr>
          <w:pgSz w:w="11906" w:h="16838"/>
          <w:pgMar w:top="1417" w:right="1418" w:bottom="1417" w:left="1418" w:header="851" w:footer="992" w:gutter="0"/>
          <w:pgBorders>
            <w:top w:val="none" w:sz="0" w:space="0"/>
            <w:left w:val="none" w:sz="0" w:space="0"/>
            <w:bottom w:val="none" w:sz="0" w:space="0"/>
            <w:right w:val="none" w:sz="0" w:space="0"/>
          </w:pgBorders>
          <w:pgNumType w:start="1"/>
          <w:cols w:space="0" w:num="1"/>
          <w:docGrid w:type="lines" w:linePitch="312" w:charSpace="0"/>
        </w:sectPr>
      </w:pPr>
      <w:r>
        <w:rPr>
          <w:rFonts w:cs="Times New Roman"/>
          <w:color w:val="auto"/>
          <w:spacing w:val="-6"/>
          <w:kern w:val="2"/>
        </w:rPr>
        <w:t>由表3.5-</w:t>
      </w:r>
      <w:r>
        <w:rPr>
          <w:rFonts w:hint="eastAsia" w:cs="Times New Roman"/>
          <w:color w:val="auto"/>
          <w:spacing w:val="-6"/>
          <w:kern w:val="2"/>
        </w:rPr>
        <w:t>5</w:t>
      </w:r>
      <w:r>
        <w:rPr>
          <w:rFonts w:cs="Times New Roman"/>
          <w:color w:val="auto"/>
          <w:spacing w:val="-6"/>
          <w:kern w:val="2"/>
        </w:rPr>
        <w:t>可知，区域环境噪声现状昼夜间均满足《声环境质量标准》（GB3096-2008）中3类标准要求</w:t>
      </w:r>
      <w:r>
        <w:rPr>
          <w:rFonts w:hint="eastAsia" w:cs="Times New Roman"/>
          <w:color w:val="auto"/>
          <w:spacing w:val="-6"/>
          <w:kern w:val="2"/>
        </w:rPr>
        <w:t>。</w:t>
      </w:r>
    </w:p>
    <w:p>
      <w:pPr>
        <w:pStyle w:val="64"/>
        <w:spacing w:line="360" w:lineRule="auto"/>
        <w:ind w:firstLine="0" w:firstLineChars="0"/>
        <w:jc w:val="center"/>
        <w:rPr>
          <w:rFonts w:hint="eastAsia" w:eastAsia="宋体" w:cs="Times New Roman"/>
          <w:b/>
          <w:bCs/>
          <w:color w:val="auto"/>
          <w:spacing w:val="-6"/>
          <w:kern w:val="2"/>
          <w:highlight w:val="none"/>
          <w:lang w:eastAsia="zh-CN"/>
        </w:rPr>
      </w:pPr>
      <w:r>
        <w:rPr>
          <w:rFonts w:hint="eastAsia" w:eastAsia="宋体" w:cs="Times New Roman"/>
          <w:b/>
          <w:bCs/>
          <w:color w:val="auto"/>
          <w:spacing w:val="-6"/>
          <w:kern w:val="2"/>
          <w:highlight w:val="none"/>
          <w:lang w:eastAsia="zh-CN"/>
        </w:rPr>
        <w:drawing>
          <wp:inline distT="0" distB="0" distL="114300" distR="114300">
            <wp:extent cx="8887460" cy="5059680"/>
            <wp:effectExtent l="0" t="0" r="8890" b="7620"/>
            <wp:docPr id="2" name="图片 2" descr="地表水、地下水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表水、地下水监测点位图"/>
                    <pic:cNvPicPr>
                      <a:picLocks noChangeAspect="1"/>
                    </pic:cNvPicPr>
                  </pic:nvPicPr>
                  <pic:blipFill>
                    <a:blip r:embed="rId20"/>
                    <a:stretch>
                      <a:fillRect/>
                    </a:stretch>
                  </pic:blipFill>
                  <pic:spPr>
                    <a:xfrm>
                      <a:off x="0" y="0"/>
                      <a:ext cx="8887460" cy="5059680"/>
                    </a:xfrm>
                    <a:prstGeom prst="rect">
                      <a:avLst/>
                    </a:prstGeom>
                  </pic:spPr>
                </pic:pic>
              </a:graphicData>
            </a:graphic>
          </wp:inline>
        </w:drawing>
      </w:r>
    </w:p>
    <w:p>
      <w:pPr>
        <w:pStyle w:val="64"/>
        <w:spacing w:line="360" w:lineRule="auto"/>
        <w:ind w:firstLine="0" w:firstLineChars="0"/>
        <w:jc w:val="center"/>
        <w:rPr>
          <w:rFonts w:hint="default" w:eastAsia="宋体" w:cs="Times New Roman"/>
          <w:b/>
          <w:bCs/>
          <w:color w:val="auto"/>
          <w:spacing w:val="-6"/>
          <w:kern w:val="2"/>
          <w:highlight w:val="none"/>
          <w:lang w:val="en-US" w:eastAsia="zh-CN"/>
        </w:rPr>
      </w:pPr>
      <w:r>
        <w:rPr>
          <w:rFonts w:hint="eastAsia" w:cs="Times New Roman"/>
          <w:b/>
          <w:bCs/>
          <w:color w:val="auto"/>
          <w:spacing w:val="-6"/>
          <w:kern w:val="2"/>
          <w:highlight w:val="none"/>
        </w:rPr>
        <w:t>图3.5-</w:t>
      </w:r>
      <w:r>
        <w:rPr>
          <w:rFonts w:hint="eastAsia" w:cs="Times New Roman"/>
          <w:b/>
          <w:bCs/>
          <w:color w:val="auto"/>
          <w:spacing w:val="-6"/>
          <w:kern w:val="2"/>
          <w:highlight w:val="none"/>
          <w:lang w:val="en-US" w:eastAsia="zh-CN"/>
        </w:rPr>
        <w:t>1  引用监测点位图</w:t>
      </w:r>
    </w:p>
    <w:p>
      <w:pPr>
        <w:pStyle w:val="64"/>
        <w:spacing w:line="360" w:lineRule="auto"/>
        <w:ind w:firstLine="0" w:firstLineChars="0"/>
        <w:jc w:val="center"/>
        <w:rPr>
          <w:rFonts w:hint="eastAsia" w:eastAsia="宋体" w:cs="Times New Roman"/>
          <w:b/>
          <w:bCs/>
          <w:color w:val="auto"/>
          <w:spacing w:val="-6"/>
          <w:kern w:val="2"/>
          <w:highlight w:val="none"/>
          <w:lang w:eastAsia="zh-CN"/>
        </w:rPr>
        <w:sectPr>
          <w:pgSz w:w="16838" w:h="11906" w:orient="landscape"/>
          <w:pgMar w:top="1417" w:right="1418" w:bottom="1417" w:left="1418" w:header="851" w:footer="992" w:gutter="0"/>
          <w:pgBorders>
            <w:top w:val="none" w:sz="0" w:space="0"/>
            <w:left w:val="none" w:sz="0" w:space="0"/>
            <w:bottom w:val="none" w:sz="0" w:space="0"/>
            <w:right w:val="none" w:sz="0" w:space="0"/>
          </w:pgBorders>
          <w:cols w:space="0" w:num="1"/>
          <w:docGrid w:type="lines" w:linePitch="312" w:charSpace="0"/>
        </w:sectPr>
      </w:pPr>
    </w:p>
    <w:p>
      <w:pPr>
        <w:pStyle w:val="64"/>
        <w:spacing w:line="360" w:lineRule="auto"/>
        <w:ind w:firstLine="0" w:firstLineChars="0"/>
        <w:jc w:val="center"/>
        <w:rPr>
          <w:rFonts w:hint="eastAsia" w:eastAsia="宋体" w:cs="Times New Roman"/>
          <w:b/>
          <w:bCs/>
          <w:color w:val="auto"/>
          <w:spacing w:val="-6"/>
          <w:kern w:val="2"/>
          <w:highlight w:val="none"/>
          <w:lang w:eastAsia="zh-CN"/>
        </w:rPr>
      </w:pPr>
      <w:r>
        <w:rPr>
          <w:rFonts w:hint="eastAsia" w:eastAsia="宋体" w:cs="Times New Roman"/>
          <w:b/>
          <w:bCs/>
          <w:color w:val="auto"/>
          <w:spacing w:val="-6"/>
          <w:kern w:val="2"/>
          <w:highlight w:val="none"/>
          <w:lang w:eastAsia="zh-CN"/>
        </w:rPr>
        <w:drawing>
          <wp:inline distT="0" distB="0" distL="114300" distR="114300">
            <wp:extent cx="7257415" cy="5322570"/>
            <wp:effectExtent l="0" t="0" r="635" b="11430"/>
            <wp:docPr id="5" name="图片 5" descr="监测点位图-报告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监测点位图-报告用"/>
                    <pic:cNvPicPr>
                      <a:picLocks noChangeAspect="1"/>
                    </pic:cNvPicPr>
                  </pic:nvPicPr>
                  <pic:blipFill>
                    <a:blip r:embed="rId21"/>
                    <a:stretch>
                      <a:fillRect/>
                    </a:stretch>
                  </pic:blipFill>
                  <pic:spPr>
                    <a:xfrm>
                      <a:off x="0" y="0"/>
                      <a:ext cx="7257415" cy="5322570"/>
                    </a:xfrm>
                    <a:prstGeom prst="rect">
                      <a:avLst/>
                    </a:prstGeom>
                  </pic:spPr>
                </pic:pic>
              </a:graphicData>
            </a:graphic>
          </wp:inline>
        </w:drawing>
      </w:r>
    </w:p>
    <w:p>
      <w:pPr>
        <w:pStyle w:val="64"/>
        <w:spacing w:line="360" w:lineRule="auto"/>
        <w:ind w:firstLine="458"/>
        <w:jc w:val="center"/>
        <w:rPr>
          <w:rFonts w:cs="Times New Roman"/>
          <w:b/>
          <w:bCs/>
          <w:color w:val="auto"/>
          <w:spacing w:val="-6"/>
          <w:kern w:val="2"/>
          <w:highlight w:val="none"/>
        </w:rPr>
        <w:sectPr>
          <w:pgSz w:w="16838" w:h="11906" w:orient="landscape"/>
          <w:pgMar w:top="1417" w:right="1418" w:bottom="1417" w:left="1418" w:header="851" w:footer="992" w:gutter="0"/>
          <w:pgBorders>
            <w:top w:val="none" w:sz="0" w:space="0"/>
            <w:left w:val="none" w:sz="0" w:space="0"/>
            <w:bottom w:val="none" w:sz="0" w:space="0"/>
            <w:right w:val="none" w:sz="0" w:space="0"/>
          </w:pgBorders>
          <w:cols w:space="0" w:num="1"/>
          <w:docGrid w:type="lines" w:linePitch="312" w:charSpace="0"/>
        </w:sectPr>
      </w:pPr>
      <w:r>
        <w:rPr>
          <w:rFonts w:hint="eastAsia" w:cs="Times New Roman"/>
          <w:b/>
          <w:bCs/>
          <w:color w:val="auto"/>
          <w:spacing w:val="-6"/>
          <w:kern w:val="2"/>
          <w:highlight w:val="none"/>
        </w:rPr>
        <w:t>图3.5-</w:t>
      </w:r>
      <w:r>
        <w:rPr>
          <w:rFonts w:hint="eastAsia" w:cs="Times New Roman"/>
          <w:b/>
          <w:bCs/>
          <w:color w:val="auto"/>
          <w:spacing w:val="-6"/>
          <w:kern w:val="2"/>
          <w:highlight w:val="none"/>
          <w:lang w:val="en-US" w:eastAsia="zh-CN"/>
        </w:rPr>
        <w:t>2</w:t>
      </w:r>
      <w:r>
        <w:rPr>
          <w:rFonts w:hint="eastAsia" w:cs="Times New Roman"/>
          <w:b/>
          <w:bCs/>
          <w:color w:val="auto"/>
          <w:spacing w:val="-6"/>
          <w:kern w:val="2"/>
          <w:highlight w:val="none"/>
        </w:rPr>
        <w:t xml:space="preserve">   </w:t>
      </w:r>
      <w:r>
        <w:rPr>
          <w:rFonts w:hint="eastAsia" w:cs="Times New Roman"/>
          <w:b/>
          <w:bCs/>
          <w:color w:val="auto"/>
          <w:spacing w:val="-6"/>
          <w:kern w:val="2"/>
          <w:highlight w:val="none"/>
          <w:lang w:eastAsia="zh-CN"/>
        </w:rPr>
        <w:t>补充</w:t>
      </w:r>
      <w:r>
        <w:rPr>
          <w:rFonts w:hint="eastAsia" w:cs="Times New Roman"/>
          <w:b/>
          <w:bCs/>
          <w:color w:val="auto"/>
          <w:spacing w:val="-6"/>
          <w:kern w:val="2"/>
          <w:highlight w:val="none"/>
        </w:rPr>
        <w:t>监测点位图</w:t>
      </w:r>
    </w:p>
    <w:p>
      <w:pPr>
        <w:spacing w:line="360" w:lineRule="auto"/>
        <w:outlineLvl w:val="2"/>
        <w:rPr>
          <w:b/>
          <w:color w:val="auto"/>
          <w:sz w:val="24"/>
        </w:rPr>
      </w:pPr>
      <w:r>
        <w:rPr>
          <w:b/>
          <w:color w:val="auto"/>
          <w:sz w:val="24"/>
        </w:rPr>
        <w:t>3.</w:t>
      </w:r>
      <w:r>
        <w:rPr>
          <w:rFonts w:hint="eastAsia"/>
          <w:b/>
          <w:color w:val="auto"/>
          <w:sz w:val="24"/>
        </w:rPr>
        <w:t>5.5土壤现状调查与评价</w:t>
      </w:r>
    </w:p>
    <w:p>
      <w:pPr>
        <w:pStyle w:val="95"/>
        <w:spacing w:before="120" w:beforeLines="50" w:after="120" w:afterLines="50"/>
        <w:rPr>
          <w:color w:val="auto"/>
          <w:kern w:val="0"/>
          <w:highlight w:val="none"/>
        </w:rPr>
      </w:pPr>
      <w:r>
        <w:rPr>
          <w:color w:val="auto"/>
          <w:kern w:val="0"/>
        </w:rPr>
        <w:t>3.</w:t>
      </w:r>
      <w:r>
        <w:rPr>
          <w:rFonts w:hint="eastAsia"/>
          <w:color w:val="auto"/>
          <w:kern w:val="0"/>
        </w:rPr>
        <w:t>5</w:t>
      </w:r>
      <w:r>
        <w:rPr>
          <w:rFonts w:hint="eastAsia"/>
          <w:color w:val="auto"/>
          <w:kern w:val="0"/>
          <w:highlight w:val="none"/>
        </w:rPr>
        <w:t>.5</w:t>
      </w:r>
      <w:r>
        <w:rPr>
          <w:color w:val="auto"/>
          <w:kern w:val="0"/>
          <w:highlight w:val="none"/>
        </w:rPr>
        <w:t>.1</w:t>
      </w:r>
      <w:r>
        <w:rPr>
          <w:rFonts w:hint="eastAsia"/>
          <w:color w:val="auto"/>
          <w:kern w:val="0"/>
          <w:highlight w:val="none"/>
        </w:rPr>
        <w:t>土壤环境质量现状调查</w:t>
      </w:r>
    </w:p>
    <w:p>
      <w:pPr>
        <w:pStyle w:val="64"/>
        <w:spacing w:line="360" w:lineRule="auto"/>
        <w:rPr>
          <w:rFonts w:cs="Times New Roman"/>
          <w:color w:val="auto"/>
          <w:highlight w:val="none"/>
        </w:rPr>
      </w:pPr>
      <w:r>
        <w:rPr>
          <w:rFonts w:hint="eastAsia" w:cs="Times New Roman"/>
          <w:color w:val="auto"/>
          <w:highlight w:val="none"/>
        </w:rPr>
        <w:t>（</w:t>
      </w:r>
      <w:r>
        <w:rPr>
          <w:rFonts w:cs="Times New Roman"/>
          <w:color w:val="auto"/>
          <w:highlight w:val="none"/>
        </w:rPr>
        <w:t>1</w:t>
      </w:r>
      <w:r>
        <w:rPr>
          <w:rFonts w:hint="eastAsia" w:cs="Times New Roman"/>
          <w:color w:val="auto"/>
          <w:highlight w:val="none"/>
        </w:rPr>
        <w:t>）监测布点</w:t>
      </w:r>
    </w:p>
    <w:p>
      <w:pPr>
        <w:pStyle w:val="64"/>
        <w:spacing w:line="360" w:lineRule="auto"/>
        <w:rPr>
          <w:rFonts w:hint="eastAsia" w:eastAsia="宋体" w:cs="Times New Roman"/>
          <w:color w:val="auto"/>
          <w:highlight w:val="none"/>
          <w:lang w:eastAsia="zh-CN"/>
        </w:rPr>
      </w:pPr>
      <w:r>
        <w:rPr>
          <w:rFonts w:hint="eastAsia" w:cs="Times New Roman"/>
          <w:color w:val="auto"/>
          <w:highlight w:val="none"/>
        </w:rPr>
        <w:t>为了解项目区的土壤环境质量现状，</w:t>
      </w:r>
      <w:r>
        <w:rPr>
          <w:rFonts w:hint="eastAsia" w:cs="Times New Roman"/>
          <w:color w:val="auto"/>
          <w:highlight w:val="none"/>
          <w:lang w:eastAsia="zh-CN"/>
        </w:rPr>
        <w:t>建设单位委托福建科林检测技术有限公司</w:t>
      </w:r>
      <w:r>
        <w:rPr>
          <w:rFonts w:hint="eastAsia" w:cs="Times New Roman"/>
          <w:color w:val="auto"/>
          <w:highlight w:val="none"/>
        </w:rPr>
        <w:t>于</w:t>
      </w:r>
      <w:r>
        <w:rPr>
          <w:rFonts w:cs="Times New Roman"/>
          <w:color w:val="auto"/>
          <w:highlight w:val="none"/>
        </w:rPr>
        <w:t>201</w:t>
      </w:r>
      <w:r>
        <w:rPr>
          <w:rFonts w:hint="eastAsia" w:cs="Times New Roman"/>
          <w:color w:val="auto"/>
          <w:highlight w:val="none"/>
          <w:lang w:val="en-US" w:eastAsia="zh-CN"/>
        </w:rPr>
        <w:t>9</w:t>
      </w:r>
      <w:r>
        <w:rPr>
          <w:rFonts w:hint="eastAsia" w:cs="Times New Roman"/>
          <w:color w:val="auto"/>
          <w:highlight w:val="none"/>
        </w:rPr>
        <w:t>年</w:t>
      </w:r>
      <w:r>
        <w:rPr>
          <w:rFonts w:hint="eastAsia" w:cs="Times New Roman"/>
          <w:color w:val="auto"/>
          <w:highlight w:val="none"/>
          <w:lang w:val="en-US" w:eastAsia="zh-CN"/>
        </w:rPr>
        <w:t>1</w:t>
      </w:r>
      <w:r>
        <w:rPr>
          <w:rFonts w:hint="eastAsia" w:cs="Times New Roman"/>
          <w:color w:val="auto"/>
          <w:highlight w:val="none"/>
        </w:rPr>
        <w:t>月</w:t>
      </w:r>
      <w:r>
        <w:rPr>
          <w:rFonts w:hint="eastAsia" w:cs="Times New Roman"/>
          <w:color w:val="auto"/>
          <w:highlight w:val="none"/>
          <w:lang w:val="en-US" w:eastAsia="zh-CN"/>
        </w:rPr>
        <w:t>15</w:t>
      </w:r>
      <w:r>
        <w:rPr>
          <w:rFonts w:hint="eastAsia" w:cs="Times New Roman"/>
          <w:color w:val="auto"/>
          <w:highlight w:val="none"/>
        </w:rPr>
        <w:t>日对集控中心</w:t>
      </w:r>
      <w:r>
        <w:rPr>
          <w:rFonts w:hint="eastAsia" w:cs="Times New Roman"/>
          <w:color w:val="auto"/>
          <w:highlight w:val="none"/>
          <w:lang w:eastAsia="zh-CN"/>
        </w:rPr>
        <w:t>土壤质量现状进行检测</w:t>
      </w:r>
      <w:r>
        <w:rPr>
          <w:rFonts w:hint="eastAsia" w:cs="Times New Roman"/>
          <w:color w:val="auto"/>
          <w:highlight w:val="none"/>
        </w:rPr>
        <w:t>，监测</w:t>
      </w:r>
      <w:r>
        <w:rPr>
          <w:rFonts w:hint="eastAsia" w:cs="Times New Roman"/>
          <w:color w:val="auto"/>
          <w:highlight w:val="none"/>
          <w:lang w:eastAsia="zh-CN"/>
        </w:rPr>
        <w:t>布点</w:t>
      </w:r>
      <w:r>
        <w:rPr>
          <w:rFonts w:hint="eastAsia" w:cs="Times New Roman"/>
          <w:color w:val="auto"/>
          <w:highlight w:val="none"/>
        </w:rPr>
        <w:t>见图</w:t>
      </w:r>
      <w:r>
        <w:rPr>
          <w:rFonts w:cs="Times New Roman"/>
          <w:color w:val="auto"/>
          <w:highlight w:val="none"/>
        </w:rPr>
        <w:t>3.</w:t>
      </w:r>
      <w:r>
        <w:rPr>
          <w:rFonts w:hint="eastAsia" w:cs="Times New Roman"/>
          <w:color w:val="auto"/>
          <w:highlight w:val="none"/>
          <w:lang w:val="en-US" w:eastAsia="zh-CN"/>
        </w:rPr>
        <w:t>5</w:t>
      </w:r>
      <w:r>
        <w:rPr>
          <w:rFonts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w:t>
      </w:r>
    </w:p>
    <w:p>
      <w:pPr>
        <w:pStyle w:val="64"/>
        <w:spacing w:line="360" w:lineRule="auto"/>
        <w:ind w:left="0" w:leftChars="0" w:firstLine="0" w:firstLineChars="0"/>
        <w:rPr>
          <w:rFonts w:hint="eastAsia" w:eastAsia="宋体" w:cs="Times New Roman"/>
          <w:color w:val="auto"/>
          <w:highlight w:val="none"/>
          <w:lang w:eastAsia="zh-CN"/>
        </w:rPr>
      </w:pPr>
      <w:r>
        <w:rPr>
          <w:rFonts w:hint="eastAsia" w:eastAsia="宋体" w:cs="Times New Roman"/>
          <w:color w:val="auto"/>
          <w:highlight w:val="none"/>
          <w:lang w:eastAsia="zh-CN"/>
        </w:rPr>
        <w:drawing>
          <wp:inline distT="0" distB="0" distL="114300" distR="114300">
            <wp:extent cx="5758815" cy="3639820"/>
            <wp:effectExtent l="0" t="0" r="13335" b="17780"/>
            <wp:docPr id="4" name="图片 4" descr="土壤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土壤监测点位图"/>
                    <pic:cNvPicPr>
                      <a:picLocks noChangeAspect="1"/>
                    </pic:cNvPicPr>
                  </pic:nvPicPr>
                  <pic:blipFill>
                    <a:blip r:embed="rId22"/>
                    <a:stretch>
                      <a:fillRect/>
                    </a:stretch>
                  </pic:blipFill>
                  <pic:spPr>
                    <a:xfrm>
                      <a:off x="0" y="0"/>
                      <a:ext cx="5758815" cy="3639820"/>
                    </a:xfrm>
                    <a:prstGeom prst="rect">
                      <a:avLst/>
                    </a:prstGeom>
                  </pic:spPr>
                </pic:pic>
              </a:graphicData>
            </a:graphic>
          </wp:inline>
        </w:drawing>
      </w:r>
    </w:p>
    <w:p>
      <w:pPr>
        <w:pStyle w:val="64"/>
        <w:spacing w:line="360" w:lineRule="auto"/>
        <w:ind w:firstLine="0" w:firstLineChars="0"/>
        <w:jc w:val="center"/>
        <w:rPr>
          <w:rFonts w:cs="Times New Roman"/>
          <w:color w:val="auto"/>
          <w:highlight w:val="none"/>
        </w:rPr>
      </w:pPr>
      <w:r>
        <w:rPr>
          <w:rFonts w:hint="eastAsia" w:cs="Times New Roman"/>
          <w:b/>
          <w:bCs/>
          <w:color w:val="auto"/>
          <w:highlight w:val="none"/>
        </w:rPr>
        <w:t>图</w:t>
      </w:r>
      <w:r>
        <w:rPr>
          <w:rFonts w:cs="Times New Roman"/>
          <w:b/>
          <w:bCs/>
          <w:color w:val="auto"/>
          <w:highlight w:val="none"/>
        </w:rPr>
        <w:t>3.</w:t>
      </w:r>
      <w:r>
        <w:rPr>
          <w:rFonts w:hint="eastAsia" w:cs="Times New Roman"/>
          <w:b/>
          <w:bCs/>
          <w:color w:val="auto"/>
          <w:highlight w:val="none"/>
          <w:lang w:val="en-US" w:eastAsia="zh-CN"/>
        </w:rPr>
        <w:t>5</w:t>
      </w:r>
      <w:r>
        <w:rPr>
          <w:rFonts w:cs="Times New Roman"/>
          <w:b/>
          <w:bCs/>
          <w:color w:val="auto"/>
          <w:highlight w:val="none"/>
        </w:rPr>
        <w:t>-</w:t>
      </w:r>
      <w:r>
        <w:rPr>
          <w:rFonts w:hint="eastAsia" w:cs="Times New Roman"/>
          <w:b/>
          <w:bCs/>
          <w:color w:val="auto"/>
          <w:highlight w:val="none"/>
          <w:lang w:val="en-US" w:eastAsia="zh-CN"/>
        </w:rPr>
        <w:t xml:space="preserve">2 </w:t>
      </w:r>
      <w:r>
        <w:rPr>
          <w:rFonts w:hint="eastAsia" w:cs="Times New Roman"/>
          <w:b/>
          <w:bCs/>
          <w:color w:val="auto"/>
          <w:highlight w:val="none"/>
        </w:rPr>
        <w:t>土壤监测点位图</w:t>
      </w:r>
    </w:p>
    <w:p>
      <w:pPr>
        <w:pStyle w:val="64"/>
        <w:spacing w:line="360" w:lineRule="auto"/>
        <w:rPr>
          <w:rFonts w:cs="Times New Roman"/>
          <w:color w:val="auto"/>
        </w:rPr>
      </w:pPr>
      <w:r>
        <w:rPr>
          <w:rFonts w:hint="eastAsia" w:cs="Times New Roman"/>
          <w:color w:val="auto"/>
        </w:rPr>
        <w:t>（</w:t>
      </w:r>
      <w:r>
        <w:rPr>
          <w:rFonts w:cs="Times New Roman"/>
          <w:color w:val="auto"/>
        </w:rPr>
        <w:t>2</w:t>
      </w:r>
      <w:r>
        <w:rPr>
          <w:rFonts w:hint="eastAsia" w:cs="Times New Roman"/>
          <w:color w:val="auto"/>
        </w:rPr>
        <w:t>）监测因子和分析方法</w:t>
      </w:r>
    </w:p>
    <w:p>
      <w:pPr>
        <w:pStyle w:val="64"/>
        <w:spacing w:line="360" w:lineRule="auto"/>
        <w:rPr>
          <w:rFonts w:cs="Times New Roman"/>
          <w:color w:val="auto"/>
        </w:rPr>
      </w:pPr>
      <w:r>
        <w:rPr>
          <w:rFonts w:hint="eastAsia" w:cs="Times New Roman"/>
          <w:color w:val="auto"/>
        </w:rPr>
        <w:t>监测项目：</w:t>
      </w:r>
      <w:r>
        <w:rPr>
          <w:rFonts w:cs="Times New Roman"/>
          <w:color w:val="auto"/>
        </w:rPr>
        <w:t>pH</w:t>
      </w:r>
      <w:r>
        <w:rPr>
          <w:rFonts w:hint="eastAsia" w:cs="Times New Roman"/>
          <w:color w:val="auto"/>
        </w:rPr>
        <w:t>、</w:t>
      </w:r>
      <w:r>
        <w:rPr>
          <w:rFonts w:hint="eastAsia" w:cs="Times New Roman"/>
          <w:color w:val="auto"/>
          <w:lang w:eastAsia="zh-CN"/>
        </w:rPr>
        <w:t>重金属和无机物（</w:t>
      </w:r>
      <w:r>
        <w:rPr>
          <w:rFonts w:hint="eastAsia" w:cs="Times New Roman"/>
          <w:color w:val="auto"/>
          <w:lang w:val="en-US" w:eastAsia="zh-CN"/>
        </w:rPr>
        <w:t>7项</w:t>
      </w:r>
      <w:r>
        <w:rPr>
          <w:rFonts w:hint="eastAsia" w:cs="Times New Roman"/>
          <w:color w:val="auto"/>
          <w:lang w:eastAsia="zh-CN"/>
        </w:rPr>
        <w:t>）、挥发性有机物（</w:t>
      </w:r>
      <w:r>
        <w:rPr>
          <w:rFonts w:hint="eastAsia" w:cs="Times New Roman"/>
          <w:color w:val="auto"/>
          <w:lang w:val="en-US" w:eastAsia="zh-CN"/>
        </w:rPr>
        <w:t>27项</w:t>
      </w:r>
      <w:r>
        <w:rPr>
          <w:rFonts w:hint="eastAsia" w:cs="Times New Roman"/>
          <w:color w:val="auto"/>
          <w:lang w:eastAsia="zh-CN"/>
        </w:rPr>
        <w:t>）、半挥发有机物（</w:t>
      </w:r>
      <w:r>
        <w:rPr>
          <w:rFonts w:hint="eastAsia" w:cs="Times New Roman"/>
          <w:color w:val="auto"/>
          <w:lang w:val="en-US" w:eastAsia="zh-CN"/>
        </w:rPr>
        <w:t>11项</w:t>
      </w:r>
      <w:r>
        <w:rPr>
          <w:rFonts w:hint="eastAsia" w:cs="Times New Roman"/>
          <w:color w:val="auto"/>
          <w:lang w:eastAsia="zh-CN"/>
        </w:rPr>
        <w:t>）</w:t>
      </w:r>
      <w:r>
        <w:rPr>
          <w:rFonts w:hint="eastAsia" w:cs="Times New Roman"/>
          <w:color w:val="auto"/>
        </w:rPr>
        <w:t>共</w:t>
      </w:r>
      <w:r>
        <w:rPr>
          <w:rFonts w:hint="eastAsia" w:cs="Times New Roman"/>
          <w:color w:val="auto"/>
          <w:lang w:eastAsia="zh-CN"/>
        </w:rPr>
        <w:t>计</w:t>
      </w:r>
      <w:r>
        <w:rPr>
          <w:rFonts w:hint="eastAsia" w:cs="Times New Roman"/>
          <w:color w:val="auto"/>
        </w:rPr>
        <w:t>46项。</w:t>
      </w:r>
    </w:p>
    <w:p>
      <w:pPr>
        <w:pStyle w:val="64"/>
        <w:spacing w:line="360" w:lineRule="auto"/>
        <w:rPr>
          <w:rFonts w:cs="Times New Roman"/>
          <w:color w:val="auto"/>
        </w:rPr>
      </w:pPr>
      <w:r>
        <w:rPr>
          <w:rFonts w:hint="eastAsia" w:cs="Times New Roman"/>
          <w:color w:val="auto"/>
        </w:rPr>
        <w:t>土壤监测方法参照国家环保总局的《环境监测分析方法》、《土壤元素的近代分析方法》的有关章节进行。</w:t>
      </w:r>
    </w:p>
    <w:p>
      <w:pPr>
        <w:pStyle w:val="95"/>
        <w:spacing w:before="120" w:beforeLines="50" w:after="120" w:afterLines="50"/>
        <w:rPr>
          <w:color w:val="auto"/>
          <w:kern w:val="0"/>
        </w:rPr>
      </w:pPr>
      <w:r>
        <w:rPr>
          <w:color w:val="auto"/>
          <w:kern w:val="0"/>
        </w:rPr>
        <w:t>3.</w:t>
      </w:r>
      <w:r>
        <w:rPr>
          <w:rFonts w:hint="eastAsia"/>
          <w:color w:val="auto"/>
          <w:kern w:val="0"/>
        </w:rPr>
        <w:t>5.5</w:t>
      </w:r>
      <w:r>
        <w:rPr>
          <w:color w:val="auto"/>
          <w:kern w:val="0"/>
        </w:rPr>
        <w:t>.2</w:t>
      </w:r>
      <w:r>
        <w:rPr>
          <w:rFonts w:hint="eastAsia"/>
          <w:color w:val="auto"/>
          <w:kern w:val="0"/>
        </w:rPr>
        <w:t>土壤环境质量现状评价</w:t>
      </w:r>
      <w:r>
        <w:rPr>
          <w:color w:val="auto"/>
          <w:kern w:val="0"/>
        </w:rPr>
        <w:t xml:space="preserve"> </w:t>
      </w:r>
    </w:p>
    <w:p>
      <w:pPr>
        <w:pStyle w:val="64"/>
        <w:spacing w:line="360" w:lineRule="auto"/>
        <w:rPr>
          <w:rFonts w:hint="eastAsia" w:cs="Times New Roman"/>
          <w:color w:val="auto"/>
        </w:rPr>
      </w:pPr>
      <w:r>
        <w:rPr>
          <w:rFonts w:hint="eastAsia" w:cs="Times New Roman"/>
          <w:color w:val="auto"/>
        </w:rPr>
        <w:t>土壤监测结果详见表</w:t>
      </w:r>
      <w:r>
        <w:rPr>
          <w:rFonts w:cs="Times New Roman"/>
          <w:color w:val="auto"/>
        </w:rPr>
        <w:t>3.</w:t>
      </w:r>
      <w:r>
        <w:rPr>
          <w:rFonts w:hint="eastAsia" w:cs="Times New Roman"/>
          <w:color w:val="auto"/>
        </w:rPr>
        <w:t>5</w:t>
      </w:r>
      <w:r>
        <w:rPr>
          <w:rFonts w:cs="Times New Roman"/>
          <w:color w:val="auto"/>
        </w:rPr>
        <w:t>-1</w:t>
      </w:r>
      <w:r>
        <w:rPr>
          <w:rFonts w:hint="eastAsia" w:cs="Times New Roman"/>
          <w:color w:val="auto"/>
        </w:rPr>
        <w:t>0。</w:t>
      </w:r>
    </w:p>
    <w:p>
      <w:pPr>
        <w:pStyle w:val="64"/>
        <w:spacing w:line="360" w:lineRule="auto"/>
        <w:rPr>
          <w:rFonts w:hint="eastAsia" w:cs="Times New Roman"/>
          <w:color w:val="auto"/>
        </w:rPr>
      </w:pPr>
    </w:p>
    <w:p>
      <w:pPr>
        <w:pStyle w:val="64"/>
        <w:spacing w:line="360" w:lineRule="auto"/>
        <w:rPr>
          <w:rFonts w:hint="eastAsia" w:cs="Times New Roman"/>
          <w:color w:val="auto"/>
        </w:rPr>
      </w:pPr>
    </w:p>
    <w:p>
      <w:pPr>
        <w:pStyle w:val="64"/>
        <w:spacing w:line="360" w:lineRule="auto"/>
        <w:rPr>
          <w:rFonts w:hint="eastAsia" w:cs="Times New Roman"/>
          <w:color w:val="auto"/>
        </w:rPr>
      </w:pPr>
    </w:p>
    <w:p>
      <w:pPr>
        <w:pStyle w:val="64"/>
        <w:spacing w:line="360" w:lineRule="auto"/>
        <w:rPr>
          <w:rFonts w:hint="eastAsia" w:cs="Times New Roman"/>
          <w:color w:val="auto"/>
        </w:rPr>
      </w:pPr>
    </w:p>
    <w:p>
      <w:pPr>
        <w:pStyle w:val="71"/>
        <w:spacing w:line="360" w:lineRule="auto"/>
        <w:ind w:firstLine="498"/>
        <w:rPr>
          <w:snapToGrid/>
          <w:color w:val="auto"/>
          <w:spacing w:val="0"/>
          <w:sz w:val="24"/>
        </w:rPr>
      </w:pPr>
      <w:r>
        <w:rPr>
          <w:rFonts w:hint="eastAsia"/>
          <w:snapToGrid/>
          <w:color w:val="auto"/>
          <w:spacing w:val="0"/>
          <w:sz w:val="24"/>
        </w:rPr>
        <w:t>表</w:t>
      </w:r>
      <w:r>
        <w:rPr>
          <w:snapToGrid/>
          <w:color w:val="auto"/>
          <w:spacing w:val="0"/>
          <w:sz w:val="24"/>
        </w:rPr>
        <w:t>3.</w:t>
      </w:r>
      <w:r>
        <w:rPr>
          <w:rFonts w:hint="eastAsia"/>
          <w:snapToGrid/>
          <w:color w:val="auto"/>
          <w:spacing w:val="0"/>
          <w:sz w:val="24"/>
        </w:rPr>
        <w:t>5-10</w:t>
      </w:r>
      <w:r>
        <w:rPr>
          <w:snapToGrid/>
          <w:color w:val="auto"/>
          <w:spacing w:val="0"/>
          <w:sz w:val="24"/>
        </w:rPr>
        <w:t xml:space="preserve">  </w:t>
      </w:r>
      <w:r>
        <w:rPr>
          <w:rFonts w:hint="eastAsia"/>
          <w:snapToGrid/>
          <w:color w:val="auto"/>
          <w:spacing w:val="0"/>
          <w:sz w:val="24"/>
        </w:rPr>
        <w:t>土壤环境质量监测结果</w:t>
      </w:r>
      <w:r>
        <w:rPr>
          <w:snapToGrid/>
          <w:color w:val="auto"/>
          <w:spacing w:val="0"/>
          <w:sz w:val="24"/>
        </w:rPr>
        <w:t xml:space="preserve">     </w:t>
      </w:r>
      <w:r>
        <w:rPr>
          <w:rFonts w:hint="eastAsia"/>
          <w:snapToGrid/>
          <w:color w:val="auto"/>
          <w:spacing w:val="0"/>
          <w:sz w:val="24"/>
        </w:rPr>
        <w:t>单位：</w:t>
      </w:r>
      <w:r>
        <w:rPr>
          <w:snapToGrid/>
          <w:color w:val="auto"/>
          <w:spacing w:val="0"/>
          <w:sz w:val="24"/>
        </w:rPr>
        <w:t>mg/kg(pH</w:t>
      </w:r>
      <w:r>
        <w:rPr>
          <w:rFonts w:hint="eastAsia"/>
          <w:snapToGrid/>
          <w:color w:val="auto"/>
          <w:spacing w:val="0"/>
          <w:sz w:val="24"/>
        </w:rPr>
        <w:t>无量纲</w:t>
      </w:r>
      <w:r>
        <w:rPr>
          <w:snapToGrid/>
          <w:color w:val="auto"/>
          <w:spacing w:val="0"/>
          <w:sz w:val="24"/>
        </w:rPr>
        <w:t>)</w:t>
      </w:r>
    </w:p>
    <w:tbl>
      <w:tblPr>
        <w:tblStyle w:val="23"/>
        <w:tblW w:w="92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404"/>
        <w:gridCol w:w="3464"/>
        <w:gridCol w:w="1473"/>
        <w:gridCol w:w="1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432" w:type="dxa"/>
            <w:vMerge w:val="restart"/>
            <w:tcBorders>
              <w:tl2br w:val="nil"/>
              <w:tr2bl w:val="nil"/>
            </w:tcBorders>
            <w:vAlign w:val="center"/>
          </w:tcPr>
          <w:p>
            <w:pPr>
              <w:pStyle w:val="41"/>
              <w:rPr>
                <w:color w:val="auto"/>
              </w:rPr>
            </w:pPr>
            <w:r>
              <w:rPr>
                <w:rFonts w:hint="eastAsia"/>
                <w:color w:val="auto"/>
              </w:rPr>
              <w:t>采样日期</w:t>
            </w:r>
          </w:p>
        </w:tc>
        <w:tc>
          <w:tcPr>
            <w:tcW w:w="1404" w:type="dxa"/>
            <w:vMerge w:val="restart"/>
            <w:tcBorders>
              <w:tl2br w:val="nil"/>
              <w:tr2bl w:val="nil"/>
            </w:tcBorders>
            <w:vAlign w:val="center"/>
          </w:tcPr>
          <w:p>
            <w:pPr>
              <w:pStyle w:val="41"/>
              <w:rPr>
                <w:color w:val="auto"/>
              </w:rPr>
            </w:pPr>
            <w:r>
              <w:rPr>
                <w:rFonts w:hint="eastAsia"/>
                <w:color w:val="auto"/>
              </w:rPr>
              <w:t>序号</w:t>
            </w:r>
          </w:p>
        </w:tc>
        <w:tc>
          <w:tcPr>
            <w:tcW w:w="3464" w:type="dxa"/>
            <w:tcBorders>
              <w:tl2br w:val="nil"/>
              <w:tr2bl w:val="nil"/>
            </w:tcBorders>
            <w:vAlign w:val="center"/>
          </w:tcPr>
          <w:p>
            <w:pPr>
              <w:pStyle w:val="41"/>
              <w:rPr>
                <w:color w:val="auto"/>
              </w:rPr>
            </w:pPr>
            <w:r>
              <w:rPr>
                <w:rFonts w:hint="eastAsia"/>
                <w:color w:val="auto"/>
              </w:rPr>
              <w:t>点位名称</w:t>
            </w:r>
          </w:p>
        </w:tc>
        <w:tc>
          <w:tcPr>
            <w:tcW w:w="1473" w:type="dxa"/>
            <w:tcBorders>
              <w:tl2br w:val="nil"/>
              <w:tr2bl w:val="nil"/>
            </w:tcBorders>
            <w:vAlign w:val="center"/>
          </w:tcPr>
          <w:p>
            <w:pPr>
              <w:pStyle w:val="41"/>
              <w:rPr>
                <w:color w:val="auto"/>
              </w:rPr>
            </w:pPr>
            <w:r>
              <w:rPr>
                <w:rFonts w:hint="eastAsia"/>
                <w:color w:val="auto"/>
              </w:rPr>
              <w:t>T1</w:t>
            </w:r>
          </w:p>
        </w:tc>
        <w:tc>
          <w:tcPr>
            <w:tcW w:w="1464" w:type="dxa"/>
            <w:tcBorders>
              <w:tl2br w:val="nil"/>
              <w:tr2bl w:val="nil"/>
            </w:tcBorders>
            <w:vAlign w:val="center"/>
          </w:tcPr>
          <w:p>
            <w:pPr>
              <w:pStyle w:val="41"/>
              <w:rPr>
                <w:color w:val="auto"/>
              </w:rPr>
            </w:pPr>
            <w:r>
              <w:rPr>
                <w:rFonts w:hint="eastAsia"/>
                <w:color w:val="auto"/>
              </w:rPr>
              <w:t>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432" w:type="dxa"/>
            <w:vMerge w:val="continue"/>
            <w:tcBorders>
              <w:tl2br w:val="nil"/>
              <w:tr2bl w:val="nil"/>
            </w:tcBorders>
            <w:vAlign w:val="center"/>
          </w:tcPr>
          <w:p>
            <w:pPr>
              <w:pStyle w:val="41"/>
              <w:rPr>
                <w:color w:val="auto"/>
              </w:rPr>
            </w:pPr>
          </w:p>
        </w:tc>
        <w:tc>
          <w:tcPr>
            <w:tcW w:w="1404" w:type="dxa"/>
            <w:vMerge w:val="continue"/>
            <w:tcBorders>
              <w:tl2br w:val="nil"/>
              <w:tr2bl w:val="nil"/>
            </w:tcBorders>
            <w:vAlign w:val="center"/>
          </w:tcPr>
          <w:p>
            <w:pPr>
              <w:pStyle w:val="41"/>
              <w:rPr>
                <w:color w:val="auto"/>
              </w:rPr>
            </w:pPr>
          </w:p>
        </w:tc>
        <w:tc>
          <w:tcPr>
            <w:tcW w:w="3464" w:type="dxa"/>
            <w:tcBorders>
              <w:tl2br w:val="nil"/>
              <w:tr2bl w:val="nil"/>
            </w:tcBorders>
            <w:vAlign w:val="center"/>
          </w:tcPr>
          <w:p>
            <w:pPr>
              <w:pStyle w:val="41"/>
              <w:rPr>
                <w:color w:val="auto"/>
              </w:rPr>
            </w:pPr>
            <w:r>
              <w:rPr>
                <w:rFonts w:hint="eastAsia"/>
                <w:color w:val="auto"/>
              </w:rPr>
              <w:t>检测因子</w:t>
            </w:r>
          </w:p>
        </w:tc>
        <w:tc>
          <w:tcPr>
            <w:tcW w:w="2937" w:type="dxa"/>
            <w:gridSpan w:val="2"/>
            <w:tcBorders>
              <w:tl2br w:val="nil"/>
              <w:tr2bl w:val="nil"/>
            </w:tcBorders>
            <w:vAlign w:val="center"/>
          </w:tcPr>
          <w:p>
            <w:pPr>
              <w:pStyle w:val="41"/>
              <w:rPr>
                <w:color w:val="auto"/>
              </w:rPr>
            </w:pPr>
            <w:r>
              <w:rPr>
                <w:rFonts w:hint="eastAsia"/>
                <w:color w:val="auto"/>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restart"/>
            <w:tcBorders>
              <w:tl2br w:val="nil"/>
              <w:tr2bl w:val="nil"/>
            </w:tcBorders>
            <w:vAlign w:val="center"/>
          </w:tcPr>
          <w:p>
            <w:pPr>
              <w:pStyle w:val="41"/>
              <w:rPr>
                <w:color w:val="auto"/>
              </w:rPr>
            </w:pPr>
            <w:r>
              <w:rPr>
                <w:rFonts w:hint="eastAsia"/>
                <w:color w:val="auto"/>
              </w:rPr>
              <w:t>2019.1.5</w:t>
            </w:r>
          </w:p>
        </w:tc>
        <w:tc>
          <w:tcPr>
            <w:tcW w:w="1404" w:type="dxa"/>
            <w:tcBorders>
              <w:tl2br w:val="nil"/>
              <w:tr2bl w:val="nil"/>
            </w:tcBorders>
            <w:vAlign w:val="center"/>
          </w:tcPr>
          <w:p>
            <w:pPr>
              <w:pStyle w:val="41"/>
              <w:rPr>
                <w:color w:val="auto"/>
              </w:rPr>
            </w:pPr>
            <w:r>
              <w:rPr>
                <w:rFonts w:hint="eastAsia"/>
                <w:color w:val="auto"/>
              </w:rPr>
              <w:t>1</w:t>
            </w:r>
          </w:p>
        </w:tc>
        <w:tc>
          <w:tcPr>
            <w:tcW w:w="3464" w:type="dxa"/>
            <w:tcBorders>
              <w:tl2br w:val="nil"/>
              <w:tr2bl w:val="nil"/>
            </w:tcBorders>
            <w:vAlign w:val="center"/>
          </w:tcPr>
          <w:p>
            <w:pPr>
              <w:pStyle w:val="41"/>
              <w:rPr>
                <w:color w:val="auto"/>
              </w:rPr>
            </w:pPr>
            <w:r>
              <w:rPr>
                <w:rFonts w:hint="eastAsia"/>
                <w:color w:val="auto"/>
              </w:rPr>
              <w:t>四氯化碳（</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w:t>
            </w:r>
          </w:p>
        </w:tc>
        <w:tc>
          <w:tcPr>
            <w:tcW w:w="3464" w:type="dxa"/>
            <w:tcBorders>
              <w:tl2br w:val="nil"/>
              <w:tr2bl w:val="nil"/>
            </w:tcBorders>
            <w:vAlign w:val="center"/>
          </w:tcPr>
          <w:p>
            <w:pPr>
              <w:pStyle w:val="41"/>
              <w:rPr>
                <w:color w:val="auto"/>
              </w:rPr>
            </w:pPr>
            <w:r>
              <w:rPr>
                <w:rFonts w:hint="eastAsia"/>
                <w:color w:val="auto"/>
              </w:rPr>
              <w:t>氯仿（</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w:t>
            </w:r>
          </w:p>
        </w:tc>
        <w:tc>
          <w:tcPr>
            <w:tcW w:w="3464" w:type="dxa"/>
            <w:tcBorders>
              <w:tl2br w:val="nil"/>
              <w:tr2bl w:val="nil"/>
            </w:tcBorders>
            <w:vAlign w:val="center"/>
          </w:tcPr>
          <w:p>
            <w:pPr>
              <w:pStyle w:val="41"/>
              <w:rPr>
                <w:color w:val="auto"/>
              </w:rPr>
            </w:pPr>
            <w:r>
              <w:rPr>
                <w:rFonts w:hint="eastAsia"/>
                <w:color w:val="auto"/>
              </w:rPr>
              <w:t>氯甲烷（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＜3</w:t>
            </w:r>
          </w:p>
        </w:tc>
        <w:tc>
          <w:tcPr>
            <w:tcW w:w="1464" w:type="dxa"/>
            <w:tcBorders>
              <w:tl2br w:val="nil"/>
              <w:tr2bl w:val="nil"/>
            </w:tcBorders>
            <w:vAlign w:val="center"/>
          </w:tcPr>
          <w:p>
            <w:pPr>
              <w:pStyle w:val="41"/>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w:t>
            </w:r>
          </w:p>
        </w:tc>
        <w:tc>
          <w:tcPr>
            <w:tcW w:w="3464" w:type="dxa"/>
            <w:tcBorders>
              <w:tl2br w:val="nil"/>
              <w:tr2bl w:val="nil"/>
            </w:tcBorders>
            <w:vAlign w:val="center"/>
          </w:tcPr>
          <w:p>
            <w:pPr>
              <w:pStyle w:val="41"/>
              <w:rPr>
                <w:color w:val="auto"/>
              </w:rPr>
            </w:pPr>
            <w:r>
              <w:rPr>
                <w:rFonts w:hint="eastAsia"/>
                <w:color w:val="auto"/>
              </w:rPr>
              <w:t>1，1二氯甲烷（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5</w:t>
            </w:r>
          </w:p>
        </w:tc>
        <w:tc>
          <w:tcPr>
            <w:tcW w:w="3464" w:type="dxa"/>
            <w:tcBorders>
              <w:tl2br w:val="nil"/>
              <w:tr2bl w:val="nil"/>
            </w:tcBorders>
            <w:vAlign w:val="center"/>
          </w:tcPr>
          <w:p>
            <w:pPr>
              <w:pStyle w:val="41"/>
              <w:rPr>
                <w:color w:val="auto"/>
              </w:rPr>
            </w:pPr>
            <w:r>
              <w:rPr>
                <w:rFonts w:hint="eastAsia"/>
                <w:color w:val="auto"/>
              </w:rPr>
              <w:t>1，1二氯乙烯（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6</w:t>
            </w:r>
          </w:p>
        </w:tc>
        <w:tc>
          <w:tcPr>
            <w:tcW w:w="3464" w:type="dxa"/>
            <w:tcBorders>
              <w:tl2br w:val="nil"/>
              <w:tr2bl w:val="nil"/>
            </w:tcBorders>
            <w:vAlign w:val="center"/>
          </w:tcPr>
          <w:p>
            <w:pPr>
              <w:pStyle w:val="41"/>
              <w:rPr>
                <w:color w:val="auto"/>
              </w:rPr>
            </w:pPr>
            <w:r>
              <w:rPr>
                <w:rFonts w:hint="eastAsia"/>
                <w:color w:val="auto"/>
              </w:rPr>
              <w:t>1，2二氯甲烷（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＜3</w:t>
            </w:r>
          </w:p>
        </w:tc>
        <w:tc>
          <w:tcPr>
            <w:tcW w:w="1464" w:type="dxa"/>
            <w:tcBorders>
              <w:tl2br w:val="nil"/>
              <w:tr2bl w:val="nil"/>
            </w:tcBorders>
            <w:vAlign w:val="center"/>
          </w:tcPr>
          <w:p>
            <w:pPr>
              <w:pStyle w:val="41"/>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7</w:t>
            </w:r>
          </w:p>
        </w:tc>
        <w:tc>
          <w:tcPr>
            <w:tcW w:w="3464" w:type="dxa"/>
            <w:tcBorders>
              <w:tl2br w:val="nil"/>
              <w:tr2bl w:val="nil"/>
            </w:tcBorders>
            <w:vAlign w:val="center"/>
          </w:tcPr>
          <w:p>
            <w:pPr>
              <w:pStyle w:val="41"/>
              <w:rPr>
                <w:color w:val="auto"/>
              </w:rPr>
            </w:pPr>
            <w:r>
              <w:rPr>
                <w:rFonts w:hint="eastAsia"/>
                <w:color w:val="auto"/>
              </w:rPr>
              <w:t>顺-1，2二氯乙烯（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＜3</w:t>
            </w:r>
          </w:p>
        </w:tc>
        <w:tc>
          <w:tcPr>
            <w:tcW w:w="1464" w:type="dxa"/>
            <w:tcBorders>
              <w:tl2br w:val="nil"/>
              <w:tr2bl w:val="nil"/>
            </w:tcBorders>
            <w:vAlign w:val="center"/>
          </w:tcPr>
          <w:p>
            <w:pPr>
              <w:jc w:val="center"/>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8</w:t>
            </w:r>
          </w:p>
        </w:tc>
        <w:tc>
          <w:tcPr>
            <w:tcW w:w="3464" w:type="dxa"/>
            <w:tcBorders>
              <w:tl2br w:val="nil"/>
              <w:tr2bl w:val="nil"/>
            </w:tcBorders>
            <w:vAlign w:val="center"/>
          </w:tcPr>
          <w:p>
            <w:pPr>
              <w:pStyle w:val="41"/>
              <w:rPr>
                <w:color w:val="auto"/>
              </w:rPr>
            </w:pPr>
            <w:r>
              <w:rPr>
                <w:rFonts w:hint="eastAsia"/>
                <w:color w:val="auto"/>
              </w:rPr>
              <w:t>反-1，2二氯乙烯（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＜3</w:t>
            </w:r>
          </w:p>
        </w:tc>
        <w:tc>
          <w:tcPr>
            <w:tcW w:w="1464" w:type="dxa"/>
            <w:tcBorders>
              <w:tl2br w:val="nil"/>
              <w:tr2bl w:val="nil"/>
            </w:tcBorders>
            <w:vAlign w:val="center"/>
          </w:tcPr>
          <w:p>
            <w:pPr>
              <w:jc w:val="center"/>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9</w:t>
            </w:r>
          </w:p>
        </w:tc>
        <w:tc>
          <w:tcPr>
            <w:tcW w:w="3464" w:type="dxa"/>
            <w:tcBorders>
              <w:tl2br w:val="nil"/>
              <w:tr2bl w:val="nil"/>
            </w:tcBorders>
            <w:vAlign w:val="center"/>
          </w:tcPr>
          <w:p>
            <w:pPr>
              <w:pStyle w:val="41"/>
              <w:rPr>
                <w:color w:val="auto"/>
              </w:rPr>
            </w:pPr>
            <w:r>
              <w:rPr>
                <w:rFonts w:hint="eastAsia"/>
                <w:color w:val="auto"/>
              </w:rPr>
              <w:t>二氯甲烷（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＜3</w:t>
            </w:r>
          </w:p>
        </w:tc>
        <w:tc>
          <w:tcPr>
            <w:tcW w:w="1464" w:type="dxa"/>
            <w:tcBorders>
              <w:tl2br w:val="nil"/>
              <w:tr2bl w:val="nil"/>
            </w:tcBorders>
            <w:vAlign w:val="center"/>
          </w:tcPr>
          <w:p>
            <w:pPr>
              <w:pStyle w:val="41"/>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10</w:t>
            </w:r>
          </w:p>
        </w:tc>
        <w:tc>
          <w:tcPr>
            <w:tcW w:w="3464" w:type="dxa"/>
            <w:tcBorders>
              <w:tl2br w:val="nil"/>
              <w:tr2bl w:val="nil"/>
            </w:tcBorders>
            <w:vAlign w:val="center"/>
          </w:tcPr>
          <w:p>
            <w:pPr>
              <w:pStyle w:val="41"/>
              <w:rPr>
                <w:color w:val="auto"/>
              </w:rPr>
            </w:pPr>
            <w:r>
              <w:rPr>
                <w:rFonts w:hint="eastAsia"/>
                <w:color w:val="auto"/>
              </w:rPr>
              <w:t>1，2二氯丙烷（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11</w:t>
            </w:r>
          </w:p>
        </w:tc>
        <w:tc>
          <w:tcPr>
            <w:tcW w:w="3464" w:type="dxa"/>
            <w:tcBorders>
              <w:tl2br w:val="nil"/>
              <w:tr2bl w:val="nil"/>
            </w:tcBorders>
            <w:vAlign w:val="center"/>
          </w:tcPr>
          <w:p>
            <w:pPr>
              <w:pStyle w:val="41"/>
              <w:rPr>
                <w:color w:val="auto"/>
              </w:rPr>
            </w:pPr>
            <w:r>
              <w:rPr>
                <w:rFonts w:hint="eastAsia"/>
                <w:color w:val="auto"/>
              </w:rPr>
              <w:t>1，1，1，2四氯乙烷（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＜3</w:t>
            </w:r>
          </w:p>
        </w:tc>
        <w:tc>
          <w:tcPr>
            <w:tcW w:w="1464" w:type="dxa"/>
            <w:tcBorders>
              <w:tl2br w:val="nil"/>
              <w:tr2bl w:val="nil"/>
            </w:tcBorders>
            <w:vAlign w:val="center"/>
          </w:tcPr>
          <w:p>
            <w:pPr>
              <w:jc w:val="center"/>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12</w:t>
            </w:r>
          </w:p>
        </w:tc>
        <w:tc>
          <w:tcPr>
            <w:tcW w:w="3464" w:type="dxa"/>
            <w:tcBorders>
              <w:tl2br w:val="nil"/>
              <w:tr2bl w:val="nil"/>
            </w:tcBorders>
            <w:vAlign w:val="center"/>
          </w:tcPr>
          <w:p>
            <w:pPr>
              <w:pStyle w:val="41"/>
              <w:rPr>
                <w:color w:val="auto"/>
              </w:rPr>
            </w:pPr>
            <w:r>
              <w:rPr>
                <w:rFonts w:hint="eastAsia"/>
                <w:color w:val="auto"/>
              </w:rPr>
              <w:t>1，1，2，2四氯乙烷（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＜3</w:t>
            </w:r>
          </w:p>
        </w:tc>
        <w:tc>
          <w:tcPr>
            <w:tcW w:w="1464" w:type="dxa"/>
            <w:tcBorders>
              <w:tl2br w:val="nil"/>
              <w:tr2bl w:val="nil"/>
            </w:tcBorders>
            <w:vAlign w:val="center"/>
          </w:tcPr>
          <w:p>
            <w:pPr>
              <w:jc w:val="center"/>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13</w:t>
            </w:r>
          </w:p>
        </w:tc>
        <w:tc>
          <w:tcPr>
            <w:tcW w:w="3464" w:type="dxa"/>
            <w:tcBorders>
              <w:tl2br w:val="nil"/>
              <w:tr2bl w:val="nil"/>
            </w:tcBorders>
            <w:vAlign w:val="center"/>
          </w:tcPr>
          <w:p>
            <w:pPr>
              <w:pStyle w:val="41"/>
              <w:rPr>
                <w:color w:val="auto"/>
              </w:rPr>
            </w:pPr>
            <w:r>
              <w:rPr>
                <w:rFonts w:hint="eastAsia"/>
                <w:color w:val="auto"/>
              </w:rPr>
              <w:t>四氯乙烯（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14</w:t>
            </w:r>
          </w:p>
        </w:tc>
        <w:tc>
          <w:tcPr>
            <w:tcW w:w="3464" w:type="dxa"/>
            <w:tcBorders>
              <w:tl2br w:val="nil"/>
              <w:tr2bl w:val="nil"/>
            </w:tcBorders>
            <w:vAlign w:val="center"/>
          </w:tcPr>
          <w:p>
            <w:pPr>
              <w:pStyle w:val="41"/>
              <w:rPr>
                <w:color w:val="auto"/>
              </w:rPr>
            </w:pPr>
            <w:r>
              <w:rPr>
                <w:rFonts w:hint="eastAsia"/>
                <w:color w:val="auto"/>
              </w:rPr>
              <w:t>1，1，1-三氯乙烷（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15</w:t>
            </w:r>
          </w:p>
        </w:tc>
        <w:tc>
          <w:tcPr>
            <w:tcW w:w="3464" w:type="dxa"/>
            <w:tcBorders>
              <w:tl2br w:val="nil"/>
              <w:tr2bl w:val="nil"/>
            </w:tcBorders>
            <w:vAlign w:val="center"/>
          </w:tcPr>
          <w:p>
            <w:pPr>
              <w:pStyle w:val="41"/>
              <w:rPr>
                <w:color w:val="auto"/>
              </w:rPr>
            </w:pPr>
            <w:r>
              <w:rPr>
                <w:rFonts w:hint="eastAsia"/>
                <w:color w:val="auto"/>
              </w:rPr>
              <w:t>1，1，2-三氯乙烷（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16</w:t>
            </w:r>
          </w:p>
        </w:tc>
        <w:tc>
          <w:tcPr>
            <w:tcW w:w="3464" w:type="dxa"/>
            <w:tcBorders>
              <w:tl2br w:val="nil"/>
              <w:tr2bl w:val="nil"/>
            </w:tcBorders>
            <w:vAlign w:val="center"/>
          </w:tcPr>
          <w:p>
            <w:pPr>
              <w:pStyle w:val="41"/>
              <w:rPr>
                <w:color w:val="auto"/>
              </w:rPr>
            </w:pPr>
            <w:r>
              <w:rPr>
                <w:rFonts w:hint="eastAsia"/>
                <w:color w:val="auto"/>
              </w:rPr>
              <w:t>三氯乙烯（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17</w:t>
            </w:r>
          </w:p>
        </w:tc>
        <w:tc>
          <w:tcPr>
            <w:tcW w:w="3464" w:type="dxa"/>
            <w:tcBorders>
              <w:tl2br w:val="nil"/>
              <w:tr2bl w:val="nil"/>
            </w:tcBorders>
            <w:vAlign w:val="center"/>
          </w:tcPr>
          <w:p>
            <w:pPr>
              <w:pStyle w:val="41"/>
              <w:rPr>
                <w:color w:val="auto"/>
              </w:rPr>
            </w:pPr>
            <w:r>
              <w:rPr>
                <w:rFonts w:hint="eastAsia"/>
                <w:color w:val="auto"/>
              </w:rPr>
              <w:t>1，2，3三氯丙烷（</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jc w:val="center"/>
              <w:rPr>
                <w:color w:val="auto"/>
              </w:rPr>
            </w:pPr>
            <w:r>
              <w:rPr>
                <w:rFonts w:hint="eastAsia"/>
                <w:color w:val="auto"/>
              </w:rPr>
              <w:t>＜2</w:t>
            </w:r>
          </w:p>
        </w:tc>
        <w:tc>
          <w:tcPr>
            <w:tcW w:w="1464" w:type="dxa"/>
            <w:tcBorders>
              <w:tl2br w:val="nil"/>
              <w:tr2bl w:val="nil"/>
            </w:tcBorders>
            <w:vAlign w:val="center"/>
          </w:tcPr>
          <w:p>
            <w:pPr>
              <w:jc w:val="center"/>
              <w:rPr>
                <w:color w:val="auto"/>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18</w:t>
            </w:r>
          </w:p>
        </w:tc>
        <w:tc>
          <w:tcPr>
            <w:tcW w:w="3464" w:type="dxa"/>
            <w:tcBorders>
              <w:tl2br w:val="nil"/>
              <w:tr2bl w:val="nil"/>
            </w:tcBorders>
            <w:vAlign w:val="center"/>
          </w:tcPr>
          <w:p>
            <w:pPr>
              <w:pStyle w:val="41"/>
              <w:rPr>
                <w:color w:val="auto"/>
              </w:rPr>
            </w:pPr>
            <w:r>
              <w:rPr>
                <w:rFonts w:hint="eastAsia"/>
                <w:color w:val="auto"/>
              </w:rPr>
              <w:t>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＜3</w:t>
            </w:r>
          </w:p>
        </w:tc>
        <w:tc>
          <w:tcPr>
            <w:tcW w:w="1464" w:type="dxa"/>
            <w:tcBorders>
              <w:tl2br w:val="nil"/>
              <w:tr2bl w:val="nil"/>
            </w:tcBorders>
            <w:vAlign w:val="center"/>
          </w:tcPr>
          <w:p>
            <w:pPr>
              <w:pStyle w:val="41"/>
              <w:rPr>
                <w:color w:val="auto"/>
              </w:rPr>
            </w:pPr>
            <w:r>
              <w:rPr>
                <w:rFonts w:hint="eastAsia"/>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19</w:t>
            </w:r>
          </w:p>
        </w:tc>
        <w:tc>
          <w:tcPr>
            <w:tcW w:w="3464" w:type="dxa"/>
            <w:tcBorders>
              <w:tl2br w:val="nil"/>
              <w:tr2bl w:val="nil"/>
            </w:tcBorders>
            <w:vAlign w:val="center"/>
          </w:tcPr>
          <w:p>
            <w:pPr>
              <w:pStyle w:val="41"/>
              <w:rPr>
                <w:color w:val="auto"/>
              </w:rPr>
            </w:pPr>
            <w:r>
              <w:rPr>
                <w:rFonts w:hint="eastAsia"/>
                <w:color w:val="auto"/>
              </w:rPr>
              <w:t>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＜1.6</w:t>
            </w:r>
          </w:p>
        </w:tc>
        <w:tc>
          <w:tcPr>
            <w:tcW w:w="1464" w:type="dxa"/>
            <w:tcBorders>
              <w:tl2br w:val="nil"/>
              <w:tr2bl w:val="nil"/>
            </w:tcBorders>
            <w:vAlign w:val="center"/>
          </w:tcPr>
          <w:p>
            <w:pPr>
              <w:pStyle w:val="41"/>
              <w:rPr>
                <w:color w:val="auto"/>
              </w:rPr>
            </w:pPr>
            <w:r>
              <w:rPr>
                <w:rFonts w:hint="eastAsia"/>
                <w:color w:val="auto"/>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20</w:t>
            </w:r>
          </w:p>
        </w:tc>
        <w:tc>
          <w:tcPr>
            <w:tcW w:w="3464" w:type="dxa"/>
            <w:tcBorders>
              <w:tl2br w:val="nil"/>
              <w:tr2bl w:val="nil"/>
            </w:tcBorders>
            <w:vAlign w:val="center"/>
          </w:tcPr>
          <w:p>
            <w:pPr>
              <w:pStyle w:val="41"/>
              <w:rPr>
                <w:color w:val="auto"/>
              </w:rPr>
            </w:pPr>
            <w:r>
              <w:rPr>
                <w:rFonts w:hint="eastAsia"/>
                <w:color w:val="auto"/>
              </w:rPr>
              <w:t>氯苯（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＜1.1</w:t>
            </w:r>
          </w:p>
        </w:tc>
        <w:tc>
          <w:tcPr>
            <w:tcW w:w="1464" w:type="dxa"/>
            <w:tcBorders>
              <w:tl2br w:val="nil"/>
              <w:tr2bl w:val="nil"/>
            </w:tcBorders>
            <w:vAlign w:val="center"/>
          </w:tcPr>
          <w:p>
            <w:pPr>
              <w:pStyle w:val="41"/>
              <w:rPr>
                <w:color w:val="auto"/>
              </w:rPr>
            </w:pPr>
            <w:r>
              <w:rPr>
                <w:rFonts w:hint="eastAsia"/>
                <w:color w:val="auto"/>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21</w:t>
            </w:r>
          </w:p>
        </w:tc>
        <w:tc>
          <w:tcPr>
            <w:tcW w:w="3464" w:type="dxa"/>
            <w:tcBorders>
              <w:tl2br w:val="nil"/>
              <w:tr2bl w:val="nil"/>
            </w:tcBorders>
            <w:vAlign w:val="center"/>
          </w:tcPr>
          <w:p>
            <w:pPr>
              <w:pStyle w:val="41"/>
              <w:rPr>
                <w:color w:val="auto"/>
              </w:rPr>
            </w:pPr>
            <w:r>
              <w:rPr>
                <w:rFonts w:hint="eastAsia"/>
                <w:color w:val="auto"/>
              </w:rPr>
              <w:t>1，2-二氯苯（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＜1.0</w:t>
            </w:r>
          </w:p>
        </w:tc>
        <w:tc>
          <w:tcPr>
            <w:tcW w:w="1464" w:type="dxa"/>
            <w:tcBorders>
              <w:tl2br w:val="nil"/>
              <w:tr2bl w:val="nil"/>
            </w:tcBorders>
            <w:vAlign w:val="center"/>
          </w:tcPr>
          <w:p>
            <w:pPr>
              <w:pStyle w:val="41"/>
              <w:rPr>
                <w:color w:val="auto"/>
              </w:rPr>
            </w:pPr>
            <w:r>
              <w:rPr>
                <w:rFonts w:hint="eastAsia"/>
                <w:color w:val="auto"/>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22</w:t>
            </w:r>
          </w:p>
        </w:tc>
        <w:tc>
          <w:tcPr>
            <w:tcW w:w="3464" w:type="dxa"/>
            <w:tcBorders>
              <w:tl2br w:val="nil"/>
              <w:tr2bl w:val="nil"/>
            </w:tcBorders>
            <w:vAlign w:val="center"/>
          </w:tcPr>
          <w:p>
            <w:pPr>
              <w:pStyle w:val="41"/>
              <w:rPr>
                <w:color w:val="auto"/>
              </w:rPr>
            </w:pPr>
            <w:r>
              <w:rPr>
                <w:rFonts w:hint="eastAsia"/>
                <w:color w:val="auto"/>
              </w:rPr>
              <w:t>1，4二氯苯（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＜1.2</w:t>
            </w:r>
          </w:p>
        </w:tc>
        <w:tc>
          <w:tcPr>
            <w:tcW w:w="1464" w:type="dxa"/>
            <w:tcBorders>
              <w:tl2br w:val="nil"/>
              <w:tr2bl w:val="nil"/>
            </w:tcBorders>
            <w:vAlign w:val="center"/>
          </w:tcPr>
          <w:p>
            <w:pPr>
              <w:pStyle w:val="41"/>
              <w:rPr>
                <w:color w:val="auto"/>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23</w:t>
            </w:r>
          </w:p>
        </w:tc>
        <w:tc>
          <w:tcPr>
            <w:tcW w:w="3464" w:type="dxa"/>
            <w:tcBorders>
              <w:tl2br w:val="nil"/>
              <w:tr2bl w:val="nil"/>
            </w:tcBorders>
            <w:vAlign w:val="center"/>
          </w:tcPr>
          <w:p>
            <w:pPr>
              <w:pStyle w:val="41"/>
              <w:rPr>
                <w:color w:val="auto"/>
              </w:rPr>
            </w:pPr>
            <w:r>
              <w:rPr>
                <w:rFonts w:hint="eastAsia"/>
                <w:color w:val="auto"/>
              </w:rPr>
              <w:t>乙苯（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＜1.2</w:t>
            </w:r>
          </w:p>
        </w:tc>
        <w:tc>
          <w:tcPr>
            <w:tcW w:w="1464" w:type="dxa"/>
            <w:tcBorders>
              <w:tl2br w:val="nil"/>
              <w:tr2bl w:val="nil"/>
            </w:tcBorders>
            <w:vAlign w:val="center"/>
          </w:tcPr>
          <w:p>
            <w:pPr>
              <w:pStyle w:val="41"/>
              <w:rPr>
                <w:color w:val="auto"/>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24</w:t>
            </w:r>
          </w:p>
        </w:tc>
        <w:tc>
          <w:tcPr>
            <w:tcW w:w="3464" w:type="dxa"/>
            <w:tcBorders>
              <w:tl2br w:val="nil"/>
              <w:tr2bl w:val="nil"/>
            </w:tcBorders>
            <w:vAlign w:val="center"/>
          </w:tcPr>
          <w:p>
            <w:pPr>
              <w:pStyle w:val="41"/>
              <w:rPr>
                <w:color w:val="auto"/>
              </w:rPr>
            </w:pPr>
            <w:r>
              <w:rPr>
                <w:rFonts w:hint="eastAsia"/>
                <w:color w:val="auto"/>
              </w:rPr>
              <w:t>苯乙烯（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＜1.6</w:t>
            </w:r>
          </w:p>
        </w:tc>
        <w:tc>
          <w:tcPr>
            <w:tcW w:w="1464" w:type="dxa"/>
            <w:tcBorders>
              <w:tl2br w:val="nil"/>
              <w:tr2bl w:val="nil"/>
            </w:tcBorders>
            <w:vAlign w:val="center"/>
          </w:tcPr>
          <w:p>
            <w:pPr>
              <w:pStyle w:val="41"/>
              <w:rPr>
                <w:color w:val="auto"/>
              </w:rPr>
            </w:pPr>
            <w:r>
              <w:rPr>
                <w:rFonts w:hint="eastAsia"/>
                <w:color w:val="auto"/>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25</w:t>
            </w:r>
          </w:p>
        </w:tc>
        <w:tc>
          <w:tcPr>
            <w:tcW w:w="3464" w:type="dxa"/>
            <w:tcBorders>
              <w:tl2br w:val="nil"/>
              <w:tr2bl w:val="nil"/>
            </w:tcBorders>
            <w:vAlign w:val="center"/>
          </w:tcPr>
          <w:p>
            <w:pPr>
              <w:pStyle w:val="41"/>
              <w:rPr>
                <w:color w:val="auto"/>
              </w:rPr>
            </w:pPr>
            <w:r>
              <w:rPr>
                <w:rFonts w:hint="eastAsia"/>
                <w:color w:val="auto"/>
              </w:rPr>
              <w:t>甲苯（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＜2.0</w:t>
            </w:r>
          </w:p>
        </w:tc>
        <w:tc>
          <w:tcPr>
            <w:tcW w:w="1464" w:type="dxa"/>
            <w:tcBorders>
              <w:tl2br w:val="nil"/>
              <w:tr2bl w:val="nil"/>
            </w:tcBorders>
            <w:vAlign w:val="center"/>
          </w:tcPr>
          <w:p>
            <w:pPr>
              <w:pStyle w:val="41"/>
              <w:rPr>
                <w:color w:val="auto"/>
              </w:rPr>
            </w:pPr>
            <w:r>
              <w:rPr>
                <w:rFonts w:hint="eastAsia"/>
                <w:color w:val="auto"/>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26</w:t>
            </w:r>
          </w:p>
        </w:tc>
        <w:tc>
          <w:tcPr>
            <w:tcW w:w="3464" w:type="dxa"/>
            <w:tcBorders>
              <w:tl2br w:val="nil"/>
              <w:tr2bl w:val="nil"/>
            </w:tcBorders>
            <w:vAlign w:val="center"/>
          </w:tcPr>
          <w:p>
            <w:pPr>
              <w:pStyle w:val="41"/>
              <w:rPr>
                <w:color w:val="auto"/>
              </w:rPr>
            </w:pPr>
            <w:r>
              <w:rPr>
                <w:rFonts w:hint="eastAsia"/>
                <w:color w:val="auto"/>
              </w:rPr>
              <w:t>间，对二甲苯（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＜3.6</w:t>
            </w:r>
          </w:p>
        </w:tc>
        <w:tc>
          <w:tcPr>
            <w:tcW w:w="1464" w:type="dxa"/>
            <w:tcBorders>
              <w:tl2br w:val="nil"/>
              <w:tr2bl w:val="nil"/>
            </w:tcBorders>
            <w:vAlign w:val="center"/>
          </w:tcPr>
          <w:p>
            <w:pPr>
              <w:pStyle w:val="41"/>
              <w:rPr>
                <w:color w:val="auto"/>
              </w:rPr>
            </w:pPr>
            <w:r>
              <w:rPr>
                <w:rFonts w:hint="eastAsia"/>
                <w:color w:val="auto"/>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27</w:t>
            </w:r>
          </w:p>
        </w:tc>
        <w:tc>
          <w:tcPr>
            <w:tcW w:w="3464" w:type="dxa"/>
            <w:tcBorders>
              <w:tl2br w:val="nil"/>
              <w:tr2bl w:val="nil"/>
            </w:tcBorders>
            <w:vAlign w:val="center"/>
          </w:tcPr>
          <w:p>
            <w:pPr>
              <w:pStyle w:val="41"/>
              <w:rPr>
                <w:color w:val="auto"/>
              </w:rPr>
            </w:pPr>
            <w:r>
              <w:rPr>
                <w:rFonts w:hint="eastAsia"/>
                <w:color w:val="auto"/>
              </w:rPr>
              <w:t>邻二甲苯（</w:t>
            </w:r>
            <w:r>
              <w:rPr>
                <w:color w:val="auto"/>
                <w:szCs w:val="21"/>
              </w:rPr>
              <w:t>μg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＜1.3</w:t>
            </w:r>
          </w:p>
        </w:tc>
        <w:tc>
          <w:tcPr>
            <w:tcW w:w="1464" w:type="dxa"/>
            <w:tcBorders>
              <w:tl2br w:val="nil"/>
              <w:tr2bl w:val="nil"/>
            </w:tcBorders>
            <w:vAlign w:val="center"/>
          </w:tcPr>
          <w:p>
            <w:pPr>
              <w:pStyle w:val="41"/>
              <w:rPr>
                <w:color w:val="auto"/>
              </w:rPr>
            </w:pPr>
            <w:r>
              <w:rPr>
                <w:rFonts w:hint="eastAsia"/>
                <w:color w:val="auto"/>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28</w:t>
            </w:r>
          </w:p>
        </w:tc>
        <w:tc>
          <w:tcPr>
            <w:tcW w:w="3464" w:type="dxa"/>
            <w:tcBorders>
              <w:tl2br w:val="nil"/>
              <w:tr2bl w:val="nil"/>
            </w:tcBorders>
            <w:vAlign w:val="center"/>
          </w:tcPr>
          <w:p>
            <w:pPr>
              <w:pStyle w:val="41"/>
              <w:rPr>
                <w:color w:val="auto"/>
              </w:rPr>
            </w:pPr>
            <w:r>
              <w:rPr>
                <w:rFonts w:hint="eastAsia"/>
                <w:color w:val="auto"/>
              </w:rPr>
              <w:t>硝基苯（m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未检出</w:t>
            </w:r>
          </w:p>
        </w:tc>
        <w:tc>
          <w:tcPr>
            <w:tcW w:w="1464" w:type="dxa"/>
            <w:tcBorders>
              <w:tl2br w:val="nil"/>
              <w:tr2bl w:val="nil"/>
            </w:tcBorders>
            <w:vAlign w:val="center"/>
          </w:tcPr>
          <w:p>
            <w:pPr>
              <w:pStyle w:val="41"/>
              <w:rPr>
                <w:color w:val="auto"/>
              </w:rPr>
            </w:pPr>
            <w:r>
              <w:rPr>
                <w:rFonts w:hint="eastAsia"/>
                <w:color w:val="auto"/>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29</w:t>
            </w:r>
          </w:p>
        </w:tc>
        <w:tc>
          <w:tcPr>
            <w:tcW w:w="3464" w:type="dxa"/>
            <w:tcBorders>
              <w:tl2br w:val="nil"/>
              <w:tr2bl w:val="nil"/>
            </w:tcBorders>
            <w:vAlign w:val="center"/>
          </w:tcPr>
          <w:p>
            <w:pPr>
              <w:pStyle w:val="41"/>
              <w:rPr>
                <w:color w:val="auto"/>
              </w:rPr>
            </w:pPr>
            <w:r>
              <w:rPr>
                <w:rFonts w:hint="eastAsia"/>
                <w:color w:val="auto"/>
              </w:rPr>
              <w:t>苯胺（m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未检出</w:t>
            </w:r>
          </w:p>
        </w:tc>
        <w:tc>
          <w:tcPr>
            <w:tcW w:w="1464" w:type="dxa"/>
            <w:tcBorders>
              <w:tl2br w:val="nil"/>
              <w:tr2bl w:val="nil"/>
            </w:tcBorders>
            <w:vAlign w:val="center"/>
          </w:tcPr>
          <w:p>
            <w:pPr>
              <w:pStyle w:val="41"/>
              <w:rPr>
                <w:color w:val="auto"/>
              </w:rPr>
            </w:pPr>
            <w:r>
              <w:rPr>
                <w:rFonts w:hint="eastAsia"/>
                <w:color w:val="auto"/>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30</w:t>
            </w:r>
          </w:p>
        </w:tc>
        <w:tc>
          <w:tcPr>
            <w:tcW w:w="3464" w:type="dxa"/>
            <w:tcBorders>
              <w:tl2br w:val="nil"/>
              <w:tr2bl w:val="nil"/>
            </w:tcBorders>
            <w:vAlign w:val="center"/>
          </w:tcPr>
          <w:p>
            <w:pPr>
              <w:pStyle w:val="41"/>
              <w:rPr>
                <w:color w:val="auto"/>
              </w:rPr>
            </w:pPr>
            <w:r>
              <w:rPr>
                <w:rFonts w:hint="eastAsia"/>
                <w:color w:val="auto"/>
              </w:rPr>
              <w:t>2-氯酚（m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＜0.04</w:t>
            </w:r>
          </w:p>
        </w:tc>
        <w:tc>
          <w:tcPr>
            <w:tcW w:w="1464" w:type="dxa"/>
            <w:tcBorders>
              <w:tl2br w:val="nil"/>
              <w:tr2bl w:val="nil"/>
            </w:tcBorders>
            <w:vAlign w:val="center"/>
          </w:tcPr>
          <w:p>
            <w:pPr>
              <w:pStyle w:val="41"/>
              <w:rPr>
                <w:color w:val="auto"/>
              </w:rPr>
            </w:pPr>
            <w:r>
              <w:rPr>
                <w:rFonts w:hint="eastAsia"/>
                <w:color w:val="auto"/>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31</w:t>
            </w:r>
          </w:p>
        </w:tc>
        <w:tc>
          <w:tcPr>
            <w:tcW w:w="3464" w:type="dxa"/>
            <w:tcBorders>
              <w:tl2br w:val="nil"/>
              <w:tr2bl w:val="nil"/>
            </w:tcBorders>
            <w:vAlign w:val="center"/>
          </w:tcPr>
          <w:p>
            <w:pPr>
              <w:pStyle w:val="41"/>
              <w:rPr>
                <w:color w:val="auto"/>
              </w:rPr>
            </w:pPr>
            <w:r>
              <w:rPr>
                <w:rFonts w:hint="eastAsia"/>
                <w:color w:val="auto"/>
              </w:rPr>
              <w:t>苯并[a]蒽（m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＜0.12</w:t>
            </w:r>
          </w:p>
        </w:tc>
        <w:tc>
          <w:tcPr>
            <w:tcW w:w="1464" w:type="dxa"/>
            <w:tcBorders>
              <w:tl2br w:val="nil"/>
              <w:tr2bl w:val="nil"/>
            </w:tcBorders>
            <w:vAlign w:val="center"/>
          </w:tcPr>
          <w:p>
            <w:pPr>
              <w:pStyle w:val="41"/>
              <w:rPr>
                <w:color w:val="auto"/>
              </w:rPr>
            </w:pPr>
            <w:r>
              <w:rPr>
                <w:rFonts w:hint="eastAsia"/>
                <w:color w:val="auto"/>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32</w:t>
            </w:r>
          </w:p>
        </w:tc>
        <w:tc>
          <w:tcPr>
            <w:tcW w:w="3464" w:type="dxa"/>
            <w:tcBorders>
              <w:tl2br w:val="nil"/>
              <w:tr2bl w:val="nil"/>
            </w:tcBorders>
            <w:vAlign w:val="center"/>
          </w:tcPr>
          <w:p>
            <w:pPr>
              <w:pStyle w:val="41"/>
              <w:rPr>
                <w:color w:val="auto"/>
              </w:rPr>
            </w:pPr>
            <w:r>
              <w:rPr>
                <w:rFonts w:hint="eastAsia"/>
                <w:color w:val="auto"/>
              </w:rPr>
              <w:t>苯并[a]芘（m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＜0.17</w:t>
            </w:r>
          </w:p>
        </w:tc>
        <w:tc>
          <w:tcPr>
            <w:tcW w:w="1464" w:type="dxa"/>
            <w:tcBorders>
              <w:tl2br w:val="nil"/>
              <w:tr2bl w:val="nil"/>
            </w:tcBorders>
            <w:vAlign w:val="center"/>
          </w:tcPr>
          <w:p>
            <w:pPr>
              <w:pStyle w:val="41"/>
              <w:rPr>
                <w:color w:val="auto"/>
              </w:rPr>
            </w:pPr>
            <w:r>
              <w:rPr>
                <w:rFonts w:hint="eastAsia"/>
                <w:color w:val="auto"/>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33</w:t>
            </w:r>
          </w:p>
        </w:tc>
        <w:tc>
          <w:tcPr>
            <w:tcW w:w="3464" w:type="dxa"/>
            <w:tcBorders>
              <w:tl2br w:val="nil"/>
              <w:tr2bl w:val="nil"/>
            </w:tcBorders>
            <w:vAlign w:val="center"/>
          </w:tcPr>
          <w:p>
            <w:pPr>
              <w:pStyle w:val="41"/>
              <w:rPr>
                <w:color w:val="auto"/>
              </w:rPr>
            </w:pPr>
            <w:r>
              <w:rPr>
                <w:rFonts w:hint="eastAsia"/>
                <w:color w:val="auto"/>
              </w:rPr>
              <w:t>苯并[b]荧蒽（m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＜0.17</w:t>
            </w:r>
          </w:p>
        </w:tc>
        <w:tc>
          <w:tcPr>
            <w:tcW w:w="1464" w:type="dxa"/>
            <w:tcBorders>
              <w:tl2br w:val="nil"/>
              <w:tr2bl w:val="nil"/>
            </w:tcBorders>
            <w:vAlign w:val="center"/>
          </w:tcPr>
          <w:p>
            <w:pPr>
              <w:pStyle w:val="41"/>
              <w:rPr>
                <w:color w:val="auto"/>
              </w:rPr>
            </w:pPr>
            <w:r>
              <w:rPr>
                <w:rFonts w:hint="eastAsia"/>
                <w:color w:val="auto"/>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34</w:t>
            </w:r>
          </w:p>
        </w:tc>
        <w:tc>
          <w:tcPr>
            <w:tcW w:w="3464" w:type="dxa"/>
            <w:tcBorders>
              <w:tl2br w:val="nil"/>
              <w:tr2bl w:val="nil"/>
            </w:tcBorders>
            <w:vAlign w:val="center"/>
          </w:tcPr>
          <w:p>
            <w:pPr>
              <w:pStyle w:val="41"/>
              <w:rPr>
                <w:color w:val="auto"/>
              </w:rPr>
            </w:pPr>
            <w:r>
              <w:rPr>
                <w:rFonts w:hint="eastAsia"/>
                <w:color w:val="auto"/>
              </w:rPr>
              <w:t>苯并[k]荧蒽（m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＜0.11</w:t>
            </w:r>
          </w:p>
        </w:tc>
        <w:tc>
          <w:tcPr>
            <w:tcW w:w="1464" w:type="dxa"/>
            <w:tcBorders>
              <w:tl2br w:val="nil"/>
              <w:tr2bl w:val="nil"/>
            </w:tcBorders>
            <w:vAlign w:val="center"/>
          </w:tcPr>
          <w:p>
            <w:pPr>
              <w:pStyle w:val="41"/>
              <w:rPr>
                <w:color w:val="auto"/>
              </w:rPr>
            </w:pPr>
            <w:r>
              <w:rPr>
                <w:rFonts w:hint="eastAsia"/>
                <w:color w:val="auto"/>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35</w:t>
            </w:r>
          </w:p>
        </w:tc>
        <w:tc>
          <w:tcPr>
            <w:tcW w:w="3464" w:type="dxa"/>
            <w:tcBorders>
              <w:tl2br w:val="nil"/>
              <w:tr2bl w:val="nil"/>
            </w:tcBorders>
            <w:vAlign w:val="center"/>
          </w:tcPr>
          <w:p>
            <w:pPr>
              <w:pStyle w:val="41"/>
              <w:rPr>
                <w:color w:val="auto"/>
              </w:rPr>
            </w:pPr>
            <w:r>
              <w:rPr>
                <w:rFonts w:hint="eastAsia"/>
                <w:color w:val="auto"/>
              </w:rPr>
              <w:t>䓛（m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＜0.14</w:t>
            </w:r>
          </w:p>
        </w:tc>
        <w:tc>
          <w:tcPr>
            <w:tcW w:w="1464" w:type="dxa"/>
            <w:tcBorders>
              <w:tl2br w:val="nil"/>
              <w:tr2bl w:val="nil"/>
            </w:tcBorders>
            <w:vAlign w:val="center"/>
          </w:tcPr>
          <w:p>
            <w:pPr>
              <w:pStyle w:val="41"/>
              <w:rPr>
                <w:color w:val="auto"/>
              </w:rPr>
            </w:pPr>
            <w:r>
              <w:rPr>
                <w:rFonts w:hint="eastAsia"/>
                <w:color w:val="auto"/>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36</w:t>
            </w:r>
          </w:p>
        </w:tc>
        <w:tc>
          <w:tcPr>
            <w:tcW w:w="3464" w:type="dxa"/>
            <w:tcBorders>
              <w:tl2br w:val="nil"/>
              <w:tr2bl w:val="nil"/>
            </w:tcBorders>
            <w:vAlign w:val="center"/>
          </w:tcPr>
          <w:p>
            <w:pPr>
              <w:pStyle w:val="41"/>
              <w:rPr>
                <w:color w:val="auto"/>
              </w:rPr>
            </w:pPr>
            <w:r>
              <w:rPr>
                <w:rFonts w:hint="eastAsia"/>
                <w:color w:val="auto"/>
              </w:rPr>
              <w:t>二苯并[a,h]蒽（m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＜0.13</w:t>
            </w:r>
          </w:p>
        </w:tc>
        <w:tc>
          <w:tcPr>
            <w:tcW w:w="1464" w:type="dxa"/>
            <w:tcBorders>
              <w:tl2br w:val="nil"/>
              <w:tr2bl w:val="nil"/>
            </w:tcBorders>
            <w:vAlign w:val="center"/>
          </w:tcPr>
          <w:p>
            <w:pPr>
              <w:pStyle w:val="41"/>
              <w:rPr>
                <w:color w:val="auto"/>
              </w:rPr>
            </w:pPr>
            <w:r>
              <w:rPr>
                <w:rFonts w:hint="eastAsia"/>
                <w:color w:val="auto"/>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37</w:t>
            </w:r>
          </w:p>
        </w:tc>
        <w:tc>
          <w:tcPr>
            <w:tcW w:w="3464" w:type="dxa"/>
            <w:tcBorders>
              <w:tl2br w:val="nil"/>
              <w:tr2bl w:val="nil"/>
            </w:tcBorders>
            <w:vAlign w:val="center"/>
          </w:tcPr>
          <w:p>
            <w:pPr>
              <w:pStyle w:val="41"/>
              <w:rPr>
                <w:color w:val="auto"/>
              </w:rPr>
            </w:pPr>
            <w:r>
              <w:rPr>
                <w:rFonts w:hint="eastAsia"/>
                <w:color w:val="auto"/>
              </w:rPr>
              <w:t>茚并[1,2,3-cd]芘（m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＜0.13</w:t>
            </w:r>
          </w:p>
        </w:tc>
        <w:tc>
          <w:tcPr>
            <w:tcW w:w="1464" w:type="dxa"/>
            <w:tcBorders>
              <w:tl2br w:val="nil"/>
              <w:tr2bl w:val="nil"/>
            </w:tcBorders>
            <w:vAlign w:val="center"/>
          </w:tcPr>
          <w:p>
            <w:pPr>
              <w:pStyle w:val="41"/>
              <w:rPr>
                <w:color w:val="auto"/>
              </w:rPr>
            </w:pPr>
            <w:r>
              <w:rPr>
                <w:rFonts w:hint="eastAsia"/>
                <w:color w:val="auto"/>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38</w:t>
            </w:r>
          </w:p>
        </w:tc>
        <w:tc>
          <w:tcPr>
            <w:tcW w:w="3464" w:type="dxa"/>
            <w:tcBorders>
              <w:tl2br w:val="nil"/>
              <w:tr2bl w:val="nil"/>
            </w:tcBorders>
            <w:vAlign w:val="center"/>
          </w:tcPr>
          <w:p>
            <w:pPr>
              <w:pStyle w:val="41"/>
              <w:rPr>
                <w:color w:val="auto"/>
              </w:rPr>
            </w:pPr>
            <w:r>
              <w:rPr>
                <w:rFonts w:hint="eastAsia"/>
                <w:color w:val="auto"/>
              </w:rPr>
              <w:t>萘（m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＜0.09</w:t>
            </w:r>
          </w:p>
        </w:tc>
        <w:tc>
          <w:tcPr>
            <w:tcW w:w="1464" w:type="dxa"/>
            <w:tcBorders>
              <w:tl2br w:val="nil"/>
              <w:tr2bl w:val="nil"/>
            </w:tcBorders>
            <w:vAlign w:val="center"/>
          </w:tcPr>
          <w:p>
            <w:pPr>
              <w:pStyle w:val="41"/>
              <w:rPr>
                <w:color w:val="auto"/>
              </w:rPr>
            </w:pPr>
            <w:r>
              <w:rPr>
                <w:rFonts w:hint="eastAsia"/>
                <w:color w:val="auto"/>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39</w:t>
            </w:r>
          </w:p>
        </w:tc>
        <w:tc>
          <w:tcPr>
            <w:tcW w:w="3464" w:type="dxa"/>
            <w:tcBorders>
              <w:tl2br w:val="nil"/>
              <w:tr2bl w:val="nil"/>
            </w:tcBorders>
            <w:vAlign w:val="center"/>
          </w:tcPr>
          <w:p>
            <w:pPr>
              <w:pStyle w:val="41"/>
              <w:rPr>
                <w:color w:val="auto"/>
              </w:rPr>
            </w:pPr>
            <w:r>
              <w:rPr>
                <w:rFonts w:hint="eastAsia"/>
                <w:color w:val="auto"/>
              </w:rPr>
              <w:t>铬（六价）（m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0.272</w:t>
            </w:r>
          </w:p>
        </w:tc>
        <w:tc>
          <w:tcPr>
            <w:tcW w:w="1464" w:type="dxa"/>
            <w:tcBorders>
              <w:tl2br w:val="nil"/>
              <w:tr2bl w:val="nil"/>
            </w:tcBorders>
            <w:vAlign w:val="center"/>
          </w:tcPr>
          <w:p>
            <w:pPr>
              <w:pStyle w:val="41"/>
              <w:rPr>
                <w:color w:val="auto"/>
              </w:rPr>
            </w:pPr>
            <w:r>
              <w:rPr>
                <w:rFonts w:hint="eastAsia"/>
                <w:color w:val="auto"/>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40</w:t>
            </w:r>
          </w:p>
        </w:tc>
        <w:tc>
          <w:tcPr>
            <w:tcW w:w="3464" w:type="dxa"/>
            <w:tcBorders>
              <w:tl2br w:val="nil"/>
              <w:tr2bl w:val="nil"/>
            </w:tcBorders>
            <w:vAlign w:val="center"/>
          </w:tcPr>
          <w:p>
            <w:pPr>
              <w:pStyle w:val="41"/>
              <w:rPr>
                <w:rFonts w:hint="eastAsia" w:eastAsia="宋体"/>
                <w:color w:val="auto"/>
                <w:lang w:eastAsia="zh-CN"/>
              </w:rPr>
            </w:pPr>
            <w:r>
              <w:rPr>
                <w:rFonts w:hint="eastAsia"/>
                <w:color w:val="auto"/>
              </w:rPr>
              <w:t>pH</w:t>
            </w:r>
            <w:r>
              <w:rPr>
                <w:rFonts w:hint="eastAsia"/>
                <w:color w:val="auto"/>
                <w:lang w:eastAsia="zh-CN"/>
              </w:rPr>
              <w:t>（无量纲）</w:t>
            </w:r>
          </w:p>
        </w:tc>
        <w:tc>
          <w:tcPr>
            <w:tcW w:w="1473" w:type="dxa"/>
            <w:tcBorders>
              <w:tl2br w:val="nil"/>
              <w:tr2bl w:val="nil"/>
            </w:tcBorders>
            <w:vAlign w:val="center"/>
          </w:tcPr>
          <w:p>
            <w:pPr>
              <w:pStyle w:val="41"/>
              <w:rPr>
                <w:color w:val="auto"/>
              </w:rPr>
            </w:pPr>
            <w:r>
              <w:rPr>
                <w:rFonts w:hint="eastAsia"/>
                <w:color w:val="auto"/>
              </w:rPr>
              <w:t>7.75</w:t>
            </w:r>
          </w:p>
        </w:tc>
        <w:tc>
          <w:tcPr>
            <w:tcW w:w="1464" w:type="dxa"/>
            <w:tcBorders>
              <w:tl2br w:val="nil"/>
              <w:tr2bl w:val="nil"/>
            </w:tcBorders>
            <w:vAlign w:val="center"/>
          </w:tcPr>
          <w:p>
            <w:pPr>
              <w:pStyle w:val="41"/>
              <w:rPr>
                <w:color w:val="auto"/>
              </w:rPr>
            </w:pPr>
            <w:r>
              <w:rPr>
                <w:rFonts w:hint="eastAsia"/>
                <w:color w:val="auto"/>
              </w:rPr>
              <w:t>6.53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41</w:t>
            </w:r>
          </w:p>
        </w:tc>
        <w:tc>
          <w:tcPr>
            <w:tcW w:w="3464" w:type="dxa"/>
            <w:tcBorders>
              <w:tl2br w:val="nil"/>
              <w:tr2bl w:val="nil"/>
            </w:tcBorders>
            <w:vAlign w:val="center"/>
          </w:tcPr>
          <w:p>
            <w:pPr>
              <w:pStyle w:val="41"/>
              <w:rPr>
                <w:color w:val="auto"/>
              </w:rPr>
            </w:pPr>
            <w:r>
              <w:rPr>
                <w:rFonts w:hint="eastAsia"/>
                <w:color w:val="auto"/>
              </w:rPr>
              <w:t>镍（m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5</w:t>
            </w:r>
          </w:p>
        </w:tc>
        <w:tc>
          <w:tcPr>
            <w:tcW w:w="1464" w:type="dxa"/>
            <w:tcBorders>
              <w:tl2br w:val="nil"/>
              <w:tr2bl w:val="nil"/>
            </w:tcBorders>
            <w:vAlign w:val="center"/>
          </w:tcPr>
          <w:p>
            <w:pPr>
              <w:pStyle w:val="41"/>
              <w:rPr>
                <w:color w:val="auto"/>
              </w:rPr>
            </w:pPr>
            <w:r>
              <w:rPr>
                <w:rFonts w:hint="eastAsia"/>
                <w:color w:val="auto"/>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42</w:t>
            </w:r>
          </w:p>
        </w:tc>
        <w:tc>
          <w:tcPr>
            <w:tcW w:w="3464" w:type="dxa"/>
            <w:tcBorders>
              <w:tl2br w:val="nil"/>
              <w:tr2bl w:val="nil"/>
            </w:tcBorders>
            <w:vAlign w:val="center"/>
          </w:tcPr>
          <w:p>
            <w:pPr>
              <w:pStyle w:val="41"/>
              <w:rPr>
                <w:color w:val="auto"/>
              </w:rPr>
            </w:pPr>
            <w:r>
              <w:rPr>
                <w:rFonts w:hint="eastAsia"/>
                <w:color w:val="auto"/>
              </w:rPr>
              <w:t>铜（m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6.7</w:t>
            </w:r>
          </w:p>
        </w:tc>
        <w:tc>
          <w:tcPr>
            <w:tcW w:w="1464" w:type="dxa"/>
            <w:tcBorders>
              <w:tl2br w:val="nil"/>
              <w:tr2bl w:val="nil"/>
            </w:tcBorders>
            <w:vAlign w:val="center"/>
          </w:tcPr>
          <w:p>
            <w:pPr>
              <w:pStyle w:val="41"/>
              <w:rPr>
                <w:color w:val="auto"/>
              </w:rPr>
            </w:pPr>
            <w:r>
              <w:rPr>
                <w:rFonts w:hint="eastAsia"/>
                <w:color w:val="auto"/>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43</w:t>
            </w:r>
          </w:p>
        </w:tc>
        <w:tc>
          <w:tcPr>
            <w:tcW w:w="3464" w:type="dxa"/>
            <w:tcBorders>
              <w:tl2br w:val="nil"/>
              <w:tr2bl w:val="nil"/>
            </w:tcBorders>
            <w:vAlign w:val="center"/>
          </w:tcPr>
          <w:p>
            <w:pPr>
              <w:pStyle w:val="41"/>
              <w:rPr>
                <w:color w:val="auto"/>
              </w:rPr>
            </w:pPr>
            <w:r>
              <w:rPr>
                <w:rFonts w:hint="eastAsia"/>
                <w:color w:val="auto"/>
              </w:rPr>
              <w:t>砷（m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4.1</w:t>
            </w:r>
          </w:p>
        </w:tc>
        <w:tc>
          <w:tcPr>
            <w:tcW w:w="1464" w:type="dxa"/>
            <w:tcBorders>
              <w:tl2br w:val="nil"/>
              <w:tr2bl w:val="nil"/>
            </w:tcBorders>
            <w:vAlign w:val="center"/>
          </w:tcPr>
          <w:p>
            <w:pPr>
              <w:pStyle w:val="41"/>
              <w:rPr>
                <w:color w:val="auto"/>
              </w:rPr>
            </w:pPr>
            <w:r>
              <w:rPr>
                <w:rFonts w:hint="eastAsia"/>
                <w:color w:val="auto"/>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44</w:t>
            </w:r>
          </w:p>
        </w:tc>
        <w:tc>
          <w:tcPr>
            <w:tcW w:w="3464" w:type="dxa"/>
            <w:tcBorders>
              <w:tl2br w:val="nil"/>
              <w:tr2bl w:val="nil"/>
            </w:tcBorders>
            <w:vAlign w:val="center"/>
          </w:tcPr>
          <w:p>
            <w:pPr>
              <w:pStyle w:val="41"/>
              <w:rPr>
                <w:color w:val="auto"/>
              </w:rPr>
            </w:pPr>
            <w:r>
              <w:rPr>
                <w:rFonts w:hint="eastAsia"/>
                <w:color w:val="auto"/>
              </w:rPr>
              <w:t>镉（m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0.18</w:t>
            </w:r>
          </w:p>
        </w:tc>
        <w:tc>
          <w:tcPr>
            <w:tcW w:w="1464" w:type="dxa"/>
            <w:tcBorders>
              <w:tl2br w:val="nil"/>
              <w:tr2bl w:val="nil"/>
            </w:tcBorders>
            <w:vAlign w:val="center"/>
          </w:tcPr>
          <w:p>
            <w:pPr>
              <w:pStyle w:val="41"/>
              <w:rPr>
                <w:color w:val="auto"/>
              </w:rPr>
            </w:pPr>
            <w:r>
              <w:rPr>
                <w:rFonts w:hint="eastAsia"/>
                <w:color w:val="auto"/>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45</w:t>
            </w:r>
          </w:p>
        </w:tc>
        <w:tc>
          <w:tcPr>
            <w:tcW w:w="3464" w:type="dxa"/>
            <w:tcBorders>
              <w:tl2br w:val="nil"/>
              <w:tr2bl w:val="nil"/>
            </w:tcBorders>
            <w:vAlign w:val="center"/>
          </w:tcPr>
          <w:p>
            <w:pPr>
              <w:pStyle w:val="41"/>
              <w:rPr>
                <w:color w:val="auto"/>
              </w:rPr>
            </w:pPr>
            <w:r>
              <w:rPr>
                <w:rFonts w:hint="eastAsia"/>
                <w:color w:val="auto"/>
              </w:rPr>
              <w:t>铅（m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19</w:t>
            </w:r>
          </w:p>
        </w:tc>
        <w:tc>
          <w:tcPr>
            <w:tcW w:w="1464" w:type="dxa"/>
            <w:tcBorders>
              <w:tl2br w:val="nil"/>
              <w:tr2bl w:val="nil"/>
            </w:tcBorders>
            <w:vAlign w:val="center"/>
          </w:tcPr>
          <w:p>
            <w:pPr>
              <w:pStyle w:val="41"/>
              <w:rPr>
                <w:color w:val="auto"/>
              </w:rPr>
            </w:pPr>
            <w:r>
              <w:rPr>
                <w:rFonts w:hint="eastAsia"/>
                <w:color w:val="auto"/>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32" w:type="dxa"/>
            <w:vMerge w:val="continue"/>
            <w:tcBorders>
              <w:tl2br w:val="nil"/>
              <w:tr2bl w:val="nil"/>
            </w:tcBorders>
            <w:vAlign w:val="center"/>
          </w:tcPr>
          <w:p>
            <w:pPr>
              <w:pStyle w:val="41"/>
              <w:rPr>
                <w:color w:val="auto"/>
              </w:rPr>
            </w:pPr>
          </w:p>
        </w:tc>
        <w:tc>
          <w:tcPr>
            <w:tcW w:w="1404" w:type="dxa"/>
            <w:tcBorders>
              <w:tl2br w:val="nil"/>
              <w:tr2bl w:val="nil"/>
            </w:tcBorders>
            <w:vAlign w:val="center"/>
          </w:tcPr>
          <w:p>
            <w:pPr>
              <w:pStyle w:val="41"/>
              <w:rPr>
                <w:color w:val="auto"/>
              </w:rPr>
            </w:pPr>
            <w:r>
              <w:rPr>
                <w:rFonts w:hint="eastAsia"/>
                <w:color w:val="auto"/>
              </w:rPr>
              <w:t>46</w:t>
            </w:r>
          </w:p>
        </w:tc>
        <w:tc>
          <w:tcPr>
            <w:tcW w:w="3464" w:type="dxa"/>
            <w:tcBorders>
              <w:tl2br w:val="nil"/>
              <w:tr2bl w:val="nil"/>
            </w:tcBorders>
            <w:vAlign w:val="center"/>
          </w:tcPr>
          <w:p>
            <w:pPr>
              <w:pStyle w:val="41"/>
              <w:rPr>
                <w:color w:val="auto"/>
              </w:rPr>
            </w:pPr>
            <w:r>
              <w:rPr>
                <w:rFonts w:hint="eastAsia"/>
                <w:color w:val="auto"/>
              </w:rPr>
              <w:t>汞（m</w:t>
            </w:r>
            <w:r>
              <w:rPr>
                <w:color w:val="auto"/>
                <w:szCs w:val="21"/>
              </w:rPr>
              <w:t>g</w:t>
            </w:r>
            <w:r>
              <w:rPr>
                <w:rFonts w:hint="eastAsia"/>
                <w:color w:val="auto"/>
                <w:szCs w:val="21"/>
              </w:rPr>
              <w:t>/kg</w:t>
            </w:r>
            <w:r>
              <w:rPr>
                <w:rFonts w:hint="eastAsia"/>
                <w:color w:val="auto"/>
              </w:rPr>
              <w:t>）</w:t>
            </w:r>
          </w:p>
        </w:tc>
        <w:tc>
          <w:tcPr>
            <w:tcW w:w="1473" w:type="dxa"/>
            <w:tcBorders>
              <w:tl2br w:val="nil"/>
              <w:tr2bl w:val="nil"/>
            </w:tcBorders>
            <w:vAlign w:val="center"/>
          </w:tcPr>
          <w:p>
            <w:pPr>
              <w:pStyle w:val="41"/>
              <w:rPr>
                <w:color w:val="auto"/>
              </w:rPr>
            </w:pPr>
            <w:r>
              <w:rPr>
                <w:rFonts w:hint="eastAsia"/>
                <w:color w:val="auto"/>
              </w:rPr>
              <w:t>0.013</w:t>
            </w:r>
          </w:p>
        </w:tc>
        <w:tc>
          <w:tcPr>
            <w:tcW w:w="1464" w:type="dxa"/>
            <w:tcBorders>
              <w:tl2br w:val="nil"/>
              <w:tr2bl w:val="nil"/>
            </w:tcBorders>
            <w:vAlign w:val="center"/>
          </w:tcPr>
          <w:p>
            <w:pPr>
              <w:pStyle w:val="41"/>
              <w:rPr>
                <w:color w:val="auto"/>
              </w:rPr>
            </w:pPr>
            <w:r>
              <w:rPr>
                <w:rFonts w:hint="eastAsia"/>
                <w:color w:val="auto"/>
              </w:rPr>
              <w:t>0.03</w:t>
            </w:r>
          </w:p>
        </w:tc>
      </w:tr>
    </w:tbl>
    <w:p>
      <w:pPr>
        <w:pStyle w:val="64"/>
        <w:spacing w:line="360" w:lineRule="auto"/>
        <w:rPr>
          <w:rFonts w:cs="Times New Roman"/>
          <w:snapToGrid w:val="0"/>
          <w:color w:val="auto"/>
        </w:rPr>
      </w:pPr>
      <w:r>
        <w:rPr>
          <w:rFonts w:hint="eastAsia" w:cs="Times New Roman"/>
          <w:snapToGrid w:val="0"/>
          <w:color w:val="auto"/>
        </w:rPr>
        <w:t>由表</w:t>
      </w:r>
      <w:r>
        <w:rPr>
          <w:rFonts w:cs="Times New Roman"/>
          <w:snapToGrid w:val="0"/>
          <w:color w:val="auto"/>
        </w:rPr>
        <w:t>3.2-</w:t>
      </w:r>
      <w:r>
        <w:rPr>
          <w:rFonts w:hint="eastAsia" w:cs="Times New Roman"/>
          <w:snapToGrid w:val="0"/>
          <w:color w:val="auto"/>
        </w:rPr>
        <w:t>10可知，项目区域土壤质量</w:t>
      </w:r>
      <w:r>
        <w:rPr>
          <w:rFonts w:hint="eastAsia" w:cs="Times New Roman"/>
          <w:color w:val="auto"/>
        </w:rPr>
        <w:t>可满足《土壤环境质量建设用地土壤污染风险管控标准》（</w:t>
      </w:r>
      <w:r>
        <w:rPr>
          <w:rFonts w:cs="Times New Roman"/>
          <w:color w:val="auto"/>
        </w:rPr>
        <w:t>GB36600-2018</w:t>
      </w:r>
      <w:r>
        <w:rPr>
          <w:rFonts w:hint="eastAsia" w:cs="Times New Roman"/>
          <w:color w:val="auto"/>
        </w:rPr>
        <w:t>）表</w:t>
      </w:r>
      <w:r>
        <w:rPr>
          <w:rFonts w:cs="Times New Roman"/>
          <w:color w:val="auto"/>
        </w:rPr>
        <w:t>1</w:t>
      </w:r>
      <w:r>
        <w:rPr>
          <w:rFonts w:hint="eastAsia" w:cs="Times New Roman"/>
          <w:color w:val="auto"/>
        </w:rPr>
        <w:t>中第二类用地风险筛选值标准。</w:t>
      </w:r>
    </w:p>
    <w:p>
      <w:pPr>
        <w:pStyle w:val="31"/>
        <w:adjustRightInd w:val="0"/>
        <w:snapToGrid w:val="0"/>
        <w:spacing w:line="360" w:lineRule="auto"/>
        <w:rPr>
          <w:rFonts w:ascii="Times New Roman" w:hAnsi="Times New Roman"/>
          <w:color w:val="auto"/>
        </w:rPr>
      </w:pPr>
      <w:r>
        <w:rPr>
          <w:rFonts w:hint="eastAsia" w:ascii="Times New Roman" w:hAnsi="Times New Roman"/>
          <w:color w:val="auto"/>
        </w:rPr>
        <w:t>四、主要敏感目标</w:t>
      </w:r>
    </w:p>
    <w:p>
      <w:pPr>
        <w:pStyle w:val="64"/>
        <w:spacing w:line="360" w:lineRule="auto"/>
        <w:ind w:firstLine="456"/>
        <w:rPr>
          <w:rFonts w:cs="Times New Roman"/>
          <w:color w:val="auto"/>
          <w:spacing w:val="-6"/>
          <w:kern w:val="2"/>
        </w:rPr>
      </w:pPr>
      <w:r>
        <w:rPr>
          <w:rFonts w:cs="Times New Roman"/>
          <w:color w:val="auto"/>
          <w:spacing w:val="-6"/>
          <w:kern w:val="2"/>
        </w:rPr>
        <w:t>本项目处于福鼎文渡工业集中区内，根据现场踏勘，项目周边无重要保护文物、风景名胜区等环境保护目标，</w:t>
      </w:r>
      <w:r>
        <w:rPr>
          <w:rFonts w:hint="eastAsia" w:cs="Times New Roman"/>
          <w:color w:val="auto"/>
          <w:spacing w:val="-6"/>
          <w:kern w:val="2"/>
        </w:rPr>
        <w:t>多为工业企业。</w:t>
      </w:r>
      <w:r>
        <w:rPr>
          <w:rFonts w:cs="Times New Roman"/>
          <w:color w:val="auto"/>
          <w:spacing w:val="-6"/>
          <w:kern w:val="2"/>
        </w:rPr>
        <w:t>主要环境保护目标情况见表</w:t>
      </w:r>
      <w:r>
        <w:rPr>
          <w:rFonts w:hint="eastAsia" w:cs="Times New Roman"/>
          <w:color w:val="auto"/>
          <w:spacing w:val="-6"/>
          <w:kern w:val="2"/>
        </w:rPr>
        <w:t>4.1-</w:t>
      </w:r>
      <w:r>
        <w:rPr>
          <w:rFonts w:cs="Times New Roman"/>
          <w:color w:val="auto"/>
          <w:spacing w:val="-6"/>
          <w:kern w:val="2"/>
        </w:rPr>
        <w:t>1</w:t>
      </w:r>
      <w:r>
        <w:rPr>
          <w:rFonts w:hint="eastAsia" w:cs="Times New Roman"/>
          <w:color w:val="auto"/>
          <w:spacing w:val="-6"/>
          <w:kern w:val="2"/>
        </w:rPr>
        <w:t>和图4.1-1</w:t>
      </w:r>
      <w:r>
        <w:rPr>
          <w:rFonts w:cs="Times New Roman"/>
          <w:color w:val="auto"/>
          <w:spacing w:val="-6"/>
          <w:kern w:val="2"/>
        </w:rPr>
        <w:t>。</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rPr>
        <w:t>4.1</w:t>
      </w:r>
      <w:r>
        <w:rPr>
          <w:b/>
          <w:color w:val="auto"/>
          <w:sz w:val="24"/>
          <w:highlight w:val="none"/>
        </w:rPr>
        <w:t>-1  项目</w:t>
      </w:r>
      <w:r>
        <w:rPr>
          <w:rFonts w:hint="eastAsia"/>
          <w:b/>
          <w:color w:val="auto"/>
          <w:sz w:val="24"/>
          <w:highlight w:val="none"/>
        </w:rPr>
        <w:t>主要</w:t>
      </w:r>
      <w:r>
        <w:rPr>
          <w:b/>
          <w:color w:val="auto"/>
          <w:sz w:val="24"/>
          <w:highlight w:val="none"/>
        </w:rPr>
        <w:t>环境保护目标及方位一览表</w:t>
      </w:r>
    </w:p>
    <w:tbl>
      <w:tblPr>
        <w:tblStyle w:val="22"/>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97"/>
        <w:gridCol w:w="516"/>
        <w:gridCol w:w="1488"/>
        <w:gridCol w:w="2135"/>
        <w:gridCol w:w="2238"/>
        <w:gridCol w:w="1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797" w:type="dxa"/>
            <w:tcBorders>
              <w:top w:val="single" w:color="auto" w:sz="12" w:space="0"/>
              <w:left w:val="nil"/>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项目</w:t>
            </w:r>
          </w:p>
        </w:tc>
        <w:tc>
          <w:tcPr>
            <w:tcW w:w="516" w:type="dxa"/>
            <w:tcBorders>
              <w:top w:val="single" w:color="auto" w:sz="12"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编号</w:t>
            </w:r>
          </w:p>
        </w:tc>
        <w:tc>
          <w:tcPr>
            <w:tcW w:w="1488" w:type="dxa"/>
            <w:tcBorders>
              <w:top w:val="single" w:color="auto" w:sz="12"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环境保护目标</w:t>
            </w:r>
          </w:p>
        </w:tc>
        <w:tc>
          <w:tcPr>
            <w:tcW w:w="2135" w:type="dxa"/>
            <w:tcBorders>
              <w:top w:val="single" w:color="auto" w:sz="12"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与厂址方位和最近距离</w:t>
            </w:r>
          </w:p>
        </w:tc>
        <w:tc>
          <w:tcPr>
            <w:tcW w:w="2238" w:type="dxa"/>
            <w:tcBorders>
              <w:top w:val="single" w:color="auto" w:sz="12"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规模</w:t>
            </w:r>
          </w:p>
        </w:tc>
        <w:tc>
          <w:tcPr>
            <w:tcW w:w="1896" w:type="dxa"/>
            <w:tcBorders>
              <w:top w:val="single" w:color="auto" w:sz="12" w:space="0"/>
              <w:left w:val="single" w:color="auto" w:sz="4" w:space="0"/>
              <w:bottom w:val="single" w:color="auto" w:sz="4" w:space="0"/>
              <w:right w:val="nil"/>
            </w:tcBorders>
            <w:vAlign w:val="center"/>
          </w:tcPr>
          <w:p>
            <w:pPr>
              <w:jc w:val="center"/>
              <w:rPr>
                <w:snapToGrid w:val="0"/>
                <w:color w:val="auto"/>
                <w:kern w:val="18"/>
                <w:szCs w:val="21"/>
              </w:rPr>
            </w:pPr>
            <w:r>
              <w:rPr>
                <w:rFonts w:hint="eastAsia"/>
                <w:snapToGrid w:val="0"/>
                <w:color w:val="auto"/>
                <w:kern w:val="18"/>
                <w:szCs w:val="21"/>
              </w:rPr>
              <w:t>环境质量要求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restart"/>
            <w:tcBorders>
              <w:top w:val="single" w:color="auto" w:sz="4" w:space="0"/>
              <w:left w:val="nil"/>
              <w:right w:val="single" w:color="auto" w:sz="4" w:space="0"/>
            </w:tcBorders>
            <w:vAlign w:val="center"/>
          </w:tcPr>
          <w:p>
            <w:pPr>
              <w:jc w:val="center"/>
              <w:rPr>
                <w:snapToGrid w:val="0"/>
                <w:color w:val="auto"/>
                <w:kern w:val="18"/>
                <w:szCs w:val="21"/>
              </w:rPr>
            </w:pPr>
            <w:r>
              <w:rPr>
                <w:rFonts w:hint="eastAsia"/>
                <w:snapToGrid w:val="0"/>
                <w:color w:val="auto"/>
                <w:kern w:val="18"/>
                <w:szCs w:val="21"/>
              </w:rPr>
              <w:t>大气</w:t>
            </w:r>
          </w:p>
          <w:p>
            <w:pPr>
              <w:jc w:val="center"/>
              <w:rPr>
                <w:snapToGrid w:val="0"/>
                <w:color w:val="auto"/>
                <w:kern w:val="18"/>
                <w:szCs w:val="21"/>
              </w:rPr>
            </w:pPr>
            <w:r>
              <w:rPr>
                <w:rFonts w:hint="eastAsia"/>
                <w:snapToGrid w:val="0"/>
                <w:color w:val="auto"/>
                <w:kern w:val="18"/>
                <w:szCs w:val="21"/>
              </w:rPr>
              <w:t>环境</w:t>
            </w: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1</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斗门头村</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SW</w:t>
            </w:r>
            <w:r>
              <w:rPr>
                <w:rFonts w:hint="eastAsia"/>
                <w:snapToGrid w:val="0"/>
                <w:color w:val="auto"/>
                <w:kern w:val="18"/>
                <w:szCs w:val="21"/>
              </w:rPr>
              <w:t xml:space="preserve"> </w:t>
            </w:r>
            <w:r>
              <w:rPr>
                <w:snapToGrid w:val="0"/>
                <w:color w:val="auto"/>
                <w:kern w:val="18"/>
                <w:szCs w:val="21"/>
              </w:rPr>
              <w:t>1</w:t>
            </w:r>
            <w:r>
              <w:rPr>
                <w:rFonts w:hint="eastAsia"/>
                <w:snapToGrid w:val="0"/>
                <w:color w:val="auto"/>
                <w:kern w:val="18"/>
                <w:szCs w:val="21"/>
              </w:rPr>
              <w:t>377</w:t>
            </w:r>
            <w:r>
              <w:rPr>
                <w:snapToGrid w:val="0"/>
                <w:color w:val="auto"/>
                <w:kern w:val="18"/>
                <w:szCs w:val="21"/>
              </w:rPr>
              <w:t>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510</w:t>
            </w:r>
            <w:r>
              <w:rPr>
                <w:rFonts w:hint="eastAsia"/>
                <w:snapToGrid w:val="0"/>
                <w:color w:val="auto"/>
                <w:kern w:val="18"/>
                <w:szCs w:val="21"/>
              </w:rPr>
              <w:t>户，</w:t>
            </w:r>
            <w:r>
              <w:rPr>
                <w:snapToGrid w:val="0"/>
                <w:color w:val="auto"/>
                <w:kern w:val="18"/>
                <w:szCs w:val="21"/>
              </w:rPr>
              <w:t>2060</w:t>
            </w:r>
            <w:r>
              <w:rPr>
                <w:rFonts w:hint="eastAsia"/>
                <w:snapToGrid w:val="0"/>
                <w:color w:val="auto"/>
                <w:kern w:val="18"/>
                <w:szCs w:val="21"/>
              </w:rPr>
              <w:t>人</w:t>
            </w:r>
          </w:p>
        </w:tc>
        <w:tc>
          <w:tcPr>
            <w:tcW w:w="1896" w:type="dxa"/>
            <w:vMerge w:val="restart"/>
            <w:tcBorders>
              <w:top w:val="single" w:color="auto" w:sz="4" w:space="0"/>
              <w:left w:val="single" w:color="auto" w:sz="4" w:space="0"/>
              <w:right w:val="nil"/>
            </w:tcBorders>
            <w:vAlign w:val="center"/>
          </w:tcPr>
          <w:p>
            <w:pPr>
              <w:jc w:val="center"/>
              <w:rPr>
                <w:snapToGrid w:val="0"/>
                <w:color w:val="auto"/>
                <w:kern w:val="18"/>
                <w:szCs w:val="21"/>
              </w:rPr>
            </w:pPr>
            <w:r>
              <w:rPr>
                <w:rFonts w:hint="eastAsia"/>
                <w:snapToGrid w:val="0"/>
                <w:color w:val="auto"/>
                <w:kern w:val="18"/>
                <w:szCs w:val="21"/>
              </w:rPr>
              <w:t>执行</w:t>
            </w:r>
            <w:r>
              <w:rPr>
                <w:rFonts w:hint="eastAsia"/>
                <w:color w:val="auto"/>
              </w:rPr>
              <w:t>《环境空气质量标准》（</w:t>
            </w:r>
            <w:r>
              <w:rPr>
                <w:color w:val="auto"/>
              </w:rPr>
              <w:t>GB3095-2012</w:t>
            </w:r>
            <w:r>
              <w:rPr>
                <w:rFonts w:hint="eastAsia"/>
                <w:color w:val="auto"/>
              </w:rPr>
              <w:t>）</w:t>
            </w:r>
            <w:r>
              <w:rPr>
                <w:rFonts w:hint="eastAsia"/>
                <w:snapToGrid w:val="0"/>
                <w:color w:val="auto"/>
                <w:kern w:val="18"/>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2</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柏洋村</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 xml:space="preserve">SW </w:t>
            </w:r>
            <w:r>
              <w:rPr>
                <w:rFonts w:hint="eastAsia"/>
                <w:snapToGrid w:val="0"/>
                <w:color w:val="auto"/>
                <w:kern w:val="18"/>
                <w:szCs w:val="21"/>
              </w:rPr>
              <w:t>10</w:t>
            </w:r>
            <w:r>
              <w:rPr>
                <w:rFonts w:hint="eastAsia"/>
                <w:snapToGrid w:val="0"/>
                <w:color w:val="auto"/>
                <w:kern w:val="18"/>
                <w:szCs w:val="21"/>
                <w:lang w:val="en-US" w:eastAsia="zh-CN"/>
              </w:rPr>
              <w:t>87</w:t>
            </w:r>
            <w:r>
              <w:rPr>
                <w:snapToGrid w:val="0"/>
                <w:color w:val="auto"/>
                <w:kern w:val="18"/>
                <w:szCs w:val="21"/>
              </w:rPr>
              <w:t>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735</w:t>
            </w:r>
            <w:r>
              <w:rPr>
                <w:rFonts w:hint="eastAsia"/>
                <w:snapToGrid w:val="0"/>
                <w:color w:val="auto"/>
                <w:kern w:val="18"/>
                <w:szCs w:val="21"/>
              </w:rPr>
              <w:t>户，</w:t>
            </w:r>
            <w:r>
              <w:rPr>
                <w:snapToGrid w:val="0"/>
                <w:color w:val="auto"/>
                <w:kern w:val="18"/>
                <w:szCs w:val="21"/>
              </w:rPr>
              <w:t>2800</w:t>
            </w:r>
            <w:r>
              <w:rPr>
                <w:rFonts w:hint="eastAsia"/>
                <w:snapToGrid w:val="0"/>
                <w:color w:val="auto"/>
                <w:kern w:val="18"/>
                <w:szCs w:val="21"/>
              </w:rPr>
              <w:t>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3</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硖门畲族乡</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snapToGrid w:val="0"/>
                <w:color w:val="auto"/>
                <w:kern w:val="18"/>
                <w:szCs w:val="21"/>
                <w:highlight w:val="none"/>
              </w:rPr>
              <w:t>SW</w:t>
            </w:r>
            <w:r>
              <w:rPr>
                <w:rFonts w:hint="eastAsia"/>
                <w:snapToGrid w:val="0"/>
                <w:color w:val="auto"/>
                <w:kern w:val="18"/>
                <w:szCs w:val="21"/>
                <w:highlight w:val="none"/>
              </w:rPr>
              <w:t xml:space="preserve"> 2701</w:t>
            </w:r>
            <w:r>
              <w:rPr>
                <w:snapToGrid w:val="0"/>
                <w:color w:val="auto"/>
                <w:kern w:val="18"/>
                <w:szCs w:val="21"/>
                <w:highlight w:val="none"/>
              </w:rPr>
              <w:t>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color w:val="auto"/>
                <w:kern w:val="1"/>
                <w:sz w:val="21"/>
                <w:szCs w:val="21"/>
                <w:highlight w:val="none"/>
              </w:rPr>
              <w:t>250</w:t>
            </w:r>
            <w:r>
              <w:rPr>
                <w:rFonts w:hint="eastAsia"/>
                <w:color w:val="auto"/>
                <w:kern w:val="1"/>
                <w:sz w:val="21"/>
                <w:szCs w:val="21"/>
                <w:highlight w:val="none"/>
              </w:rPr>
              <w:t>户，</w:t>
            </w:r>
            <w:r>
              <w:rPr>
                <w:color w:val="auto"/>
                <w:kern w:val="1"/>
                <w:sz w:val="21"/>
                <w:szCs w:val="21"/>
                <w:highlight w:val="none"/>
              </w:rPr>
              <w:t>1000</w:t>
            </w:r>
            <w:r>
              <w:rPr>
                <w:rFonts w:hint="eastAsia"/>
                <w:color w:val="auto"/>
                <w:kern w:val="1"/>
                <w:sz w:val="21"/>
                <w:szCs w:val="21"/>
                <w:highlight w:val="none"/>
              </w:rPr>
              <w:t>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4</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青湾村</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S</w:t>
            </w:r>
            <w:r>
              <w:rPr>
                <w:rFonts w:hint="eastAsia"/>
                <w:snapToGrid w:val="0"/>
                <w:color w:val="auto"/>
                <w:kern w:val="18"/>
                <w:szCs w:val="21"/>
              </w:rPr>
              <w:t xml:space="preserve"> 1386</w:t>
            </w:r>
            <w:r>
              <w:rPr>
                <w:snapToGrid w:val="0"/>
                <w:color w:val="auto"/>
                <w:kern w:val="18"/>
                <w:szCs w:val="21"/>
              </w:rPr>
              <w:t>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180</w:t>
            </w:r>
            <w:r>
              <w:rPr>
                <w:rFonts w:hint="eastAsia"/>
                <w:snapToGrid w:val="0"/>
                <w:color w:val="auto"/>
                <w:kern w:val="18"/>
                <w:szCs w:val="21"/>
              </w:rPr>
              <w:t>户，</w:t>
            </w:r>
            <w:r>
              <w:rPr>
                <w:snapToGrid w:val="0"/>
                <w:color w:val="auto"/>
                <w:kern w:val="18"/>
                <w:szCs w:val="21"/>
              </w:rPr>
              <w:t>725</w:t>
            </w:r>
            <w:r>
              <w:rPr>
                <w:rFonts w:hint="eastAsia"/>
                <w:snapToGrid w:val="0"/>
                <w:color w:val="auto"/>
                <w:kern w:val="18"/>
                <w:szCs w:val="21"/>
              </w:rPr>
              <w:t>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5</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赤屿</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S 763m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color w:val="auto"/>
                <w:kern w:val="1"/>
                <w:sz w:val="21"/>
                <w:szCs w:val="21"/>
                <w:highlight w:val="none"/>
              </w:rPr>
              <w:t>5</w:t>
            </w:r>
            <w:r>
              <w:rPr>
                <w:rFonts w:hint="eastAsia"/>
                <w:color w:val="auto"/>
                <w:kern w:val="1"/>
                <w:sz w:val="21"/>
                <w:szCs w:val="21"/>
                <w:highlight w:val="none"/>
              </w:rPr>
              <w:t>1</w:t>
            </w:r>
            <w:r>
              <w:rPr>
                <w:color w:val="auto"/>
                <w:kern w:val="1"/>
                <w:sz w:val="21"/>
                <w:szCs w:val="21"/>
                <w:highlight w:val="none"/>
              </w:rPr>
              <w:t>户，255人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6</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牛郎冈村</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E 23</w:t>
            </w:r>
            <w:r>
              <w:rPr>
                <w:rFonts w:hint="eastAsia"/>
                <w:snapToGrid w:val="0"/>
                <w:color w:val="auto"/>
                <w:kern w:val="18"/>
                <w:szCs w:val="21"/>
              </w:rPr>
              <w:t>42</w:t>
            </w:r>
            <w:r>
              <w:rPr>
                <w:snapToGrid w:val="0"/>
                <w:color w:val="auto"/>
                <w:kern w:val="18"/>
                <w:szCs w:val="21"/>
              </w:rPr>
              <w:t>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238</w:t>
            </w:r>
            <w:r>
              <w:rPr>
                <w:rFonts w:hint="eastAsia"/>
                <w:snapToGrid w:val="0"/>
                <w:color w:val="auto"/>
                <w:kern w:val="18"/>
                <w:szCs w:val="21"/>
              </w:rPr>
              <w:t>户，</w:t>
            </w:r>
            <w:r>
              <w:rPr>
                <w:snapToGrid w:val="0"/>
                <w:color w:val="auto"/>
                <w:kern w:val="18"/>
                <w:szCs w:val="21"/>
              </w:rPr>
              <w:t>900</w:t>
            </w:r>
            <w:r>
              <w:rPr>
                <w:rFonts w:hint="eastAsia"/>
                <w:snapToGrid w:val="0"/>
                <w:color w:val="auto"/>
                <w:kern w:val="18"/>
                <w:szCs w:val="21"/>
              </w:rPr>
              <w:t>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7</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核电生活区</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NE 876m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color w:val="auto"/>
                <w:kern w:val="1"/>
                <w:sz w:val="21"/>
                <w:szCs w:val="21"/>
                <w:highlight w:val="none"/>
              </w:rPr>
              <w:t>约480人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8</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海天广场</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NE 1115m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color w:val="auto"/>
                <w:kern w:val="1"/>
                <w:sz w:val="21"/>
                <w:szCs w:val="21"/>
                <w:highlight w:val="none"/>
              </w:rPr>
              <w:t>住宅306套</w:t>
            </w:r>
            <w:r>
              <w:rPr>
                <w:rFonts w:hint="eastAsia"/>
                <w:color w:val="auto"/>
                <w:kern w:val="1"/>
                <w:sz w:val="21"/>
                <w:szCs w:val="21"/>
                <w:highlight w:val="none"/>
              </w:rPr>
              <w:t>，约1000人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9</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东埕村</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NE 1448m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496</w:t>
            </w:r>
            <w:r>
              <w:rPr>
                <w:rFonts w:hint="eastAsia"/>
                <w:snapToGrid w:val="0"/>
                <w:color w:val="auto"/>
                <w:kern w:val="18"/>
                <w:szCs w:val="21"/>
              </w:rPr>
              <w:t>户，</w:t>
            </w:r>
            <w:r>
              <w:rPr>
                <w:snapToGrid w:val="0"/>
                <w:color w:val="auto"/>
                <w:kern w:val="18"/>
                <w:szCs w:val="21"/>
              </w:rPr>
              <w:t>1737</w:t>
            </w:r>
            <w:r>
              <w:rPr>
                <w:rFonts w:hint="eastAsia"/>
                <w:snapToGrid w:val="0"/>
                <w:color w:val="auto"/>
                <w:kern w:val="18"/>
                <w:szCs w:val="21"/>
              </w:rPr>
              <w:t>人</w:t>
            </w:r>
          </w:p>
        </w:tc>
        <w:tc>
          <w:tcPr>
            <w:tcW w:w="1896" w:type="dxa"/>
            <w:vMerge w:val="continue"/>
            <w:tcBorders>
              <w:left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left w:val="nil"/>
              <w:bottom w:val="single" w:color="auto" w:sz="4" w:space="0"/>
              <w:right w:val="single" w:color="auto" w:sz="4" w:space="0"/>
            </w:tcBorders>
            <w:vAlign w:val="center"/>
          </w:tcPr>
          <w:p>
            <w:pPr>
              <w:widowControl/>
              <w:jc w:val="left"/>
              <w:rPr>
                <w:snapToGrid w:val="0"/>
                <w:color w:val="auto"/>
                <w:kern w:val="18"/>
                <w:szCs w:val="21"/>
              </w:rPr>
            </w:pPr>
            <w:bookmarkStart w:id="6" w:name="OLE_LINK10" w:colFirst="2" w:colLast="4"/>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10</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沙定村</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snapToGrid w:val="0"/>
                <w:color w:val="auto"/>
                <w:kern w:val="18"/>
                <w:szCs w:val="21"/>
                <w:highlight w:val="none"/>
              </w:rPr>
              <w:t>NW 10</w:t>
            </w:r>
            <w:r>
              <w:rPr>
                <w:rFonts w:hint="eastAsia"/>
                <w:snapToGrid w:val="0"/>
                <w:color w:val="auto"/>
                <w:kern w:val="18"/>
                <w:szCs w:val="21"/>
                <w:highlight w:val="none"/>
                <w:lang w:val="en-US" w:eastAsia="zh-CN"/>
              </w:rPr>
              <w:t>23</w:t>
            </w:r>
            <w:r>
              <w:rPr>
                <w:rFonts w:hint="eastAsia"/>
                <w:snapToGrid w:val="0"/>
                <w:color w:val="auto"/>
                <w:kern w:val="18"/>
                <w:szCs w:val="21"/>
                <w:highlight w:val="none"/>
              </w:rPr>
              <w:t>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highlight w:val="none"/>
              </w:rPr>
            </w:pPr>
            <w:r>
              <w:rPr>
                <w:rFonts w:hint="eastAsia"/>
                <w:color w:val="auto"/>
                <w:kern w:val="1"/>
                <w:sz w:val="21"/>
                <w:szCs w:val="21"/>
                <w:highlight w:val="none"/>
              </w:rPr>
              <w:t>约</w:t>
            </w:r>
            <w:r>
              <w:rPr>
                <w:color w:val="auto"/>
                <w:kern w:val="1"/>
                <w:sz w:val="21"/>
                <w:szCs w:val="21"/>
                <w:highlight w:val="none"/>
              </w:rPr>
              <w:t>800人</w:t>
            </w:r>
          </w:p>
        </w:tc>
        <w:tc>
          <w:tcPr>
            <w:tcW w:w="1896" w:type="dxa"/>
            <w:vMerge w:val="continue"/>
            <w:tcBorders>
              <w:left w:val="single" w:color="auto" w:sz="4" w:space="0"/>
              <w:bottom w:val="single" w:color="auto" w:sz="4" w:space="0"/>
              <w:right w:val="nil"/>
            </w:tcBorders>
            <w:vAlign w:val="center"/>
          </w:tcPr>
          <w:p>
            <w:pPr>
              <w:widowControl/>
              <w:jc w:val="left"/>
              <w:rPr>
                <w:snapToGrid w:val="0"/>
                <w:color w:val="auto"/>
                <w:kern w:val="18"/>
                <w:szCs w:val="21"/>
              </w:rPr>
            </w:pPr>
          </w:p>
        </w:tc>
      </w:tr>
      <w:bookmarkEnd w:id="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restart"/>
            <w:tcBorders>
              <w:top w:val="single" w:color="auto" w:sz="4" w:space="0"/>
              <w:left w:val="nil"/>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水</w:t>
            </w:r>
          </w:p>
          <w:p>
            <w:pPr>
              <w:jc w:val="center"/>
              <w:rPr>
                <w:snapToGrid w:val="0"/>
                <w:color w:val="auto"/>
                <w:kern w:val="18"/>
                <w:szCs w:val="21"/>
              </w:rPr>
            </w:pPr>
            <w:r>
              <w:rPr>
                <w:rFonts w:hint="eastAsia"/>
                <w:snapToGrid w:val="0"/>
                <w:color w:val="auto"/>
                <w:kern w:val="18"/>
                <w:szCs w:val="21"/>
              </w:rPr>
              <w:t>环境</w:t>
            </w: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1</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柏洋溪</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S 678m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color w:val="auto"/>
              </w:rPr>
              <w:t>流域面积</w:t>
            </w:r>
            <w:r>
              <w:rPr>
                <w:color w:val="auto"/>
              </w:rPr>
              <w:t>111.31km</w:t>
            </w:r>
            <w:r>
              <w:rPr>
                <w:color w:val="auto"/>
                <w:vertAlign w:val="superscript"/>
              </w:rPr>
              <w:t>2</w:t>
            </w:r>
            <w:r>
              <w:rPr>
                <w:rFonts w:hint="eastAsia"/>
                <w:color w:val="auto"/>
              </w:rPr>
              <w:t>，平均河宽</w:t>
            </w:r>
            <w:r>
              <w:rPr>
                <w:color w:val="auto"/>
              </w:rPr>
              <w:t>5m</w:t>
            </w:r>
            <w:r>
              <w:rPr>
                <w:rFonts w:hint="eastAsia"/>
                <w:color w:val="auto"/>
              </w:rPr>
              <w:t>，流量</w:t>
            </w:r>
            <w:r>
              <w:rPr>
                <w:color w:val="auto"/>
              </w:rPr>
              <w:t>0.5m</w:t>
            </w:r>
            <w:r>
              <w:rPr>
                <w:color w:val="auto"/>
                <w:vertAlign w:val="superscript"/>
              </w:rPr>
              <w:t>3</w:t>
            </w:r>
            <w:r>
              <w:rPr>
                <w:color w:val="auto"/>
              </w:rPr>
              <w:t>/s</w:t>
            </w:r>
          </w:p>
        </w:tc>
        <w:tc>
          <w:tcPr>
            <w:tcW w:w="1896" w:type="dxa"/>
            <w:vMerge w:val="restart"/>
            <w:tcBorders>
              <w:top w:val="single" w:color="auto" w:sz="4" w:space="0"/>
              <w:left w:val="single" w:color="auto" w:sz="4" w:space="0"/>
              <w:bottom w:val="single" w:color="auto" w:sz="4" w:space="0"/>
              <w:right w:val="nil"/>
            </w:tcBorders>
            <w:vAlign w:val="center"/>
          </w:tcPr>
          <w:p>
            <w:pPr>
              <w:jc w:val="center"/>
              <w:rPr>
                <w:snapToGrid w:val="0"/>
                <w:color w:val="auto"/>
                <w:kern w:val="18"/>
                <w:szCs w:val="21"/>
              </w:rPr>
            </w:pPr>
            <w:r>
              <w:rPr>
                <w:rFonts w:hint="eastAsia"/>
                <w:snapToGrid w:val="0"/>
                <w:color w:val="auto"/>
                <w:kern w:val="18"/>
                <w:szCs w:val="21"/>
              </w:rPr>
              <w:t>《地表水环境质量标准》（</w:t>
            </w:r>
            <w:r>
              <w:rPr>
                <w:snapToGrid w:val="0"/>
                <w:color w:val="auto"/>
                <w:kern w:val="18"/>
                <w:szCs w:val="21"/>
              </w:rPr>
              <w:t>GB3838</w:t>
            </w:r>
            <w:r>
              <w:rPr>
                <w:rFonts w:hint="eastAsia"/>
                <w:snapToGrid w:val="0"/>
                <w:color w:val="auto"/>
                <w:kern w:val="18"/>
                <w:szCs w:val="21"/>
              </w:rPr>
              <w:t>－</w:t>
            </w:r>
            <w:r>
              <w:rPr>
                <w:snapToGrid w:val="0"/>
                <w:color w:val="auto"/>
                <w:kern w:val="18"/>
                <w:szCs w:val="21"/>
              </w:rPr>
              <w:t>2002</w:t>
            </w:r>
            <w:r>
              <w:rPr>
                <w:rFonts w:hint="eastAsia"/>
                <w:snapToGrid w:val="0"/>
                <w:color w:val="auto"/>
                <w:kern w:val="18"/>
                <w:szCs w:val="21"/>
              </w:rPr>
              <w:t>）中</w:t>
            </w:r>
            <w:r>
              <w:rPr>
                <w:rFonts w:hint="eastAsia" w:ascii="宋体" w:hAnsi="宋体" w:cs="宋体"/>
                <w:snapToGrid w:val="0"/>
                <w:color w:val="auto"/>
                <w:kern w:val="18"/>
                <w:szCs w:val="21"/>
              </w:rPr>
              <w:t>Ⅲ</w:t>
            </w:r>
            <w:r>
              <w:rPr>
                <w:rFonts w:hint="eastAsia"/>
                <w:snapToGrid w:val="0"/>
                <w:color w:val="auto"/>
                <w:kern w:val="18"/>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op w:val="single" w:color="auto" w:sz="4" w:space="0"/>
              <w:left w:val="nil"/>
              <w:bottom w:val="single" w:color="auto" w:sz="4" w:space="0"/>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2</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snapToGrid w:val="0"/>
                <w:color w:val="auto"/>
                <w:kern w:val="18"/>
                <w:szCs w:val="21"/>
              </w:rPr>
              <w:t>滞洪区</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S314m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w:t>
            </w:r>
          </w:p>
        </w:tc>
        <w:tc>
          <w:tcPr>
            <w:tcW w:w="1896" w:type="dxa"/>
            <w:vMerge w:val="continue"/>
            <w:tcBorders>
              <w:top w:val="single" w:color="auto" w:sz="4" w:space="0"/>
              <w:left w:val="single" w:color="auto" w:sz="4" w:space="0"/>
              <w:bottom w:val="single" w:color="auto" w:sz="4" w:space="0"/>
              <w:right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op w:val="single" w:color="auto" w:sz="4" w:space="0"/>
              <w:left w:val="nil"/>
              <w:bottom w:val="single" w:color="auto" w:sz="4" w:space="0"/>
              <w:right w:val="single" w:color="auto" w:sz="4" w:space="0"/>
            </w:tcBorders>
            <w:vAlign w:val="center"/>
          </w:tcPr>
          <w:p>
            <w:pPr>
              <w:widowControl/>
              <w:jc w:val="left"/>
              <w:rPr>
                <w:snapToGrid w:val="0"/>
                <w:color w:val="auto"/>
                <w:kern w:val="18"/>
                <w:szCs w:val="21"/>
              </w:rPr>
            </w:pPr>
          </w:p>
        </w:tc>
        <w:tc>
          <w:tcPr>
            <w:tcW w:w="516"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3</w:t>
            </w:r>
          </w:p>
        </w:tc>
        <w:tc>
          <w:tcPr>
            <w:tcW w:w="148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rFonts w:hint="eastAsia"/>
                <w:color w:val="auto"/>
                <w:szCs w:val="21"/>
              </w:rPr>
              <w:t>硖门</w:t>
            </w:r>
            <w:r>
              <w:rPr>
                <w:rFonts w:hint="eastAsia"/>
                <w:snapToGrid w:val="0"/>
                <w:color w:val="auto"/>
                <w:kern w:val="18"/>
                <w:szCs w:val="21"/>
              </w:rPr>
              <w:t>湾</w:t>
            </w:r>
          </w:p>
        </w:tc>
        <w:tc>
          <w:tcPr>
            <w:tcW w:w="213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E 840m</w:t>
            </w:r>
          </w:p>
        </w:tc>
        <w:tc>
          <w:tcPr>
            <w:tcW w:w="2238"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auto"/>
                <w:kern w:val="18"/>
                <w:szCs w:val="21"/>
              </w:rPr>
            </w:pPr>
            <w:r>
              <w:rPr>
                <w:snapToGrid w:val="0"/>
                <w:color w:val="auto"/>
                <w:kern w:val="18"/>
                <w:szCs w:val="21"/>
              </w:rPr>
              <w:t>/</w:t>
            </w:r>
          </w:p>
        </w:tc>
        <w:tc>
          <w:tcPr>
            <w:tcW w:w="1896" w:type="dxa"/>
            <w:tcBorders>
              <w:top w:val="single" w:color="auto" w:sz="4" w:space="0"/>
              <w:left w:val="single" w:color="auto" w:sz="4" w:space="0"/>
              <w:bottom w:val="single" w:color="auto" w:sz="4" w:space="0"/>
              <w:right w:val="nil"/>
            </w:tcBorders>
            <w:vAlign w:val="center"/>
          </w:tcPr>
          <w:p>
            <w:pPr>
              <w:jc w:val="center"/>
              <w:rPr>
                <w:snapToGrid w:val="0"/>
                <w:color w:val="auto"/>
                <w:kern w:val="18"/>
                <w:szCs w:val="21"/>
              </w:rPr>
            </w:pPr>
            <w:r>
              <w:rPr>
                <w:rFonts w:hint="eastAsia"/>
                <w:snapToGrid w:val="0"/>
                <w:color w:val="auto"/>
                <w:kern w:val="18"/>
                <w:szCs w:val="21"/>
              </w:rPr>
              <w:t>《海水水质标准》（</w:t>
            </w:r>
            <w:r>
              <w:rPr>
                <w:snapToGrid w:val="0"/>
                <w:color w:val="auto"/>
                <w:kern w:val="18"/>
                <w:szCs w:val="21"/>
              </w:rPr>
              <w:t>GB3097-1997</w:t>
            </w:r>
            <w:r>
              <w:rPr>
                <w:rFonts w:hint="eastAsia"/>
                <w:snapToGrid w:val="0"/>
                <w:color w:val="auto"/>
                <w:kern w:val="18"/>
                <w:szCs w:val="21"/>
              </w:rPr>
              <w:t>）中的第二类标准</w:t>
            </w:r>
          </w:p>
        </w:tc>
      </w:tr>
    </w:tbl>
    <w:p>
      <w:pPr>
        <w:pStyle w:val="31"/>
        <w:adjustRightInd w:val="0"/>
        <w:snapToGrid w:val="0"/>
        <w:spacing w:before="120" w:beforeLines="50" w:line="360" w:lineRule="auto"/>
        <w:rPr>
          <w:rFonts w:ascii="Times New Roman" w:hAnsi="Times New Roman"/>
          <w:color w:val="auto"/>
        </w:rPr>
        <w:sectPr>
          <w:pgSz w:w="11906" w:h="16838"/>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pStyle w:val="47"/>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8566785" cy="5395595"/>
            <wp:effectExtent l="0" t="0" r="5715" b="14605"/>
            <wp:docPr id="3" name="图片 3" descr="周边关系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周边关系图副本"/>
                    <pic:cNvPicPr>
                      <a:picLocks noChangeAspect="1"/>
                    </pic:cNvPicPr>
                  </pic:nvPicPr>
                  <pic:blipFill>
                    <a:blip r:embed="rId23"/>
                    <a:stretch>
                      <a:fillRect/>
                    </a:stretch>
                  </pic:blipFill>
                  <pic:spPr>
                    <a:xfrm>
                      <a:off x="0" y="0"/>
                      <a:ext cx="8566785" cy="5395595"/>
                    </a:xfrm>
                    <a:prstGeom prst="rect">
                      <a:avLst/>
                    </a:prstGeom>
                  </pic:spPr>
                </pic:pic>
              </a:graphicData>
            </a:graphic>
          </wp:inline>
        </w:drawing>
      </w:r>
    </w:p>
    <w:p>
      <w:pPr>
        <w:jc w:val="center"/>
        <w:rPr>
          <w:b/>
          <w:bCs/>
          <w:color w:val="auto"/>
          <w:sz w:val="24"/>
        </w:rPr>
      </w:pPr>
      <w:r>
        <w:rPr>
          <w:rFonts w:hint="eastAsia"/>
          <w:b/>
          <w:bCs/>
          <w:color w:val="auto"/>
          <w:sz w:val="24"/>
        </w:rPr>
        <w:t>图4.1-1  敏感目标分布示意图</w:t>
      </w:r>
    </w:p>
    <w:p>
      <w:pPr>
        <w:pStyle w:val="47"/>
        <w:ind w:firstLine="0" w:firstLineChars="0"/>
        <w:rPr>
          <w:rFonts w:ascii="Times New Roman" w:hAnsi="Times New Roman"/>
          <w:color w:val="auto"/>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pStyle w:val="31"/>
        <w:adjustRightInd w:val="0"/>
        <w:snapToGrid w:val="0"/>
        <w:spacing w:before="120" w:beforeLines="50" w:line="360" w:lineRule="auto"/>
        <w:rPr>
          <w:rFonts w:ascii="Times New Roman" w:hAnsi="Times New Roman"/>
          <w:color w:val="auto"/>
        </w:rPr>
      </w:pPr>
      <w:r>
        <w:rPr>
          <w:rFonts w:hint="eastAsia" w:ascii="Times New Roman" w:hAnsi="Times New Roman"/>
          <w:color w:val="auto"/>
        </w:rPr>
        <w:t>五、工程分析</w:t>
      </w:r>
    </w:p>
    <w:p>
      <w:pPr>
        <w:pStyle w:val="31"/>
        <w:adjustRightInd w:val="0"/>
        <w:snapToGrid w:val="0"/>
        <w:spacing w:line="360" w:lineRule="auto"/>
        <w:rPr>
          <w:rFonts w:ascii="Times New Roman" w:hAnsi="Times New Roman"/>
          <w:color w:val="auto"/>
        </w:rPr>
      </w:pPr>
      <w:r>
        <w:rPr>
          <w:rFonts w:ascii="Times New Roman" w:hAnsi="Times New Roman"/>
          <w:color w:val="auto"/>
        </w:rPr>
        <w:t xml:space="preserve">5.1 </w:t>
      </w:r>
      <w:r>
        <w:rPr>
          <w:rFonts w:hint="eastAsia" w:ascii="Times New Roman" w:hAnsi="Times New Roman"/>
          <w:color w:val="auto"/>
        </w:rPr>
        <w:t>原有工程回顾性分析</w:t>
      </w:r>
    </w:p>
    <w:p>
      <w:pPr>
        <w:snapToGrid w:val="0"/>
        <w:spacing w:line="360" w:lineRule="auto"/>
        <w:outlineLvl w:val="2"/>
        <w:rPr>
          <w:b/>
          <w:color w:val="auto"/>
          <w:sz w:val="24"/>
        </w:rPr>
      </w:pPr>
      <w:r>
        <w:rPr>
          <w:b/>
          <w:color w:val="auto"/>
          <w:sz w:val="24"/>
        </w:rPr>
        <w:t>5.1.1</w:t>
      </w:r>
      <w:r>
        <w:rPr>
          <w:rFonts w:hint="eastAsia"/>
          <w:b/>
          <w:color w:val="auto"/>
          <w:sz w:val="24"/>
        </w:rPr>
        <w:t>原有工程概况</w:t>
      </w:r>
    </w:p>
    <w:p>
      <w:pPr>
        <w:pStyle w:val="2"/>
        <w:ind w:firstLine="480" w:firstLineChars="200"/>
        <w:rPr>
          <w:color w:val="auto"/>
        </w:rPr>
      </w:pPr>
      <w:r>
        <w:rPr>
          <w:rFonts w:hint="eastAsia"/>
          <w:color w:val="auto"/>
        </w:rPr>
        <w:t>福鼎市质达金属表面处理有限公司现有工程位于福鼎市文渡金属表面处理集控中心（福建省众鑫金属表面处理有限公司）1#楼一层3号车间，租用集控中心厂房面积335平方米，建设有龙门挂锌合金钝化（铝合金氧化）共用生产线，半自动镀铜、镍生产线和手动锌合金钝化线，年加工400吨化油器表面处理。该项目于2014年11月通过福鼎市经贸局备案（闽经备[2014]J03099号），《福鼎市质达金属表面处理有限公司各类金属元件表面处理项目环境影响报告表》于2015年11月17日通过福鼎市环境保护局审批（鼎环审[2015]099号），2017年12月21日通过福鼎市环保局验收（鼎环保站验（2017）第12号）。</w:t>
      </w:r>
    </w:p>
    <w:p>
      <w:pPr>
        <w:snapToGrid w:val="0"/>
        <w:spacing w:line="360" w:lineRule="auto"/>
        <w:outlineLvl w:val="2"/>
        <w:rPr>
          <w:b/>
          <w:color w:val="auto"/>
          <w:sz w:val="24"/>
        </w:rPr>
      </w:pPr>
      <w:r>
        <w:rPr>
          <w:b/>
          <w:color w:val="auto"/>
          <w:sz w:val="24"/>
        </w:rPr>
        <w:t>5.1.</w:t>
      </w:r>
      <w:r>
        <w:rPr>
          <w:rFonts w:hint="eastAsia"/>
          <w:b/>
          <w:color w:val="auto"/>
          <w:sz w:val="24"/>
        </w:rPr>
        <w:t>2原有工程主要原、辅材料及能源消耗</w:t>
      </w:r>
    </w:p>
    <w:p>
      <w:pPr>
        <w:pStyle w:val="13"/>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根据《福鼎市质达金属表面处理有限公司各类金属元件表面处理项目竣工验收监测报告》，原有工程主要原辅材料及能源资源消耗见表5.1-1。</w:t>
      </w:r>
    </w:p>
    <w:p>
      <w:pPr>
        <w:pStyle w:val="40"/>
        <w:spacing w:beforeLines="0" w:afterLines="0"/>
        <w:rPr>
          <w:rFonts w:hAnsi="宋体"/>
          <w:color w:val="auto"/>
        </w:rPr>
      </w:pPr>
      <w:r>
        <w:rPr>
          <w:rFonts w:hAnsi="宋体"/>
          <w:color w:val="auto"/>
        </w:rPr>
        <w:t>表</w:t>
      </w:r>
      <w:r>
        <w:rPr>
          <w:color w:val="auto"/>
        </w:rPr>
        <w:t>5</w:t>
      </w:r>
      <w:r>
        <w:rPr>
          <w:rFonts w:hint="eastAsia"/>
          <w:color w:val="auto"/>
        </w:rPr>
        <w:t>.1</w:t>
      </w:r>
      <w:r>
        <w:rPr>
          <w:color w:val="auto"/>
        </w:rPr>
        <w:t>-</w:t>
      </w:r>
      <w:r>
        <w:rPr>
          <w:rFonts w:hint="eastAsia"/>
          <w:color w:val="auto"/>
        </w:rPr>
        <w:t>1 原有工程</w:t>
      </w:r>
      <w:r>
        <w:rPr>
          <w:rFonts w:hAnsi="宋体"/>
          <w:color w:val="auto"/>
        </w:rPr>
        <w:t>主要原辅材料消耗表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550"/>
        <w:gridCol w:w="1762"/>
        <w:gridCol w:w="1959"/>
        <w:gridCol w:w="1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843" w:type="dxa"/>
            <w:gridSpan w:val="2"/>
            <w:vAlign w:val="center"/>
          </w:tcPr>
          <w:p>
            <w:pPr>
              <w:pStyle w:val="41"/>
              <w:rPr>
                <w:color w:val="auto"/>
              </w:rPr>
            </w:pPr>
            <w:r>
              <w:rPr>
                <w:color w:val="auto"/>
              </w:rPr>
              <w:t>主要原辅材料名称</w:t>
            </w:r>
          </w:p>
        </w:tc>
        <w:tc>
          <w:tcPr>
            <w:tcW w:w="1762" w:type="dxa"/>
            <w:vAlign w:val="center"/>
          </w:tcPr>
          <w:p>
            <w:pPr>
              <w:pStyle w:val="41"/>
              <w:rPr>
                <w:color w:val="auto"/>
              </w:rPr>
            </w:pPr>
            <w:r>
              <w:rPr>
                <w:color w:val="auto"/>
              </w:rPr>
              <w:t>总用量</w:t>
            </w:r>
          </w:p>
        </w:tc>
        <w:tc>
          <w:tcPr>
            <w:tcW w:w="1959" w:type="dxa"/>
            <w:vAlign w:val="center"/>
          </w:tcPr>
          <w:p>
            <w:pPr>
              <w:pStyle w:val="41"/>
              <w:rPr>
                <w:color w:val="auto"/>
              </w:rPr>
            </w:pPr>
            <w:r>
              <w:rPr>
                <w:color w:val="auto"/>
              </w:rPr>
              <w:t>储存量</w:t>
            </w:r>
          </w:p>
        </w:tc>
        <w:tc>
          <w:tcPr>
            <w:tcW w:w="1722" w:type="dxa"/>
            <w:vAlign w:val="center"/>
          </w:tcPr>
          <w:p>
            <w:pPr>
              <w:pStyle w:val="41"/>
              <w:rPr>
                <w:color w:val="auto"/>
              </w:rPr>
            </w:pPr>
            <w:r>
              <w:rPr>
                <w:color w:val="auto"/>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restart"/>
            <w:tcBorders>
              <w:right w:val="single" w:color="auto" w:sz="2" w:space="0"/>
            </w:tcBorders>
            <w:vAlign w:val="center"/>
          </w:tcPr>
          <w:p>
            <w:pPr>
              <w:pStyle w:val="41"/>
              <w:rPr>
                <w:color w:val="auto"/>
              </w:rPr>
            </w:pPr>
            <w:r>
              <w:rPr>
                <w:color w:val="auto"/>
              </w:rPr>
              <w:t>原辅材料</w:t>
            </w:r>
          </w:p>
        </w:tc>
        <w:tc>
          <w:tcPr>
            <w:tcW w:w="2550" w:type="dxa"/>
            <w:tcBorders>
              <w:left w:val="single" w:color="auto" w:sz="2" w:space="0"/>
            </w:tcBorders>
            <w:vAlign w:val="center"/>
          </w:tcPr>
          <w:p>
            <w:pPr>
              <w:pStyle w:val="41"/>
              <w:rPr>
                <w:color w:val="auto"/>
              </w:rPr>
            </w:pPr>
            <w:r>
              <w:rPr>
                <w:color w:val="auto"/>
              </w:rPr>
              <w:t>工业硫酸</w:t>
            </w:r>
          </w:p>
        </w:tc>
        <w:tc>
          <w:tcPr>
            <w:tcW w:w="1762" w:type="dxa"/>
            <w:vAlign w:val="center"/>
          </w:tcPr>
          <w:p>
            <w:pPr>
              <w:pStyle w:val="41"/>
              <w:rPr>
                <w:color w:val="auto"/>
              </w:rPr>
            </w:pPr>
            <w:r>
              <w:rPr>
                <w:color w:val="auto"/>
              </w:rPr>
              <w:t>26.25t/a</w:t>
            </w:r>
          </w:p>
        </w:tc>
        <w:tc>
          <w:tcPr>
            <w:tcW w:w="1959" w:type="dxa"/>
            <w:vAlign w:val="center"/>
          </w:tcPr>
          <w:p>
            <w:pPr>
              <w:pStyle w:val="41"/>
              <w:rPr>
                <w:color w:val="auto"/>
              </w:rPr>
            </w:pPr>
            <w:r>
              <w:rPr>
                <w:rFonts w:hint="eastAsia"/>
                <w:color w:val="auto"/>
              </w:rPr>
              <w:t>2t</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SF-301 钢铁化学除油粉</w:t>
            </w:r>
          </w:p>
        </w:tc>
        <w:tc>
          <w:tcPr>
            <w:tcW w:w="1762" w:type="dxa"/>
            <w:vAlign w:val="center"/>
          </w:tcPr>
          <w:p>
            <w:pPr>
              <w:pStyle w:val="41"/>
              <w:rPr>
                <w:color w:val="auto"/>
              </w:rPr>
            </w:pPr>
            <w:r>
              <w:rPr>
                <w:rFonts w:hint="eastAsia"/>
                <w:color w:val="auto"/>
              </w:rPr>
              <w:t>2.4</w:t>
            </w:r>
            <w:r>
              <w:rPr>
                <w:color w:val="auto"/>
              </w:rPr>
              <w:t>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rFonts w:hint="eastAsia"/>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铬酸</w:t>
            </w:r>
            <w:r>
              <w:rPr>
                <w:rFonts w:hint="eastAsia"/>
                <w:color w:val="auto"/>
              </w:rPr>
              <w:t>酐</w:t>
            </w:r>
            <w:r>
              <w:rPr>
                <w:color w:val="auto"/>
              </w:rPr>
              <w:t>（99.8%）</w:t>
            </w:r>
          </w:p>
        </w:tc>
        <w:tc>
          <w:tcPr>
            <w:tcW w:w="1762" w:type="dxa"/>
            <w:vAlign w:val="center"/>
          </w:tcPr>
          <w:p>
            <w:pPr>
              <w:pStyle w:val="41"/>
              <w:rPr>
                <w:color w:val="auto"/>
              </w:rPr>
            </w:pPr>
            <w:r>
              <w:rPr>
                <w:rFonts w:hint="eastAsia"/>
                <w:color w:val="auto"/>
              </w:rPr>
              <w:t>0.</w:t>
            </w:r>
            <w:r>
              <w:rPr>
                <w:color w:val="auto"/>
              </w:rPr>
              <w:t>5t/a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氢氧化钠</w:t>
            </w:r>
          </w:p>
        </w:tc>
        <w:tc>
          <w:tcPr>
            <w:tcW w:w="1762" w:type="dxa"/>
            <w:vAlign w:val="center"/>
          </w:tcPr>
          <w:p>
            <w:pPr>
              <w:pStyle w:val="41"/>
              <w:rPr>
                <w:color w:val="auto"/>
              </w:rPr>
            </w:pPr>
            <w:r>
              <w:rPr>
                <w:color w:val="auto"/>
              </w:rPr>
              <w:t>7.5t/a</w:t>
            </w:r>
          </w:p>
        </w:tc>
        <w:tc>
          <w:tcPr>
            <w:tcW w:w="1959" w:type="dxa"/>
            <w:vAlign w:val="center"/>
          </w:tcPr>
          <w:p>
            <w:pPr>
              <w:pStyle w:val="41"/>
              <w:rPr>
                <w:color w:val="auto"/>
              </w:rPr>
            </w:pPr>
            <w:r>
              <w:rPr>
                <w:color w:val="auto"/>
              </w:rPr>
              <w:t>500kg</w:t>
            </w:r>
          </w:p>
        </w:tc>
        <w:tc>
          <w:tcPr>
            <w:tcW w:w="1722" w:type="dxa"/>
            <w:vAlign w:val="center"/>
          </w:tcPr>
          <w:p>
            <w:pPr>
              <w:pStyle w:val="41"/>
              <w:rPr>
                <w:color w:val="auto"/>
              </w:rPr>
            </w:pPr>
            <w:r>
              <w:rPr>
                <w:color w:val="auto"/>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防蚀剂</w:t>
            </w:r>
          </w:p>
        </w:tc>
        <w:tc>
          <w:tcPr>
            <w:tcW w:w="1762" w:type="dxa"/>
            <w:vAlign w:val="center"/>
          </w:tcPr>
          <w:p>
            <w:pPr>
              <w:pStyle w:val="41"/>
              <w:rPr>
                <w:color w:val="auto"/>
              </w:rPr>
            </w:pPr>
            <w:r>
              <w:rPr>
                <w:rFonts w:hint="eastAsia"/>
                <w:color w:val="auto"/>
              </w:rPr>
              <w:t>1.2</w:t>
            </w:r>
            <w:r>
              <w:rPr>
                <w:color w:val="auto"/>
              </w:rPr>
              <w:t>t/a</w:t>
            </w:r>
          </w:p>
        </w:tc>
        <w:tc>
          <w:tcPr>
            <w:tcW w:w="1959" w:type="dxa"/>
            <w:vAlign w:val="center"/>
          </w:tcPr>
          <w:p>
            <w:pPr>
              <w:pStyle w:val="41"/>
              <w:rPr>
                <w:color w:val="auto"/>
              </w:rPr>
            </w:pPr>
            <w:r>
              <w:rPr>
                <w:rFonts w:hint="eastAsia"/>
                <w:color w:val="auto"/>
              </w:rPr>
              <w:t>2</w:t>
            </w:r>
            <w:r>
              <w:rPr>
                <w:color w:val="auto"/>
              </w:rPr>
              <w:t>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氢氟酸</w:t>
            </w:r>
          </w:p>
        </w:tc>
        <w:tc>
          <w:tcPr>
            <w:tcW w:w="1762" w:type="dxa"/>
            <w:vAlign w:val="center"/>
          </w:tcPr>
          <w:p>
            <w:pPr>
              <w:pStyle w:val="41"/>
              <w:rPr>
                <w:color w:val="auto"/>
              </w:rPr>
            </w:pPr>
            <w:r>
              <w:rPr>
                <w:rFonts w:hint="eastAsia"/>
                <w:color w:val="auto"/>
              </w:rPr>
              <w:t>1.2</w:t>
            </w:r>
            <w:r>
              <w:rPr>
                <w:color w:val="auto"/>
              </w:rPr>
              <w:t>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硝酸</w:t>
            </w:r>
          </w:p>
        </w:tc>
        <w:tc>
          <w:tcPr>
            <w:tcW w:w="1762" w:type="dxa"/>
            <w:vAlign w:val="center"/>
          </w:tcPr>
          <w:p>
            <w:pPr>
              <w:pStyle w:val="41"/>
              <w:rPr>
                <w:color w:val="auto"/>
              </w:rPr>
            </w:pPr>
            <w:r>
              <w:rPr>
                <w:rFonts w:hint="eastAsia"/>
                <w:color w:val="auto"/>
              </w:rPr>
              <w:t>1.8</w:t>
            </w:r>
            <w:r>
              <w:rPr>
                <w:color w:val="auto"/>
              </w:rPr>
              <w:t>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草酸</w:t>
            </w:r>
          </w:p>
        </w:tc>
        <w:tc>
          <w:tcPr>
            <w:tcW w:w="1762" w:type="dxa"/>
            <w:vAlign w:val="center"/>
          </w:tcPr>
          <w:p>
            <w:pPr>
              <w:pStyle w:val="41"/>
              <w:rPr>
                <w:color w:val="auto"/>
              </w:rPr>
            </w:pPr>
            <w:r>
              <w:rPr>
                <w:rFonts w:hint="eastAsia"/>
                <w:color w:val="auto"/>
              </w:rPr>
              <w:t>1.5</w:t>
            </w:r>
            <w:r>
              <w:rPr>
                <w:color w:val="auto"/>
              </w:rPr>
              <w:t>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表调剂</w:t>
            </w:r>
          </w:p>
        </w:tc>
        <w:tc>
          <w:tcPr>
            <w:tcW w:w="1762" w:type="dxa"/>
            <w:vAlign w:val="center"/>
          </w:tcPr>
          <w:p>
            <w:pPr>
              <w:pStyle w:val="41"/>
              <w:rPr>
                <w:color w:val="auto"/>
              </w:rPr>
            </w:pPr>
            <w:r>
              <w:rPr>
                <w:rFonts w:hint="eastAsia"/>
                <w:color w:val="auto"/>
              </w:rPr>
              <w:t>1.0</w:t>
            </w:r>
            <w:r>
              <w:rPr>
                <w:color w:val="auto"/>
              </w:rPr>
              <w:t>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三价铬蓝白钝化剂</w:t>
            </w:r>
          </w:p>
        </w:tc>
        <w:tc>
          <w:tcPr>
            <w:tcW w:w="1762" w:type="dxa"/>
            <w:vAlign w:val="center"/>
          </w:tcPr>
          <w:p>
            <w:pPr>
              <w:pStyle w:val="41"/>
              <w:rPr>
                <w:color w:val="auto"/>
              </w:rPr>
            </w:pPr>
            <w:r>
              <w:rPr>
                <w:rFonts w:hint="eastAsia"/>
                <w:color w:val="auto"/>
                <w:lang w:val="en-US" w:eastAsia="zh-CN"/>
              </w:rPr>
              <w:t>4.</w:t>
            </w:r>
            <w:r>
              <w:rPr>
                <w:rFonts w:hint="eastAsia"/>
                <w:color w:val="auto"/>
              </w:rPr>
              <w:t>8t/a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硫酸铜</w:t>
            </w:r>
          </w:p>
        </w:tc>
        <w:tc>
          <w:tcPr>
            <w:tcW w:w="1762" w:type="dxa"/>
            <w:vAlign w:val="center"/>
          </w:tcPr>
          <w:p>
            <w:pPr>
              <w:pStyle w:val="41"/>
              <w:rPr>
                <w:color w:val="auto"/>
              </w:rPr>
            </w:pPr>
            <w:r>
              <w:rPr>
                <w:color w:val="auto"/>
              </w:rPr>
              <w:t>7.5t/a</w:t>
            </w:r>
          </w:p>
        </w:tc>
        <w:tc>
          <w:tcPr>
            <w:tcW w:w="1959" w:type="dxa"/>
            <w:vAlign w:val="center"/>
          </w:tcPr>
          <w:p>
            <w:pPr>
              <w:pStyle w:val="41"/>
              <w:rPr>
                <w:color w:val="auto"/>
              </w:rPr>
            </w:pPr>
            <w:r>
              <w:rPr>
                <w:color w:val="auto"/>
              </w:rPr>
              <w:t>500kg</w:t>
            </w:r>
          </w:p>
        </w:tc>
        <w:tc>
          <w:tcPr>
            <w:tcW w:w="1722" w:type="dxa"/>
            <w:vAlign w:val="center"/>
          </w:tcPr>
          <w:p>
            <w:pPr>
              <w:pStyle w:val="41"/>
              <w:rPr>
                <w:color w:val="auto"/>
              </w:rPr>
            </w:pPr>
            <w:r>
              <w:rPr>
                <w:color w:val="auto"/>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酒石</w:t>
            </w:r>
          </w:p>
        </w:tc>
        <w:tc>
          <w:tcPr>
            <w:tcW w:w="1762" w:type="dxa"/>
            <w:vAlign w:val="center"/>
          </w:tcPr>
          <w:p>
            <w:pPr>
              <w:pStyle w:val="41"/>
              <w:rPr>
                <w:color w:val="auto"/>
              </w:rPr>
            </w:pPr>
            <w:r>
              <w:rPr>
                <w:color w:val="auto"/>
              </w:rPr>
              <w:t>3.6t/a</w:t>
            </w:r>
          </w:p>
        </w:tc>
        <w:tc>
          <w:tcPr>
            <w:tcW w:w="1959" w:type="dxa"/>
            <w:vAlign w:val="center"/>
          </w:tcPr>
          <w:p>
            <w:pPr>
              <w:pStyle w:val="41"/>
              <w:rPr>
                <w:color w:val="auto"/>
              </w:rPr>
            </w:pPr>
            <w:r>
              <w:rPr>
                <w:color w:val="auto"/>
              </w:rPr>
              <w:t>500kg</w:t>
            </w:r>
          </w:p>
        </w:tc>
        <w:tc>
          <w:tcPr>
            <w:tcW w:w="1722" w:type="dxa"/>
            <w:vAlign w:val="center"/>
          </w:tcPr>
          <w:p>
            <w:pPr>
              <w:pStyle w:val="41"/>
              <w:rPr>
                <w:color w:val="auto"/>
              </w:rPr>
            </w:pPr>
            <w:r>
              <w:rPr>
                <w:color w:val="auto"/>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盐酸</w:t>
            </w:r>
          </w:p>
        </w:tc>
        <w:tc>
          <w:tcPr>
            <w:tcW w:w="1762" w:type="dxa"/>
            <w:vAlign w:val="center"/>
          </w:tcPr>
          <w:p>
            <w:pPr>
              <w:pStyle w:val="41"/>
              <w:rPr>
                <w:color w:val="auto"/>
              </w:rPr>
            </w:pPr>
            <w:r>
              <w:rPr>
                <w:color w:val="auto"/>
              </w:rPr>
              <w:t>1.2t/a</w:t>
            </w:r>
          </w:p>
        </w:tc>
        <w:tc>
          <w:tcPr>
            <w:tcW w:w="1959" w:type="dxa"/>
            <w:vAlign w:val="center"/>
          </w:tcPr>
          <w:p>
            <w:pPr>
              <w:pStyle w:val="41"/>
              <w:rPr>
                <w:color w:val="auto"/>
              </w:rPr>
            </w:pPr>
            <w:r>
              <w:rPr>
                <w:color w:val="auto"/>
              </w:rPr>
              <w:t>125kg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光亮添加剂</w:t>
            </w:r>
          </w:p>
        </w:tc>
        <w:tc>
          <w:tcPr>
            <w:tcW w:w="1762" w:type="dxa"/>
            <w:vAlign w:val="center"/>
          </w:tcPr>
          <w:p>
            <w:pPr>
              <w:pStyle w:val="41"/>
              <w:rPr>
                <w:color w:val="auto"/>
              </w:rPr>
            </w:pPr>
            <w:r>
              <w:rPr>
                <w:color w:val="auto"/>
              </w:rPr>
              <w:t>11.25t/a</w:t>
            </w:r>
          </w:p>
        </w:tc>
        <w:tc>
          <w:tcPr>
            <w:tcW w:w="1959" w:type="dxa"/>
            <w:vAlign w:val="center"/>
          </w:tcPr>
          <w:p>
            <w:pPr>
              <w:pStyle w:val="41"/>
              <w:rPr>
                <w:color w:val="auto"/>
              </w:rPr>
            </w:pPr>
            <w:r>
              <w:rPr>
                <w:color w:val="auto"/>
              </w:rPr>
              <w:t>1t</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氰化亚铜</w:t>
            </w:r>
          </w:p>
        </w:tc>
        <w:tc>
          <w:tcPr>
            <w:tcW w:w="1762" w:type="dxa"/>
            <w:vAlign w:val="center"/>
          </w:tcPr>
          <w:p>
            <w:pPr>
              <w:pStyle w:val="41"/>
              <w:rPr>
                <w:color w:val="auto"/>
              </w:rPr>
            </w:pPr>
            <w:r>
              <w:rPr>
                <w:rFonts w:hint="eastAsia"/>
                <w:color w:val="auto"/>
              </w:rPr>
              <w:t>0.6</w:t>
            </w:r>
            <w:r>
              <w:rPr>
                <w:color w:val="auto"/>
              </w:rPr>
              <w:t>t/a</w:t>
            </w:r>
          </w:p>
        </w:tc>
        <w:tc>
          <w:tcPr>
            <w:tcW w:w="1959" w:type="dxa"/>
            <w:vAlign w:val="center"/>
          </w:tcPr>
          <w:p>
            <w:pPr>
              <w:pStyle w:val="41"/>
              <w:rPr>
                <w:color w:val="auto"/>
              </w:rPr>
            </w:pPr>
            <w:r>
              <w:rPr>
                <w:rFonts w:hint="eastAsia"/>
                <w:color w:val="auto"/>
              </w:rPr>
              <w:t>1</w:t>
            </w:r>
            <w:r>
              <w:rPr>
                <w:color w:val="auto"/>
              </w:rPr>
              <w:t>00kg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氰化钠</w:t>
            </w:r>
          </w:p>
        </w:tc>
        <w:tc>
          <w:tcPr>
            <w:tcW w:w="1762" w:type="dxa"/>
            <w:vAlign w:val="center"/>
          </w:tcPr>
          <w:p>
            <w:pPr>
              <w:pStyle w:val="41"/>
              <w:rPr>
                <w:color w:val="auto"/>
              </w:rPr>
            </w:pPr>
            <w:r>
              <w:rPr>
                <w:rFonts w:hint="eastAsia"/>
                <w:color w:val="auto"/>
              </w:rPr>
              <w:t>0.6</w:t>
            </w:r>
            <w:r>
              <w:rPr>
                <w:color w:val="auto"/>
              </w:rPr>
              <w:t>t/a</w:t>
            </w:r>
          </w:p>
        </w:tc>
        <w:tc>
          <w:tcPr>
            <w:tcW w:w="1959" w:type="dxa"/>
            <w:vAlign w:val="center"/>
          </w:tcPr>
          <w:p>
            <w:pPr>
              <w:pStyle w:val="41"/>
              <w:rPr>
                <w:color w:val="auto"/>
              </w:rPr>
            </w:pPr>
            <w:r>
              <w:rPr>
                <w:rFonts w:hint="eastAsia"/>
                <w:color w:val="auto"/>
              </w:rPr>
              <w:t>5</w:t>
            </w:r>
            <w:r>
              <w:rPr>
                <w:color w:val="auto"/>
              </w:rPr>
              <w:t>0kg</w:t>
            </w:r>
          </w:p>
        </w:tc>
        <w:tc>
          <w:tcPr>
            <w:tcW w:w="1722" w:type="dxa"/>
            <w:vAlign w:val="center"/>
          </w:tcPr>
          <w:p>
            <w:pPr>
              <w:pStyle w:val="41"/>
              <w:rPr>
                <w:color w:val="auto"/>
              </w:rPr>
            </w:pPr>
            <w:r>
              <w:rPr>
                <w:rFonts w:hint="eastAsia"/>
                <w:color w:val="auto"/>
              </w:rPr>
              <w:t>铁桶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氯化镍</w:t>
            </w:r>
          </w:p>
        </w:tc>
        <w:tc>
          <w:tcPr>
            <w:tcW w:w="1762" w:type="dxa"/>
            <w:vAlign w:val="center"/>
          </w:tcPr>
          <w:p>
            <w:pPr>
              <w:pStyle w:val="41"/>
              <w:rPr>
                <w:color w:val="auto"/>
              </w:rPr>
            </w:pPr>
            <w:r>
              <w:rPr>
                <w:rFonts w:hint="eastAsia"/>
                <w:color w:val="auto"/>
              </w:rPr>
              <w:t>1.8</w:t>
            </w:r>
            <w:r>
              <w:rPr>
                <w:color w:val="auto"/>
              </w:rPr>
              <w:t>t/a</w:t>
            </w:r>
          </w:p>
        </w:tc>
        <w:tc>
          <w:tcPr>
            <w:tcW w:w="1959" w:type="dxa"/>
            <w:vAlign w:val="center"/>
          </w:tcPr>
          <w:p>
            <w:pPr>
              <w:pStyle w:val="41"/>
              <w:rPr>
                <w:color w:val="auto"/>
              </w:rPr>
            </w:pPr>
            <w:r>
              <w:rPr>
                <w:color w:val="auto"/>
              </w:rPr>
              <w:t>100kg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硼酸</w:t>
            </w:r>
          </w:p>
        </w:tc>
        <w:tc>
          <w:tcPr>
            <w:tcW w:w="1762" w:type="dxa"/>
            <w:vAlign w:val="center"/>
          </w:tcPr>
          <w:p>
            <w:pPr>
              <w:pStyle w:val="41"/>
              <w:rPr>
                <w:color w:val="auto"/>
              </w:rPr>
            </w:pPr>
            <w:r>
              <w:rPr>
                <w:color w:val="auto"/>
              </w:rPr>
              <w:t>3.6t/a</w:t>
            </w:r>
          </w:p>
        </w:tc>
        <w:tc>
          <w:tcPr>
            <w:tcW w:w="1959" w:type="dxa"/>
            <w:vAlign w:val="center"/>
          </w:tcPr>
          <w:p>
            <w:pPr>
              <w:pStyle w:val="41"/>
              <w:rPr>
                <w:color w:val="auto"/>
              </w:rPr>
            </w:pPr>
            <w:r>
              <w:rPr>
                <w:color w:val="auto"/>
              </w:rPr>
              <w:t>200kg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硫酸镍</w:t>
            </w:r>
          </w:p>
        </w:tc>
        <w:tc>
          <w:tcPr>
            <w:tcW w:w="1762" w:type="dxa"/>
            <w:vAlign w:val="center"/>
          </w:tcPr>
          <w:p>
            <w:pPr>
              <w:pStyle w:val="41"/>
              <w:rPr>
                <w:color w:val="auto"/>
              </w:rPr>
            </w:pPr>
            <w:r>
              <w:rPr>
                <w:rFonts w:hint="eastAsia"/>
                <w:color w:val="auto"/>
              </w:rPr>
              <w:t>1.8</w:t>
            </w:r>
            <w:r>
              <w:rPr>
                <w:color w:val="auto"/>
              </w:rPr>
              <w:t>t/a</w:t>
            </w:r>
          </w:p>
        </w:tc>
        <w:tc>
          <w:tcPr>
            <w:tcW w:w="1959" w:type="dxa"/>
            <w:vAlign w:val="center"/>
          </w:tcPr>
          <w:p>
            <w:pPr>
              <w:pStyle w:val="41"/>
              <w:rPr>
                <w:color w:val="auto"/>
              </w:rPr>
            </w:pPr>
            <w:r>
              <w:rPr>
                <w:color w:val="auto"/>
              </w:rPr>
              <w:t>200kg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restart"/>
            <w:tcBorders>
              <w:right w:val="single" w:color="auto" w:sz="2" w:space="0"/>
            </w:tcBorders>
            <w:vAlign w:val="center"/>
          </w:tcPr>
          <w:p>
            <w:pPr>
              <w:pStyle w:val="41"/>
              <w:rPr>
                <w:color w:val="auto"/>
              </w:rPr>
            </w:pPr>
            <w:r>
              <w:rPr>
                <w:color w:val="auto"/>
              </w:rPr>
              <w:t>能源</w:t>
            </w:r>
          </w:p>
        </w:tc>
        <w:tc>
          <w:tcPr>
            <w:tcW w:w="2550" w:type="dxa"/>
            <w:tcBorders>
              <w:left w:val="single" w:color="auto" w:sz="2" w:space="0"/>
            </w:tcBorders>
            <w:vAlign w:val="center"/>
          </w:tcPr>
          <w:p>
            <w:pPr>
              <w:pStyle w:val="41"/>
              <w:rPr>
                <w:color w:val="auto"/>
              </w:rPr>
            </w:pPr>
            <w:r>
              <w:rPr>
                <w:color w:val="auto"/>
              </w:rPr>
              <w:t>水</w:t>
            </w:r>
          </w:p>
        </w:tc>
        <w:tc>
          <w:tcPr>
            <w:tcW w:w="1762" w:type="dxa"/>
            <w:vAlign w:val="center"/>
          </w:tcPr>
          <w:p>
            <w:pPr>
              <w:pStyle w:val="41"/>
              <w:rPr>
                <w:color w:val="auto"/>
              </w:rPr>
            </w:pPr>
            <w:r>
              <w:rPr>
                <w:rFonts w:hint="eastAsia"/>
                <w:color w:val="auto"/>
              </w:rPr>
              <w:t>9067</w:t>
            </w:r>
            <w:r>
              <w:rPr>
                <w:color w:val="auto"/>
              </w:rPr>
              <w:t>t/a</w:t>
            </w:r>
          </w:p>
        </w:tc>
        <w:tc>
          <w:tcPr>
            <w:tcW w:w="1959" w:type="dxa"/>
            <w:vAlign w:val="center"/>
          </w:tcPr>
          <w:p>
            <w:pPr>
              <w:pStyle w:val="41"/>
              <w:rPr>
                <w:color w:val="auto"/>
              </w:rPr>
            </w:pPr>
            <w:r>
              <w:rPr>
                <w:color w:val="auto"/>
              </w:rPr>
              <w:t>-</w:t>
            </w:r>
          </w:p>
        </w:tc>
        <w:tc>
          <w:tcPr>
            <w:tcW w:w="1722" w:type="dxa"/>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电</w:t>
            </w:r>
          </w:p>
        </w:tc>
        <w:tc>
          <w:tcPr>
            <w:tcW w:w="1762" w:type="dxa"/>
            <w:vAlign w:val="center"/>
          </w:tcPr>
          <w:p>
            <w:pPr>
              <w:pStyle w:val="41"/>
              <w:rPr>
                <w:color w:val="auto"/>
              </w:rPr>
            </w:pPr>
            <w:r>
              <w:rPr>
                <w:rFonts w:hint="eastAsia"/>
                <w:color w:val="auto"/>
              </w:rPr>
              <w:t>5</w:t>
            </w:r>
            <w:r>
              <w:rPr>
                <w:color w:val="auto"/>
              </w:rPr>
              <w:t>0</w:t>
            </w:r>
            <w:r>
              <w:rPr>
                <w:rFonts w:hint="eastAsia"/>
                <w:color w:val="auto"/>
              </w:rPr>
              <w:t>万</w:t>
            </w:r>
            <w:r>
              <w:rPr>
                <w:color w:val="auto"/>
              </w:rPr>
              <w:t>kwh/a</w:t>
            </w:r>
          </w:p>
        </w:tc>
        <w:tc>
          <w:tcPr>
            <w:tcW w:w="1959" w:type="dxa"/>
            <w:vAlign w:val="center"/>
          </w:tcPr>
          <w:p>
            <w:pPr>
              <w:pStyle w:val="41"/>
              <w:rPr>
                <w:color w:val="auto"/>
              </w:rPr>
            </w:pPr>
            <w:r>
              <w:rPr>
                <w:color w:val="auto"/>
              </w:rPr>
              <w:t>-</w:t>
            </w:r>
          </w:p>
        </w:tc>
        <w:tc>
          <w:tcPr>
            <w:tcW w:w="1722" w:type="dxa"/>
            <w:vAlign w:val="center"/>
          </w:tcPr>
          <w:p>
            <w:pPr>
              <w:pStyle w:val="41"/>
              <w:rPr>
                <w:color w:val="auto"/>
              </w:rPr>
            </w:pPr>
          </w:p>
        </w:tc>
      </w:tr>
    </w:tbl>
    <w:p>
      <w:pPr>
        <w:snapToGrid w:val="0"/>
        <w:spacing w:line="360" w:lineRule="auto"/>
        <w:outlineLvl w:val="2"/>
        <w:rPr>
          <w:b/>
          <w:color w:val="auto"/>
          <w:sz w:val="24"/>
        </w:rPr>
      </w:pPr>
      <w:r>
        <w:rPr>
          <w:rFonts w:hint="eastAsia"/>
          <w:color w:val="auto"/>
        </w:rPr>
        <w:t>注：实际生产过程中由于产品质量要求提高，三价铬蓝白钝化剂使用量较环评设计时有所增加。</w:t>
      </w:r>
    </w:p>
    <w:p>
      <w:pPr>
        <w:snapToGrid w:val="0"/>
        <w:spacing w:line="360" w:lineRule="auto"/>
        <w:outlineLvl w:val="2"/>
        <w:rPr>
          <w:b/>
          <w:color w:val="auto"/>
          <w:sz w:val="24"/>
        </w:rPr>
      </w:pPr>
      <w:r>
        <w:rPr>
          <w:b/>
          <w:color w:val="auto"/>
          <w:sz w:val="24"/>
        </w:rPr>
        <w:t>5.1.</w:t>
      </w:r>
      <w:r>
        <w:rPr>
          <w:rFonts w:hint="eastAsia"/>
          <w:b/>
          <w:color w:val="auto"/>
          <w:sz w:val="24"/>
        </w:rPr>
        <w:t>3原有工程主要设备</w:t>
      </w:r>
    </w:p>
    <w:p>
      <w:pPr>
        <w:pStyle w:val="13"/>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根据《福鼎市质达金属表面处理有限公司各类金属元件表面处理项目竣工验收监测报告》，原有工程主要生产设备见表5.1-2~表5.1-3。</w:t>
      </w:r>
    </w:p>
    <w:p>
      <w:pPr>
        <w:spacing w:line="360" w:lineRule="auto"/>
        <w:jc w:val="center"/>
        <w:rPr>
          <w:rFonts w:hAnsi="宋体"/>
          <w:b/>
          <w:color w:val="auto"/>
          <w:sz w:val="24"/>
        </w:rPr>
      </w:pPr>
      <w:r>
        <w:rPr>
          <w:rFonts w:hAnsi="宋体"/>
          <w:b/>
          <w:color w:val="auto"/>
          <w:sz w:val="24"/>
        </w:rPr>
        <w:t>表</w:t>
      </w:r>
      <w:r>
        <w:rPr>
          <w:b/>
          <w:color w:val="auto"/>
          <w:sz w:val="24"/>
        </w:rPr>
        <w:t>5.</w:t>
      </w:r>
      <w:r>
        <w:rPr>
          <w:rFonts w:hint="eastAsia"/>
          <w:b/>
          <w:color w:val="auto"/>
          <w:sz w:val="24"/>
        </w:rPr>
        <w:t>1-2</w:t>
      </w:r>
      <w:r>
        <w:rPr>
          <w:b/>
          <w:color w:val="auto"/>
          <w:sz w:val="24"/>
        </w:rPr>
        <w:t xml:space="preserve"> </w:t>
      </w:r>
      <w:r>
        <w:rPr>
          <w:rFonts w:hint="eastAsia"/>
          <w:b/>
          <w:color w:val="auto"/>
          <w:sz w:val="24"/>
        </w:rPr>
        <w:t>低轨龙门挂镀线生产线(锌合金钝化、铝合金氧化)</w:t>
      </w:r>
      <w:r>
        <w:rPr>
          <w:rFonts w:hAnsi="宋体"/>
          <w:b/>
          <w:color w:val="auto"/>
          <w:sz w:val="24"/>
        </w:rPr>
        <w:t>主要生产设备一览表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164"/>
        <w:gridCol w:w="3760"/>
        <w:gridCol w:w="1289"/>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widowControl/>
              <w:jc w:val="center"/>
              <w:rPr>
                <w:color w:val="auto"/>
                <w:kern w:val="0"/>
                <w:szCs w:val="21"/>
              </w:rPr>
            </w:pPr>
            <w:r>
              <w:rPr>
                <w:rFonts w:hAnsi="宋体"/>
                <w:color w:val="auto"/>
                <w:kern w:val="0"/>
                <w:szCs w:val="21"/>
              </w:rPr>
              <w:t>序号</w:t>
            </w:r>
          </w:p>
        </w:tc>
        <w:tc>
          <w:tcPr>
            <w:tcW w:w="2164" w:type="dxa"/>
            <w:noWrap/>
            <w:vAlign w:val="center"/>
          </w:tcPr>
          <w:p>
            <w:pPr>
              <w:widowControl/>
              <w:jc w:val="center"/>
              <w:rPr>
                <w:color w:val="auto"/>
                <w:kern w:val="0"/>
                <w:szCs w:val="21"/>
              </w:rPr>
            </w:pPr>
            <w:r>
              <w:rPr>
                <w:rFonts w:hAnsi="宋体"/>
                <w:color w:val="auto"/>
                <w:kern w:val="0"/>
                <w:szCs w:val="21"/>
              </w:rPr>
              <w:t>设备名称</w:t>
            </w:r>
          </w:p>
        </w:tc>
        <w:tc>
          <w:tcPr>
            <w:tcW w:w="3760" w:type="dxa"/>
            <w:noWrap/>
            <w:vAlign w:val="center"/>
          </w:tcPr>
          <w:p>
            <w:pPr>
              <w:widowControl/>
              <w:jc w:val="center"/>
              <w:rPr>
                <w:color w:val="auto"/>
                <w:kern w:val="0"/>
                <w:szCs w:val="21"/>
              </w:rPr>
            </w:pPr>
            <w:r>
              <w:rPr>
                <w:rFonts w:hAnsi="宋体"/>
                <w:color w:val="auto"/>
                <w:kern w:val="0"/>
                <w:szCs w:val="21"/>
              </w:rPr>
              <w:t>型号</w:t>
            </w:r>
            <w:r>
              <w:rPr>
                <w:rFonts w:hint="eastAsia" w:hAnsi="宋体"/>
                <w:color w:val="auto"/>
                <w:kern w:val="0"/>
                <w:szCs w:val="21"/>
              </w:rPr>
              <w:t>/规格</w:t>
            </w:r>
          </w:p>
        </w:tc>
        <w:tc>
          <w:tcPr>
            <w:tcW w:w="1289" w:type="dxa"/>
            <w:noWrap/>
            <w:vAlign w:val="center"/>
          </w:tcPr>
          <w:p>
            <w:pPr>
              <w:widowControl/>
              <w:jc w:val="center"/>
              <w:rPr>
                <w:color w:val="auto"/>
                <w:kern w:val="0"/>
                <w:szCs w:val="21"/>
              </w:rPr>
            </w:pPr>
            <w:r>
              <w:rPr>
                <w:rFonts w:hAnsi="宋体"/>
                <w:color w:val="auto"/>
                <w:kern w:val="0"/>
                <w:szCs w:val="21"/>
              </w:rPr>
              <w:t>单位</w:t>
            </w:r>
          </w:p>
        </w:tc>
        <w:tc>
          <w:tcPr>
            <w:tcW w:w="1287" w:type="dxa"/>
            <w:noWrap/>
            <w:vAlign w:val="center"/>
          </w:tcPr>
          <w:p>
            <w:pPr>
              <w:widowControl/>
              <w:jc w:val="center"/>
              <w:rPr>
                <w:color w:val="auto"/>
                <w:kern w:val="0"/>
                <w:szCs w:val="21"/>
              </w:rPr>
            </w:pPr>
            <w:r>
              <w:rPr>
                <w:rFonts w:hAnsi="宋体"/>
                <w:color w:val="auto"/>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Ansi="宋体"/>
                <w:color w:val="auto"/>
                <w:szCs w:val="21"/>
              </w:rPr>
              <w:t>1</w:t>
            </w:r>
          </w:p>
        </w:tc>
        <w:tc>
          <w:tcPr>
            <w:tcW w:w="2164" w:type="dxa"/>
            <w:vAlign w:val="center"/>
          </w:tcPr>
          <w:p>
            <w:pPr>
              <w:ind w:left="1260" w:hanging="1260" w:hangingChars="600"/>
              <w:jc w:val="center"/>
              <w:rPr>
                <w:rFonts w:hAnsi="宋体"/>
                <w:color w:val="auto"/>
                <w:szCs w:val="21"/>
              </w:rPr>
            </w:pPr>
            <w:r>
              <w:rPr>
                <w:rFonts w:hint="eastAsia" w:hAnsi="宋体"/>
                <w:color w:val="auto"/>
                <w:szCs w:val="21"/>
              </w:rPr>
              <w:t>不锈钢热除油槽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L1900mm×W900mm×H1000mm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Ansi="宋体"/>
                <w:color w:val="auto"/>
                <w:szCs w:val="21"/>
              </w:rPr>
              <w:t>2</w:t>
            </w:r>
          </w:p>
        </w:tc>
        <w:tc>
          <w:tcPr>
            <w:tcW w:w="2164" w:type="dxa"/>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mm×W850 mm×H1000 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3</w:t>
            </w:r>
          </w:p>
        </w:tc>
        <w:tc>
          <w:tcPr>
            <w:tcW w:w="2164" w:type="dxa"/>
            <w:vAlign w:val="center"/>
          </w:tcPr>
          <w:p>
            <w:pPr>
              <w:ind w:left="1260" w:hanging="1260" w:hangingChars="600"/>
              <w:jc w:val="center"/>
              <w:rPr>
                <w:rFonts w:hAnsi="宋体"/>
                <w:color w:val="auto"/>
                <w:szCs w:val="21"/>
              </w:rPr>
            </w:pPr>
            <w:r>
              <w:rPr>
                <w:rFonts w:hint="eastAsia" w:hAnsi="宋体"/>
                <w:color w:val="auto"/>
                <w:szCs w:val="21"/>
              </w:rPr>
              <w:t>出光</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mm×W850 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4</w:t>
            </w:r>
          </w:p>
        </w:tc>
        <w:tc>
          <w:tcPr>
            <w:tcW w:w="2164" w:type="dxa"/>
            <w:vAlign w:val="center"/>
          </w:tcPr>
          <w:p>
            <w:pPr>
              <w:ind w:left="1260" w:hanging="1260" w:hangingChars="600"/>
              <w:jc w:val="center"/>
              <w:rPr>
                <w:rFonts w:hAnsi="宋体"/>
                <w:color w:val="auto"/>
                <w:szCs w:val="21"/>
              </w:rPr>
            </w:pPr>
            <w:r>
              <w:rPr>
                <w:rFonts w:hint="eastAsia" w:hAnsi="宋体"/>
                <w:color w:val="auto"/>
                <w:szCs w:val="21"/>
              </w:rPr>
              <w:t>表调</w:t>
            </w:r>
            <w:r>
              <w:rPr>
                <w:rFonts w:hAnsi="宋体"/>
                <w:color w:val="auto"/>
                <w:szCs w:val="21"/>
              </w:rPr>
              <w:t>槽</w:t>
            </w:r>
          </w:p>
        </w:tc>
        <w:tc>
          <w:tcPr>
            <w:tcW w:w="3760" w:type="dxa"/>
            <w:vAlign w:val="center"/>
          </w:tcPr>
          <w:p>
            <w:pPr>
              <w:ind w:left="1260" w:hanging="1260" w:hangingChars="600"/>
              <w:jc w:val="center"/>
              <w:rPr>
                <w:rFonts w:hAnsi="宋体"/>
                <w:color w:val="auto"/>
                <w:szCs w:val="21"/>
              </w:rPr>
            </w:pPr>
            <w:r>
              <w:rPr>
                <w:rFonts w:hint="eastAsia" w:hAnsi="宋体"/>
                <w:color w:val="auto"/>
                <w:szCs w:val="21"/>
              </w:rPr>
              <w:t>L1900 mm×W800 mm×H1000 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5</w:t>
            </w:r>
          </w:p>
        </w:tc>
        <w:tc>
          <w:tcPr>
            <w:tcW w:w="2164" w:type="dxa"/>
            <w:noWrap/>
            <w:vAlign w:val="center"/>
          </w:tcPr>
          <w:p>
            <w:pPr>
              <w:ind w:left="1260" w:hanging="1260" w:hangingChars="600"/>
              <w:jc w:val="center"/>
              <w:rPr>
                <w:rFonts w:hAnsi="宋体"/>
                <w:color w:val="auto"/>
                <w:szCs w:val="21"/>
              </w:rPr>
            </w:pPr>
            <w:r>
              <w:rPr>
                <w:rFonts w:hint="eastAsia" w:hAnsi="宋体"/>
                <w:color w:val="auto"/>
                <w:szCs w:val="21"/>
              </w:rPr>
              <w:t>活化</w:t>
            </w:r>
            <w:r>
              <w:rPr>
                <w:rFonts w:hAnsi="宋体"/>
                <w:color w:val="auto"/>
                <w:szCs w:val="21"/>
              </w:rPr>
              <w:t>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mm×W850 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Ansi="宋体"/>
                <w:color w:val="auto"/>
                <w:szCs w:val="21"/>
              </w:rPr>
              <w:t xml:space="preserve">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6</w:t>
            </w:r>
          </w:p>
        </w:tc>
        <w:tc>
          <w:tcPr>
            <w:tcW w:w="2164" w:type="dxa"/>
            <w:noWrap/>
            <w:vAlign w:val="center"/>
          </w:tcPr>
          <w:p>
            <w:pPr>
              <w:ind w:left="1260" w:hanging="1260" w:hangingChars="600"/>
              <w:jc w:val="center"/>
              <w:rPr>
                <w:rFonts w:hAnsi="宋体"/>
                <w:color w:val="auto"/>
                <w:szCs w:val="21"/>
              </w:rPr>
            </w:pPr>
            <w:r>
              <w:rPr>
                <w:rFonts w:hint="eastAsia" w:hAnsi="宋体"/>
                <w:color w:val="auto"/>
                <w:szCs w:val="21"/>
              </w:rPr>
              <w:t>钝化</w:t>
            </w:r>
            <w:r>
              <w:rPr>
                <w:rFonts w:hAnsi="宋体"/>
                <w:color w:val="auto"/>
                <w:szCs w:val="21"/>
              </w:rPr>
              <w:t>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mm×W800 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7</w:t>
            </w:r>
          </w:p>
        </w:tc>
        <w:tc>
          <w:tcPr>
            <w:tcW w:w="2164" w:type="dxa"/>
            <w:noWrap/>
            <w:vAlign w:val="center"/>
          </w:tcPr>
          <w:p>
            <w:pPr>
              <w:ind w:left="1260" w:hanging="1260" w:hangingChars="600"/>
              <w:jc w:val="center"/>
              <w:rPr>
                <w:rFonts w:hAnsi="宋体"/>
                <w:color w:val="auto"/>
                <w:szCs w:val="21"/>
              </w:rPr>
            </w:pPr>
            <w:r>
              <w:rPr>
                <w:rFonts w:hint="eastAsia" w:hAnsi="宋体"/>
                <w:color w:val="auto"/>
                <w:szCs w:val="21"/>
              </w:rPr>
              <w:t>钝化</w:t>
            </w:r>
            <w:r>
              <w:rPr>
                <w:rFonts w:hAnsi="宋体"/>
                <w:color w:val="auto"/>
                <w:szCs w:val="21"/>
              </w:rPr>
              <w:t>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mm×W850 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8</w:t>
            </w:r>
          </w:p>
        </w:tc>
        <w:tc>
          <w:tcPr>
            <w:tcW w:w="2164" w:type="dxa"/>
            <w:noWrap/>
            <w:vAlign w:val="center"/>
          </w:tcPr>
          <w:p>
            <w:pPr>
              <w:ind w:left="1260" w:hanging="1260" w:hangingChars="600"/>
              <w:jc w:val="center"/>
              <w:rPr>
                <w:rFonts w:hAnsi="宋体"/>
                <w:color w:val="auto"/>
                <w:szCs w:val="21"/>
              </w:rPr>
            </w:pPr>
            <w:r>
              <w:rPr>
                <w:rFonts w:hint="eastAsia" w:hAnsi="宋体"/>
                <w:color w:val="auto"/>
                <w:szCs w:val="21"/>
              </w:rPr>
              <w:t>氧化</w:t>
            </w:r>
            <w:r>
              <w:rPr>
                <w:rFonts w:hAnsi="宋体"/>
                <w:color w:val="auto"/>
                <w:szCs w:val="21"/>
              </w:rPr>
              <w:t>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mm×W850 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9</w:t>
            </w:r>
          </w:p>
        </w:tc>
        <w:tc>
          <w:tcPr>
            <w:tcW w:w="2164" w:type="dxa"/>
            <w:noWrap/>
            <w:vAlign w:val="center"/>
          </w:tcPr>
          <w:p>
            <w:pPr>
              <w:ind w:left="1260" w:hanging="1260" w:hangingChars="600"/>
              <w:jc w:val="center"/>
              <w:rPr>
                <w:rFonts w:hAnsi="宋体"/>
                <w:color w:val="auto"/>
                <w:szCs w:val="21"/>
              </w:rPr>
            </w:pPr>
            <w:r>
              <w:rPr>
                <w:rFonts w:hint="eastAsia" w:hAnsi="宋体"/>
                <w:color w:val="auto"/>
                <w:szCs w:val="21"/>
              </w:rPr>
              <w:t>不锈钢热水洗</w:t>
            </w:r>
            <w:r>
              <w:rPr>
                <w:rFonts w:hAnsi="宋体"/>
                <w:color w:val="auto"/>
                <w:szCs w:val="21"/>
              </w:rPr>
              <w:t>槽</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L1900 mm×W850 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10</w:t>
            </w:r>
          </w:p>
        </w:tc>
        <w:tc>
          <w:tcPr>
            <w:tcW w:w="2164" w:type="dxa"/>
            <w:noWrap/>
            <w:vAlign w:val="center"/>
          </w:tcPr>
          <w:p>
            <w:pPr>
              <w:ind w:left="1260" w:hanging="1260" w:hangingChars="600"/>
              <w:jc w:val="center"/>
              <w:rPr>
                <w:rFonts w:hAnsi="宋体"/>
                <w:color w:val="auto"/>
                <w:szCs w:val="21"/>
              </w:rPr>
            </w:pPr>
            <w:r>
              <w:rPr>
                <w:rFonts w:hint="eastAsia" w:hAnsi="宋体"/>
                <w:color w:val="auto"/>
                <w:szCs w:val="21"/>
              </w:rPr>
              <w:t>单钩龙门吊车</w:t>
            </w:r>
          </w:p>
        </w:tc>
        <w:tc>
          <w:tcPr>
            <w:tcW w:w="3760" w:type="dxa"/>
            <w:noWrap/>
            <w:vAlign w:val="center"/>
          </w:tcPr>
          <w:p>
            <w:pPr>
              <w:ind w:left="1260" w:hanging="1260" w:hangingChars="600"/>
              <w:jc w:val="center"/>
              <w:rPr>
                <w:rFonts w:hAnsi="宋体"/>
                <w:color w:val="auto"/>
                <w:szCs w:val="21"/>
              </w:rPr>
            </w:pPr>
            <w:r>
              <w:rPr>
                <w:rFonts w:hint="eastAsia" w:hAnsi="宋体"/>
                <w:color w:val="auto"/>
                <w:szCs w:val="21"/>
              </w:rPr>
              <w:t>-</w:t>
            </w:r>
          </w:p>
        </w:tc>
        <w:tc>
          <w:tcPr>
            <w:tcW w:w="1289" w:type="dxa"/>
            <w:noWrap/>
            <w:vAlign w:val="center"/>
          </w:tcPr>
          <w:p>
            <w:pPr>
              <w:ind w:left="1260" w:hanging="1260" w:hangingChars="600"/>
              <w:jc w:val="center"/>
              <w:rPr>
                <w:rFonts w:hAnsi="宋体"/>
                <w:color w:val="auto"/>
                <w:szCs w:val="21"/>
              </w:rPr>
            </w:pPr>
            <w:r>
              <w:rPr>
                <w:rFonts w:hint="eastAsia" w:hAnsi="宋体"/>
                <w:color w:val="auto"/>
                <w:szCs w:val="21"/>
              </w:rPr>
              <w:t>套</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bl>
    <w:p>
      <w:pPr>
        <w:spacing w:line="360" w:lineRule="auto"/>
        <w:jc w:val="center"/>
        <w:rPr>
          <w:b/>
          <w:color w:val="auto"/>
          <w:sz w:val="24"/>
        </w:rPr>
      </w:pPr>
      <w:r>
        <w:rPr>
          <w:rFonts w:hAnsi="宋体"/>
          <w:b/>
          <w:color w:val="auto"/>
          <w:sz w:val="24"/>
        </w:rPr>
        <w:t>表</w:t>
      </w:r>
      <w:r>
        <w:rPr>
          <w:b/>
          <w:color w:val="auto"/>
          <w:sz w:val="24"/>
        </w:rPr>
        <w:t>5.</w:t>
      </w:r>
      <w:r>
        <w:rPr>
          <w:rFonts w:hint="eastAsia"/>
          <w:b/>
          <w:color w:val="auto"/>
          <w:sz w:val="24"/>
        </w:rPr>
        <w:t>1-3半自动滚镀铜、镍(含手动附助)</w:t>
      </w:r>
      <w:r>
        <w:rPr>
          <w:rFonts w:hAnsi="宋体"/>
          <w:b/>
          <w:color w:val="auto"/>
          <w:sz w:val="24"/>
        </w:rPr>
        <w:t>主要生产设备一览表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089"/>
        <w:gridCol w:w="3730"/>
        <w:gridCol w:w="1337"/>
        <w:gridCol w:w="1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widowControl/>
              <w:jc w:val="center"/>
              <w:rPr>
                <w:color w:val="auto"/>
                <w:kern w:val="0"/>
                <w:szCs w:val="21"/>
              </w:rPr>
            </w:pPr>
            <w:r>
              <w:rPr>
                <w:rFonts w:hAnsi="宋体"/>
                <w:color w:val="auto"/>
                <w:kern w:val="0"/>
                <w:szCs w:val="21"/>
              </w:rPr>
              <w:t>序号</w:t>
            </w:r>
          </w:p>
        </w:tc>
        <w:tc>
          <w:tcPr>
            <w:tcW w:w="2089" w:type="dxa"/>
            <w:noWrap/>
            <w:vAlign w:val="center"/>
          </w:tcPr>
          <w:p>
            <w:pPr>
              <w:widowControl/>
              <w:jc w:val="center"/>
              <w:rPr>
                <w:color w:val="auto"/>
                <w:kern w:val="0"/>
                <w:szCs w:val="21"/>
              </w:rPr>
            </w:pPr>
            <w:r>
              <w:rPr>
                <w:rFonts w:hAnsi="宋体"/>
                <w:color w:val="auto"/>
                <w:kern w:val="0"/>
                <w:szCs w:val="21"/>
              </w:rPr>
              <w:t>设备名称</w:t>
            </w:r>
          </w:p>
        </w:tc>
        <w:tc>
          <w:tcPr>
            <w:tcW w:w="3730" w:type="dxa"/>
            <w:noWrap/>
            <w:vAlign w:val="center"/>
          </w:tcPr>
          <w:p>
            <w:pPr>
              <w:widowControl/>
              <w:jc w:val="center"/>
              <w:rPr>
                <w:color w:val="auto"/>
                <w:kern w:val="0"/>
                <w:szCs w:val="21"/>
              </w:rPr>
            </w:pPr>
            <w:r>
              <w:rPr>
                <w:rFonts w:hAnsi="宋体"/>
                <w:color w:val="auto"/>
                <w:kern w:val="0"/>
                <w:szCs w:val="21"/>
              </w:rPr>
              <w:t>型号</w:t>
            </w:r>
            <w:r>
              <w:rPr>
                <w:rFonts w:hint="eastAsia" w:hAnsi="宋体"/>
                <w:color w:val="auto"/>
                <w:kern w:val="0"/>
                <w:szCs w:val="21"/>
              </w:rPr>
              <w:t>/规格</w:t>
            </w:r>
          </w:p>
        </w:tc>
        <w:tc>
          <w:tcPr>
            <w:tcW w:w="1337" w:type="dxa"/>
            <w:noWrap/>
            <w:vAlign w:val="center"/>
          </w:tcPr>
          <w:p>
            <w:pPr>
              <w:widowControl/>
              <w:jc w:val="center"/>
              <w:rPr>
                <w:color w:val="auto"/>
                <w:kern w:val="0"/>
                <w:szCs w:val="21"/>
              </w:rPr>
            </w:pPr>
            <w:r>
              <w:rPr>
                <w:rFonts w:hAnsi="宋体"/>
                <w:color w:val="auto"/>
                <w:kern w:val="0"/>
                <w:szCs w:val="21"/>
              </w:rPr>
              <w:t>单位</w:t>
            </w:r>
          </w:p>
        </w:tc>
        <w:tc>
          <w:tcPr>
            <w:tcW w:w="1337" w:type="dxa"/>
            <w:noWrap/>
            <w:vAlign w:val="center"/>
          </w:tcPr>
          <w:p>
            <w:pPr>
              <w:widowControl/>
              <w:jc w:val="center"/>
              <w:rPr>
                <w:color w:val="auto"/>
                <w:kern w:val="0"/>
                <w:szCs w:val="21"/>
              </w:rPr>
            </w:pPr>
            <w:r>
              <w:rPr>
                <w:rFonts w:hAnsi="宋体"/>
                <w:color w:val="auto"/>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Ansi="宋体"/>
                <w:color w:val="auto"/>
                <w:szCs w:val="21"/>
              </w:rPr>
              <w:t>1</w:t>
            </w:r>
          </w:p>
        </w:tc>
        <w:tc>
          <w:tcPr>
            <w:tcW w:w="2089" w:type="dxa"/>
            <w:noWrap/>
            <w:vAlign w:val="center"/>
          </w:tcPr>
          <w:p>
            <w:pPr>
              <w:widowControl/>
              <w:jc w:val="center"/>
              <w:rPr>
                <w:rFonts w:hAnsi="宋体"/>
                <w:color w:val="auto"/>
                <w:kern w:val="0"/>
                <w:szCs w:val="21"/>
              </w:rPr>
            </w:pPr>
            <w:r>
              <w:rPr>
                <w:rFonts w:hint="eastAsia" w:hAnsi="宋体"/>
                <w:color w:val="auto"/>
                <w:kern w:val="0"/>
                <w:szCs w:val="21"/>
              </w:rPr>
              <w:t>除油槽</w:t>
            </w:r>
          </w:p>
        </w:tc>
        <w:tc>
          <w:tcPr>
            <w:tcW w:w="3730" w:type="dxa"/>
            <w:noWrap/>
            <w:vAlign w:val="center"/>
          </w:tcPr>
          <w:p>
            <w:pPr>
              <w:widowControl/>
              <w:jc w:val="center"/>
              <w:rPr>
                <w:rFonts w:hAnsi="宋体"/>
                <w:color w:val="auto"/>
                <w:kern w:val="0"/>
                <w:szCs w:val="21"/>
              </w:rPr>
            </w:pPr>
            <w:r>
              <w:rPr>
                <w:rFonts w:hint="eastAsia" w:hAnsi="宋体"/>
                <w:color w:val="auto"/>
                <w:szCs w:val="21"/>
              </w:rPr>
              <w:t>L400 mm×W400 mm×H500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2</w:t>
            </w:r>
          </w:p>
        </w:tc>
        <w:tc>
          <w:tcPr>
            <w:tcW w:w="2089" w:type="dxa"/>
            <w:noWrap/>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L400 mm×W400 mm×H500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3</w:t>
            </w:r>
          </w:p>
        </w:tc>
        <w:tc>
          <w:tcPr>
            <w:tcW w:w="2089" w:type="dxa"/>
            <w:noWrap/>
            <w:vAlign w:val="center"/>
          </w:tcPr>
          <w:p>
            <w:pPr>
              <w:widowControl/>
              <w:jc w:val="center"/>
              <w:rPr>
                <w:rFonts w:hAnsi="宋体"/>
                <w:color w:val="auto"/>
                <w:kern w:val="0"/>
                <w:szCs w:val="21"/>
              </w:rPr>
            </w:pPr>
            <w:r>
              <w:rPr>
                <w:rFonts w:hint="eastAsia" w:hAnsi="宋体"/>
                <w:color w:val="auto"/>
                <w:kern w:val="0"/>
                <w:szCs w:val="21"/>
              </w:rPr>
              <w:t>酸洗槽</w:t>
            </w:r>
          </w:p>
        </w:tc>
        <w:tc>
          <w:tcPr>
            <w:tcW w:w="3730" w:type="dxa"/>
            <w:noWrap/>
            <w:vAlign w:val="center"/>
          </w:tcPr>
          <w:p>
            <w:pPr>
              <w:widowControl/>
              <w:jc w:val="center"/>
              <w:rPr>
                <w:rFonts w:hAnsi="宋体"/>
                <w:color w:val="auto"/>
                <w:kern w:val="0"/>
                <w:szCs w:val="21"/>
              </w:rPr>
            </w:pPr>
            <w:r>
              <w:rPr>
                <w:rFonts w:hint="eastAsia" w:hAnsi="宋体"/>
                <w:color w:val="auto"/>
                <w:szCs w:val="21"/>
              </w:rPr>
              <w:t>L500 mm×W500 mm×H500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4</w:t>
            </w:r>
          </w:p>
        </w:tc>
        <w:tc>
          <w:tcPr>
            <w:tcW w:w="2089" w:type="dxa"/>
            <w:noWrap/>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L500 mm×W500 mm×H500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5</w:t>
            </w:r>
          </w:p>
        </w:tc>
        <w:tc>
          <w:tcPr>
            <w:tcW w:w="2089" w:type="dxa"/>
            <w:vAlign w:val="center"/>
          </w:tcPr>
          <w:p>
            <w:pPr>
              <w:ind w:left="1260" w:hanging="1260" w:hangingChars="600"/>
              <w:jc w:val="center"/>
              <w:rPr>
                <w:rFonts w:hAnsi="宋体"/>
                <w:color w:val="auto"/>
                <w:szCs w:val="21"/>
              </w:rPr>
            </w:pPr>
            <w:r>
              <w:rPr>
                <w:rFonts w:hint="eastAsia" w:hAnsi="宋体"/>
                <w:color w:val="auto"/>
                <w:szCs w:val="21"/>
              </w:rPr>
              <w:t>镀铜</w:t>
            </w:r>
            <w:r>
              <w:rPr>
                <w:rFonts w:hAnsi="宋体"/>
                <w:color w:val="auto"/>
                <w:szCs w:val="21"/>
              </w:rPr>
              <w:t>槽</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L800 mm×W1000 mm×H700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6</w:t>
            </w:r>
          </w:p>
        </w:tc>
        <w:tc>
          <w:tcPr>
            <w:tcW w:w="2089" w:type="dxa"/>
            <w:vAlign w:val="center"/>
          </w:tcPr>
          <w:p>
            <w:pPr>
              <w:ind w:left="1260" w:hanging="1260" w:hangingChars="600"/>
              <w:jc w:val="center"/>
              <w:rPr>
                <w:rFonts w:hAnsi="宋体"/>
                <w:color w:val="auto"/>
                <w:szCs w:val="21"/>
              </w:rPr>
            </w:pPr>
            <w:r>
              <w:rPr>
                <w:rFonts w:hint="eastAsia" w:hAnsi="宋体"/>
                <w:color w:val="auto"/>
                <w:szCs w:val="21"/>
              </w:rPr>
              <w:t>回收</w:t>
            </w:r>
            <w:r>
              <w:rPr>
                <w:rFonts w:hAnsi="宋体"/>
                <w:color w:val="auto"/>
                <w:szCs w:val="21"/>
              </w:rPr>
              <w:t>槽</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L800 mm×W1000 mm×H700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7</w:t>
            </w:r>
          </w:p>
        </w:tc>
        <w:tc>
          <w:tcPr>
            <w:tcW w:w="2089" w:type="dxa"/>
            <w:vAlign w:val="center"/>
          </w:tcPr>
          <w:p>
            <w:pPr>
              <w:ind w:left="1260" w:hanging="1260" w:hangingChars="600"/>
              <w:jc w:val="center"/>
              <w:rPr>
                <w:rFonts w:hAnsi="宋体"/>
                <w:color w:val="auto"/>
                <w:szCs w:val="21"/>
              </w:rPr>
            </w:pPr>
            <w:r>
              <w:rPr>
                <w:rFonts w:hint="eastAsia" w:hAnsi="宋体"/>
                <w:color w:val="auto"/>
                <w:szCs w:val="21"/>
              </w:rPr>
              <w:t>镀镍</w:t>
            </w:r>
            <w:r>
              <w:rPr>
                <w:rFonts w:hAnsi="宋体"/>
                <w:color w:val="auto"/>
                <w:szCs w:val="21"/>
              </w:rPr>
              <w:t>槽</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L600 mm×W1000 mm×H700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Ansi="宋体"/>
                <w:color w:val="auto"/>
                <w:szCs w:val="21"/>
              </w:rPr>
              <w:t xml:space="preserve">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8</w:t>
            </w:r>
          </w:p>
        </w:tc>
        <w:tc>
          <w:tcPr>
            <w:tcW w:w="2089" w:type="dxa"/>
            <w:vAlign w:val="center"/>
          </w:tcPr>
          <w:p>
            <w:pPr>
              <w:ind w:left="1260" w:hanging="1260" w:hangingChars="600"/>
              <w:jc w:val="center"/>
              <w:rPr>
                <w:rFonts w:hAnsi="宋体"/>
                <w:color w:val="auto"/>
                <w:szCs w:val="21"/>
              </w:rPr>
            </w:pPr>
            <w:r>
              <w:rPr>
                <w:rFonts w:hint="eastAsia" w:hAnsi="宋体"/>
                <w:color w:val="auto"/>
                <w:szCs w:val="21"/>
              </w:rPr>
              <w:t>钝化槽</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L500 mm×W500 mm×H500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9</w:t>
            </w:r>
          </w:p>
        </w:tc>
        <w:tc>
          <w:tcPr>
            <w:tcW w:w="2089" w:type="dxa"/>
            <w:vAlign w:val="center"/>
          </w:tcPr>
          <w:p>
            <w:pPr>
              <w:ind w:left="1260" w:hanging="1260" w:hangingChars="600"/>
              <w:jc w:val="center"/>
              <w:rPr>
                <w:rFonts w:hAnsi="宋体"/>
                <w:color w:val="auto"/>
                <w:szCs w:val="21"/>
              </w:rPr>
            </w:pPr>
            <w:r>
              <w:rPr>
                <w:rFonts w:hint="eastAsia" w:hAnsi="宋体"/>
                <w:color w:val="auto"/>
                <w:szCs w:val="21"/>
              </w:rPr>
              <w:t>单钩龙门吊车</w:t>
            </w:r>
          </w:p>
        </w:tc>
        <w:tc>
          <w:tcPr>
            <w:tcW w:w="3730" w:type="dxa"/>
            <w:noWrap/>
            <w:vAlign w:val="center"/>
          </w:tcPr>
          <w:p>
            <w:pPr>
              <w:ind w:left="1260" w:hanging="1260" w:hangingChars="600"/>
              <w:jc w:val="center"/>
              <w:rPr>
                <w:rFonts w:hAnsi="宋体"/>
                <w:color w:val="auto"/>
                <w:szCs w:val="21"/>
              </w:rPr>
            </w:pPr>
            <w:r>
              <w:rPr>
                <w:rFonts w:hint="eastAsia" w:hAnsi="宋体"/>
                <w:color w:val="auto"/>
                <w:szCs w:val="21"/>
              </w:rPr>
              <w:t>-</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套</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bl>
    <w:p>
      <w:pPr>
        <w:snapToGrid w:val="0"/>
        <w:spacing w:line="360" w:lineRule="auto"/>
        <w:outlineLvl w:val="2"/>
        <w:rPr>
          <w:b/>
          <w:color w:val="auto"/>
          <w:sz w:val="24"/>
        </w:rPr>
      </w:pPr>
      <w:r>
        <w:rPr>
          <w:b/>
          <w:color w:val="auto"/>
          <w:sz w:val="24"/>
        </w:rPr>
        <w:t>5.1.</w:t>
      </w:r>
      <w:r>
        <w:rPr>
          <w:rFonts w:hint="eastAsia"/>
          <w:b/>
          <w:color w:val="auto"/>
          <w:sz w:val="24"/>
        </w:rPr>
        <w:t>4原有工程工艺流程</w:t>
      </w:r>
    </w:p>
    <w:p>
      <w:pPr>
        <w:spacing w:line="360" w:lineRule="auto"/>
        <w:ind w:firstLine="480" w:firstLineChars="200"/>
        <w:rPr>
          <w:rFonts w:hAnsi="宋体"/>
          <w:color w:val="auto"/>
          <w:sz w:val="24"/>
        </w:rPr>
        <w:sectPr>
          <w:pgSz w:w="11906" w:h="16838"/>
          <w:pgMar w:top="1418" w:right="1418" w:bottom="1418" w:left="1418" w:header="992" w:footer="992" w:gutter="0"/>
          <w:pgBorders>
            <w:top w:val="none" w:sz="0" w:space="0"/>
            <w:left w:val="none" w:sz="0" w:space="0"/>
            <w:bottom w:val="none" w:sz="0" w:space="0"/>
            <w:right w:val="none" w:sz="0" w:space="0"/>
          </w:pgBorders>
          <w:cols w:space="720" w:num="1"/>
          <w:docGrid w:linePitch="312" w:charSpace="0"/>
        </w:sectPr>
      </w:pPr>
      <w:r>
        <w:rPr>
          <w:rFonts w:hint="eastAsia" w:hAnsi="宋体"/>
          <w:color w:val="auto"/>
          <w:sz w:val="24"/>
        </w:rPr>
        <w:t>原有工程共设置3条生产线，分别为龙门挂锌合金钝化(铝合金氧化)</w:t>
      </w:r>
      <w:r>
        <w:rPr>
          <w:rFonts w:hAnsi="宋体"/>
          <w:color w:val="auto"/>
          <w:sz w:val="24"/>
        </w:rPr>
        <w:t>生产</w:t>
      </w:r>
      <w:r>
        <w:rPr>
          <w:rFonts w:hint="eastAsia" w:hAnsi="宋体"/>
          <w:color w:val="auto"/>
          <w:sz w:val="24"/>
        </w:rPr>
        <w:t>线、半自动滚镀铜、镍生产线和手动锌合金钝化线，各条生产线</w:t>
      </w:r>
      <w:r>
        <w:rPr>
          <w:rFonts w:hAnsi="宋体"/>
          <w:color w:val="auto"/>
          <w:sz w:val="24"/>
        </w:rPr>
        <w:t>生产工艺流程图如下</w:t>
      </w:r>
      <w:r>
        <w:rPr>
          <w:rFonts w:hint="eastAsia" w:hAnsi="宋体"/>
          <w:color w:val="auto"/>
          <w:sz w:val="24"/>
        </w:rPr>
        <w:t>：</w:t>
      </w:r>
    </w:p>
    <w:p>
      <w:pPr>
        <w:spacing w:line="360" w:lineRule="auto"/>
        <w:ind w:firstLine="482" w:firstLineChars="200"/>
        <w:rPr>
          <w:rFonts w:hAnsi="宋体"/>
          <w:b/>
          <w:color w:val="auto"/>
          <w:sz w:val="24"/>
        </w:rPr>
      </w:pPr>
      <w:r>
        <w:rPr>
          <w:rFonts w:hint="eastAsia" w:hAnsi="宋体"/>
          <w:b/>
          <w:color w:val="auto"/>
          <w:sz w:val="24"/>
        </w:rPr>
        <w:t>(1) 龙门挂锌合金钝化</w:t>
      </w:r>
      <w:r>
        <w:rPr>
          <w:rFonts w:hAnsi="宋体"/>
          <w:b/>
          <w:color w:val="auto"/>
          <w:sz w:val="24"/>
        </w:rPr>
        <w:t>生产</w:t>
      </w:r>
      <w:r>
        <w:rPr>
          <w:rFonts w:hint="eastAsia" w:hAnsi="宋体"/>
          <w:b/>
          <w:color w:val="auto"/>
          <w:sz w:val="24"/>
        </w:rPr>
        <w:t>线</w:t>
      </w:r>
    </w:p>
    <w:p>
      <w:pPr>
        <w:spacing w:line="360" w:lineRule="auto"/>
        <w:jc w:val="center"/>
        <w:rPr>
          <w:color w:val="auto"/>
        </w:rPr>
      </w:pPr>
      <w:r>
        <w:rPr>
          <w:color w:val="auto"/>
        </w:rPr>
        <w:object>
          <v:shape id="_x0000_i1025" o:spt="75" type="#_x0000_t75" style="height:212.7pt;width:589.2pt;" o:ole="t" filled="f" o:preferrelative="t" stroked="f" coordsize="21600,21600">
            <v:path/>
            <v:fill on="f" focussize="0,0"/>
            <v:stroke on="f"/>
            <v:imagedata r:id="rId25" o:title=""/>
            <o:lock v:ext="edit" aspectratio="t"/>
            <w10:wrap type="none"/>
            <w10:anchorlock/>
          </v:shape>
          <o:OLEObject Type="Embed" ProgID="Visio.Drawing.11" ShapeID="_x0000_i1025" DrawAspect="Content" ObjectID="_1468075725" r:id="rId24">
            <o:LockedField>false</o:LockedField>
          </o:OLEObject>
        </w:object>
      </w:r>
    </w:p>
    <w:p>
      <w:pPr>
        <w:jc w:val="center"/>
        <w:rPr>
          <w:color w:val="auto"/>
          <w:sz w:val="24"/>
        </w:rPr>
      </w:pPr>
      <w:r>
        <w:rPr>
          <w:rFonts w:hAnsi="宋体"/>
          <w:b/>
          <w:color w:val="auto"/>
          <w:sz w:val="24"/>
        </w:rPr>
        <w:t>图</w:t>
      </w:r>
      <w:r>
        <w:rPr>
          <w:b/>
          <w:color w:val="auto"/>
          <w:sz w:val="24"/>
        </w:rPr>
        <w:t>5.</w:t>
      </w:r>
      <w:r>
        <w:rPr>
          <w:rFonts w:hint="eastAsia"/>
          <w:b/>
          <w:color w:val="auto"/>
          <w:sz w:val="24"/>
        </w:rPr>
        <w:t>1</w:t>
      </w:r>
      <w:r>
        <w:rPr>
          <w:b/>
          <w:color w:val="auto"/>
          <w:sz w:val="24"/>
        </w:rPr>
        <w:t xml:space="preserve">-1 </w:t>
      </w:r>
      <w:r>
        <w:rPr>
          <w:rFonts w:hint="eastAsia" w:hAnsi="宋体"/>
          <w:b/>
          <w:color w:val="auto"/>
          <w:sz w:val="24"/>
        </w:rPr>
        <w:t>龙门挂锌合金钝化</w:t>
      </w:r>
      <w:r>
        <w:rPr>
          <w:rFonts w:hAnsi="宋体"/>
          <w:b/>
          <w:color w:val="auto"/>
          <w:sz w:val="24"/>
        </w:rPr>
        <w:t>生产</w:t>
      </w:r>
      <w:r>
        <w:rPr>
          <w:rFonts w:hint="eastAsia" w:hAnsi="宋体"/>
          <w:b/>
          <w:color w:val="auto"/>
          <w:sz w:val="24"/>
        </w:rPr>
        <w:t>线</w:t>
      </w:r>
      <w:r>
        <w:rPr>
          <w:rFonts w:hAnsi="宋体"/>
          <w:b/>
          <w:color w:val="auto"/>
          <w:sz w:val="24"/>
        </w:rPr>
        <w:t>工艺流程图</w:t>
      </w:r>
    </w:p>
    <w:p>
      <w:pPr>
        <w:pStyle w:val="2"/>
        <w:ind w:firstLine="0"/>
        <w:rPr>
          <w:color w:val="auto"/>
        </w:rPr>
      </w:pPr>
    </w:p>
    <w:p>
      <w:pPr>
        <w:spacing w:line="360" w:lineRule="auto"/>
        <w:ind w:firstLine="480" w:firstLineChars="200"/>
        <w:rPr>
          <w:rFonts w:ascii="宋体" w:hAnsi="宋体"/>
          <w:color w:val="auto"/>
          <w:sz w:val="24"/>
        </w:rPr>
      </w:pPr>
      <w:r>
        <w:rPr>
          <w:rFonts w:hint="eastAsia" w:hAnsi="宋体"/>
          <w:color w:val="auto"/>
          <w:sz w:val="24"/>
        </w:rPr>
        <w:t>主要工艺简介：</w:t>
      </w:r>
    </w:p>
    <w:p>
      <w:pPr>
        <w:spacing w:line="360" w:lineRule="auto"/>
        <w:ind w:firstLine="480" w:firstLineChars="200"/>
        <w:rPr>
          <w:rFonts w:ascii="宋体" w:hAnsi="宋体"/>
          <w:color w:val="auto"/>
          <w:sz w:val="24"/>
        </w:rPr>
      </w:pPr>
      <w:r>
        <w:rPr>
          <w:rFonts w:hint="eastAsia" w:ascii="宋体" w:hAnsi="宋体"/>
          <w:color w:val="auto"/>
          <w:sz w:val="24"/>
        </w:rPr>
        <w:t>①</w:t>
      </w:r>
      <w:r>
        <w:rPr>
          <w:rFonts w:hint="eastAsia" w:hAnsi="宋体"/>
          <w:color w:val="auto"/>
          <w:sz w:val="24"/>
        </w:rPr>
        <w:t xml:space="preserve"> 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添加</w:t>
      </w:r>
      <w:r>
        <w:rPr>
          <w:rFonts w:hint="eastAsia" w:hAnsi="宋体"/>
          <w:color w:val="auto"/>
          <w:sz w:val="24"/>
        </w:rPr>
        <w:t>SF-301</w:t>
      </w:r>
      <w:r>
        <w:rPr>
          <w:rFonts w:hint="eastAsia" w:ascii="微软雅黑" w:hAnsi="微软雅黑"/>
          <w:color w:val="auto"/>
          <w:sz w:val="24"/>
        </w:rPr>
        <w:t>钢铁化学除油粉作为除油剂，</w:t>
      </w:r>
      <w:r>
        <w:rPr>
          <w:rFonts w:ascii="微软雅黑" w:hAnsi="微软雅黑"/>
          <w:color w:val="auto"/>
          <w:sz w:val="24"/>
        </w:rPr>
        <w:t>将待除油工件浸渍</w:t>
      </w:r>
      <w:r>
        <w:rPr>
          <w:rFonts w:hint="eastAsia" w:hAnsi="宋体"/>
          <w:color w:val="auto"/>
          <w:sz w:val="24"/>
        </w:rPr>
        <w:t>10</w:t>
      </w:r>
      <w:r>
        <w:rPr>
          <w:rFonts w:hint="eastAsia" w:ascii="微软雅黑" w:hAnsi="微软雅黑"/>
          <w:color w:val="auto"/>
          <w:sz w:val="24"/>
        </w:rPr>
        <w:t>分钟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hAnsi="宋体"/>
          <w:color w:val="auto"/>
          <w:sz w:val="24"/>
        </w:rPr>
        <w:t>。</w:t>
      </w:r>
    </w:p>
    <w:p>
      <w:pPr>
        <w:spacing w:line="360" w:lineRule="auto"/>
        <w:ind w:firstLine="480" w:firstLineChars="200"/>
        <w:rPr>
          <w:rFonts w:ascii="宋体" w:hAnsi="宋体"/>
          <w:color w:val="auto"/>
          <w:sz w:val="24"/>
        </w:rPr>
      </w:pPr>
      <w:r>
        <w:rPr>
          <w:rFonts w:hint="eastAsia" w:ascii="宋体" w:hAnsi="宋体"/>
          <w:color w:val="auto"/>
          <w:sz w:val="24"/>
        </w:rPr>
        <w:t>②</w:t>
      </w:r>
      <w:r>
        <w:rPr>
          <w:rFonts w:hint="eastAsia" w:hAnsi="宋体"/>
          <w:color w:val="auto"/>
          <w:sz w:val="24"/>
        </w:rPr>
        <w:t>出光：</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Ansi="宋体"/>
          <w:color w:val="auto"/>
          <w:sz w:val="24"/>
        </w:rPr>
        <w:t>镀锌</w:t>
      </w:r>
      <w:r>
        <w:rPr>
          <w:rFonts w:hAnsi="宋体"/>
          <w:color w:val="auto"/>
          <w:sz w:val="24"/>
        </w:rPr>
        <w:fldChar w:fldCharType="end"/>
      </w:r>
      <w:r>
        <w:rPr>
          <w:rFonts w:hAnsi="宋体"/>
          <w:color w:val="auto"/>
          <w:sz w:val="24"/>
        </w:rPr>
        <w:t>水洗后用</w:t>
      </w:r>
      <w:r>
        <w:rPr>
          <w:color w:val="auto"/>
        </w:rPr>
        <w:fldChar w:fldCharType="begin"/>
      </w:r>
      <w:r>
        <w:rPr>
          <w:color w:val="auto"/>
        </w:rPr>
        <w:instrText xml:space="preserve"> HYPERLINK "http://www.baidu.com/s?wd=%E7%A8%80%E7%A1%9D%E9%85%B8&amp;hl_tag=textlink&amp;tn=SE_hldp01350_v6v6zkg6" \t "_blank" </w:instrText>
      </w:r>
      <w:r>
        <w:rPr>
          <w:color w:val="auto"/>
        </w:rPr>
        <w:fldChar w:fldCharType="separate"/>
      </w:r>
      <w:r>
        <w:rPr>
          <w:rFonts w:hAnsi="宋体"/>
          <w:color w:val="auto"/>
          <w:sz w:val="24"/>
        </w:rPr>
        <w:t>稀硝酸</w:t>
      </w:r>
      <w:r>
        <w:rPr>
          <w:rFonts w:hAnsi="宋体"/>
          <w:color w:val="auto"/>
          <w:sz w:val="24"/>
        </w:rPr>
        <w:fldChar w:fldCharType="end"/>
      </w:r>
      <w:r>
        <w:rPr>
          <w:rFonts w:hAnsi="宋体"/>
          <w:color w:val="auto"/>
          <w:sz w:val="24"/>
        </w:rPr>
        <w:t>5-10%溶液出光，使表面更加光亮，在碱性</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Ansi="宋体"/>
          <w:color w:val="auto"/>
          <w:sz w:val="24"/>
        </w:rPr>
        <w:t>镀锌</w:t>
      </w:r>
      <w:r>
        <w:rPr>
          <w:rFonts w:hAnsi="宋体"/>
          <w:color w:val="auto"/>
          <w:sz w:val="24"/>
        </w:rPr>
        <w:fldChar w:fldCharType="end"/>
      </w:r>
      <w:r>
        <w:rPr>
          <w:rFonts w:hAnsi="宋体"/>
          <w:color w:val="auto"/>
          <w:sz w:val="24"/>
        </w:rPr>
        <w:t>中更不可少，它不仅可以增加锌层亮度，更可以中和零件凹孔内未清洗干净的碱液，利于后面</w:t>
      </w:r>
      <w:r>
        <w:rPr>
          <w:color w:val="auto"/>
        </w:rPr>
        <w:fldChar w:fldCharType="begin"/>
      </w:r>
      <w:r>
        <w:rPr>
          <w:color w:val="auto"/>
        </w:rPr>
        <w:instrText xml:space="preserve"> HYPERLINK "http://www.baidu.com/s?wd=%E9%92%9D%E5%8C%96%E6%B6%B2&amp;hl_tag=textlink&amp;tn=SE_hldp01350_v6v6zkg6" \t "_blank" </w:instrText>
      </w:r>
      <w:r>
        <w:rPr>
          <w:color w:val="auto"/>
        </w:rPr>
        <w:fldChar w:fldCharType="separate"/>
      </w:r>
      <w:r>
        <w:rPr>
          <w:rFonts w:hAnsi="宋体"/>
          <w:color w:val="auto"/>
          <w:sz w:val="24"/>
        </w:rPr>
        <w:t>钝化液</w:t>
      </w:r>
      <w:r>
        <w:rPr>
          <w:rFonts w:hAnsi="宋体"/>
          <w:color w:val="auto"/>
          <w:sz w:val="24"/>
        </w:rPr>
        <w:fldChar w:fldCharType="end"/>
      </w:r>
      <w:r>
        <w:rPr>
          <w:rFonts w:hAnsi="宋体"/>
          <w:color w:val="auto"/>
          <w:sz w:val="24"/>
        </w:rPr>
        <w:t>的稳定</w:t>
      </w:r>
      <w:r>
        <w:rPr>
          <w:rFonts w:hint="eastAsia" w:hAnsi="宋体"/>
          <w:color w:val="auto"/>
          <w:sz w:val="24"/>
        </w:rPr>
        <w:t>。</w:t>
      </w:r>
    </w:p>
    <w:p>
      <w:pPr>
        <w:pStyle w:val="2"/>
        <w:ind w:firstLine="480" w:firstLineChars="200"/>
        <w:rPr>
          <w:rFonts w:hAnsi="宋体"/>
          <w:color w:val="auto"/>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r>
        <w:rPr>
          <w:rFonts w:hint="eastAsia" w:ascii="宋体" w:hAnsi="宋体"/>
          <w:color w:val="auto"/>
        </w:rPr>
        <w:t>③</w:t>
      </w:r>
      <w:r>
        <w:rPr>
          <w:rFonts w:hint="eastAsia" w:hAnsi="宋体"/>
          <w:color w:val="auto"/>
        </w:rPr>
        <w:t>钝化：</w:t>
      </w:r>
      <w:r>
        <w:rPr>
          <w:rFonts w:hAnsi="宋体"/>
          <w:color w:val="auto"/>
        </w:rPr>
        <w:t>对</w:t>
      </w:r>
      <w:r>
        <w:rPr>
          <w:color w:val="auto"/>
        </w:rPr>
        <w:fldChar w:fldCharType="begin"/>
      </w:r>
      <w:r>
        <w:rPr>
          <w:color w:val="auto"/>
        </w:rPr>
        <w:instrText xml:space="preserve"> HYPERLINK "http://baike.baidu.com/view/24779.htm" \t "_blank" </w:instrText>
      </w:r>
      <w:r>
        <w:rPr>
          <w:color w:val="auto"/>
        </w:rPr>
        <w:fldChar w:fldCharType="separate"/>
      </w:r>
      <w:r>
        <w:rPr>
          <w:rFonts w:hAnsi="宋体"/>
          <w:color w:val="auto"/>
        </w:rPr>
        <w:t>不锈钢</w:t>
      </w:r>
      <w:r>
        <w:rPr>
          <w:rFonts w:hAnsi="宋体"/>
          <w:color w:val="auto"/>
        </w:rPr>
        <w:fldChar w:fldCharType="end"/>
      </w:r>
      <w:r>
        <w:rPr>
          <w:rFonts w:hAnsi="宋体"/>
          <w:color w:val="auto"/>
        </w:rPr>
        <w:t>全面酸洗钝化处理，清除各类油污、锈、氧化皮、焊斑等污垢，处理后表面变成均匀银白色，大大提高不锈钢抗腐蚀性能，</w:t>
      </w:r>
      <w:r>
        <w:rPr>
          <w:rFonts w:hint="eastAsia" w:hAnsi="宋体"/>
          <w:color w:val="auto"/>
          <w:lang w:eastAsia="zh-CN"/>
        </w:rPr>
        <w:t>本项目使用三价铬蓝白钝化剂，生产过程不会产生铬酸雾</w:t>
      </w:r>
      <w:r>
        <w:rPr>
          <w:rFonts w:hint="eastAsia" w:hAnsi="宋体"/>
          <w:color w:val="auto"/>
        </w:rPr>
        <w:t>。</w:t>
      </w:r>
    </w:p>
    <w:p>
      <w:pPr>
        <w:spacing w:line="360" w:lineRule="auto"/>
        <w:ind w:firstLine="482" w:firstLineChars="200"/>
        <w:rPr>
          <w:rFonts w:hAnsi="宋体"/>
          <w:b/>
          <w:color w:val="auto"/>
          <w:sz w:val="24"/>
        </w:rPr>
      </w:pPr>
      <w:r>
        <w:rPr>
          <w:rFonts w:hint="eastAsia" w:hAnsi="宋体"/>
          <w:b/>
          <w:color w:val="auto"/>
          <w:sz w:val="24"/>
        </w:rPr>
        <w:t>(2) 龙门挂铝合金氧化</w:t>
      </w:r>
      <w:r>
        <w:rPr>
          <w:rFonts w:hAnsi="宋体"/>
          <w:b/>
          <w:color w:val="auto"/>
          <w:sz w:val="24"/>
        </w:rPr>
        <w:t>生产</w:t>
      </w:r>
      <w:r>
        <w:rPr>
          <w:rFonts w:hint="eastAsia" w:hAnsi="宋体"/>
          <w:b/>
          <w:color w:val="auto"/>
          <w:sz w:val="24"/>
        </w:rPr>
        <w:t>线(共用)</w:t>
      </w:r>
    </w:p>
    <w:p>
      <w:pPr>
        <w:spacing w:line="360" w:lineRule="auto"/>
        <w:jc w:val="center"/>
        <w:rPr>
          <w:color w:val="auto"/>
        </w:rPr>
      </w:pPr>
      <w:r>
        <w:rPr>
          <w:color w:val="auto"/>
        </w:rPr>
        <w:object>
          <v:shape id="_x0000_i1026" o:spt="75" type="#_x0000_t75" style="height:183.4pt;width:640.55pt;" o:ole="t" filled="f" o:preferrelative="t" stroked="f" coordsize="21600,21600">
            <v:path/>
            <v:fill on="f" focussize="0,0"/>
            <v:stroke on="f"/>
            <v:imagedata r:id="rId27" o:title=""/>
            <o:lock v:ext="edit" aspectratio="t"/>
            <w10:wrap type="none"/>
            <w10:anchorlock/>
          </v:shape>
          <o:OLEObject Type="Embed" ProgID="Visio.Drawing.11" ShapeID="_x0000_i1026" DrawAspect="Content" ObjectID="_1468075726" r:id="rId26">
            <o:LockedField>false</o:LockedField>
          </o:OLEObject>
        </w:object>
      </w:r>
    </w:p>
    <w:p>
      <w:pPr>
        <w:spacing w:line="360" w:lineRule="auto"/>
        <w:jc w:val="center"/>
        <w:rPr>
          <w:rFonts w:hAnsi="宋体"/>
          <w:color w:val="auto"/>
          <w:sz w:val="24"/>
        </w:rPr>
      </w:pPr>
      <w:r>
        <w:rPr>
          <w:rFonts w:hAnsi="宋体"/>
          <w:b/>
          <w:color w:val="auto"/>
          <w:sz w:val="24"/>
        </w:rPr>
        <w:t>图</w:t>
      </w:r>
      <w:r>
        <w:rPr>
          <w:b/>
          <w:color w:val="auto"/>
          <w:sz w:val="24"/>
        </w:rPr>
        <w:t>5.</w:t>
      </w:r>
      <w:r>
        <w:rPr>
          <w:rFonts w:hint="eastAsia"/>
          <w:b/>
          <w:color w:val="auto"/>
          <w:sz w:val="24"/>
        </w:rPr>
        <w:t>1</w:t>
      </w:r>
      <w:r>
        <w:rPr>
          <w:b/>
          <w:color w:val="auto"/>
          <w:sz w:val="24"/>
        </w:rPr>
        <w:t>-</w:t>
      </w:r>
      <w:r>
        <w:rPr>
          <w:rFonts w:hint="eastAsia"/>
          <w:b/>
          <w:color w:val="auto"/>
          <w:sz w:val="24"/>
        </w:rPr>
        <w:t>2</w:t>
      </w:r>
      <w:r>
        <w:rPr>
          <w:b/>
          <w:color w:val="auto"/>
          <w:sz w:val="24"/>
        </w:rPr>
        <w:t xml:space="preserve"> </w:t>
      </w:r>
      <w:r>
        <w:rPr>
          <w:rFonts w:hint="eastAsia" w:hAnsi="宋体"/>
          <w:b/>
          <w:color w:val="auto"/>
          <w:sz w:val="24"/>
        </w:rPr>
        <w:t>龙门挂镀铝合金氧化</w:t>
      </w:r>
      <w:r>
        <w:rPr>
          <w:rFonts w:hAnsi="宋体"/>
          <w:b/>
          <w:color w:val="auto"/>
          <w:sz w:val="24"/>
        </w:rPr>
        <w:t>生产</w:t>
      </w:r>
      <w:r>
        <w:rPr>
          <w:rFonts w:hint="eastAsia" w:hAnsi="宋体"/>
          <w:b/>
          <w:color w:val="auto"/>
          <w:sz w:val="24"/>
        </w:rPr>
        <w:t>线</w:t>
      </w:r>
      <w:r>
        <w:rPr>
          <w:rFonts w:hAnsi="宋体"/>
          <w:b/>
          <w:color w:val="auto"/>
          <w:sz w:val="24"/>
        </w:rPr>
        <w:t>工艺流程图</w:t>
      </w:r>
    </w:p>
    <w:p>
      <w:pPr>
        <w:spacing w:line="360" w:lineRule="auto"/>
        <w:ind w:firstLine="480" w:firstLineChars="200"/>
        <w:rPr>
          <w:rFonts w:ascii="宋体" w:hAnsi="宋体"/>
          <w:color w:val="auto"/>
          <w:sz w:val="24"/>
        </w:rPr>
      </w:pPr>
      <w:r>
        <w:rPr>
          <w:rFonts w:hint="eastAsia" w:ascii="宋体" w:hAnsi="宋体"/>
          <w:color w:val="auto"/>
          <w:sz w:val="24"/>
        </w:rPr>
        <w:t>主要工艺简介：</w:t>
      </w:r>
    </w:p>
    <w:p>
      <w:pPr>
        <w:numPr>
          <w:ilvl w:val="0"/>
          <w:numId w:val="5"/>
        </w:numPr>
        <w:spacing w:line="360" w:lineRule="auto"/>
        <w:ind w:firstLine="480" w:firstLineChars="200"/>
        <w:rPr>
          <w:rFonts w:hint="eastAsia" w:hAnsi="宋体"/>
          <w:color w:val="auto"/>
          <w:sz w:val="24"/>
        </w:rPr>
      </w:pPr>
      <w:r>
        <w:rPr>
          <w:rFonts w:hint="eastAsia" w:hAnsi="宋体"/>
          <w:color w:val="auto"/>
          <w:sz w:val="24"/>
        </w:rPr>
        <w:t>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添加</w:t>
      </w:r>
      <w:r>
        <w:rPr>
          <w:rFonts w:hint="eastAsia" w:hAnsi="宋体"/>
          <w:color w:val="auto"/>
          <w:sz w:val="24"/>
        </w:rPr>
        <w:t>301</w:t>
      </w:r>
      <w:r>
        <w:rPr>
          <w:rFonts w:hint="eastAsia" w:ascii="微软雅黑" w:hAnsi="微软雅黑"/>
          <w:color w:val="auto"/>
          <w:sz w:val="24"/>
        </w:rPr>
        <w:t>除油粉作为除油剂，</w:t>
      </w:r>
      <w:r>
        <w:rPr>
          <w:rFonts w:ascii="微软雅黑" w:hAnsi="微软雅黑"/>
          <w:color w:val="auto"/>
          <w:sz w:val="24"/>
        </w:rPr>
        <w:t>将待除油工件浸渍</w:t>
      </w:r>
      <w:r>
        <w:rPr>
          <w:rFonts w:hint="eastAsia" w:hAnsi="宋体"/>
          <w:color w:val="auto"/>
          <w:sz w:val="24"/>
        </w:rPr>
        <w:t>10</w:t>
      </w:r>
      <w:r>
        <w:rPr>
          <w:rFonts w:hint="eastAsia" w:ascii="微软雅黑" w:hAnsi="微软雅黑"/>
          <w:color w:val="auto"/>
          <w:sz w:val="24"/>
        </w:rPr>
        <w:t>分钟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hAnsi="宋体"/>
          <w:color w:val="auto"/>
          <w:sz w:val="24"/>
        </w:rPr>
        <w:t>。</w:t>
      </w:r>
    </w:p>
    <w:p>
      <w:pPr>
        <w:spacing w:line="360" w:lineRule="auto"/>
        <w:ind w:firstLine="480" w:firstLineChars="200"/>
        <w:rPr>
          <w:rFonts w:hAnsi="宋体"/>
          <w:color w:val="auto"/>
          <w:sz w:val="24"/>
        </w:rPr>
      </w:pPr>
      <w:r>
        <w:rPr>
          <w:rFonts w:hint="eastAsia" w:hAnsi="宋体"/>
          <w:color w:val="auto"/>
          <w:sz w:val="24"/>
        </w:rPr>
        <w:t>②</w:t>
      </w:r>
      <w:r>
        <w:rPr>
          <w:rFonts w:hint="eastAsia" w:hAnsi="宋体"/>
          <w:color w:val="auto"/>
          <w:sz w:val="24"/>
          <w:lang w:val="en-US" w:eastAsia="zh-CN"/>
        </w:rPr>
        <w:t xml:space="preserve"> </w:t>
      </w:r>
      <w:r>
        <w:rPr>
          <w:rFonts w:hint="eastAsia" w:hAnsi="宋体"/>
          <w:color w:val="auto"/>
          <w:sz w:val="24"/>
          <w:lang w:eastAsia="zh-CN"/>
        </w:rPr>
        <w:t>表调：</w:t>
      </w:r>
      <w:r>
        <w:rPr>
          <w:rFonts w:hint="eastAsia" w:hAnsi="宋体"/>
          <w:color w:val="auto"/>
          <w:sz w:val="24"/>
        </w:rPr>
        <w:t>将工件浸入酸溶液中，在氧化之前对镀件表面进行表面调整，添加表面调整剂主要成分为40-60%硫酸，控制温度为15</w:t>
      </w:r>
      <w:r>
        <w:rPr>
          <w:rFonts w:hAnsi="宋体"/>
          <w:color w:val="auto"/>
          <w:sz w:val="24"/>
        </w:rPr>
        <w:t>~</w:t>
      </w:r>
      <w:r>
        <w:rPr>
          <w:rFonts w:hint="eastAsia" w:hAnsi="宋体"/>
          <w:color w:val="auto"/>
          <w:sz w:val="24"/>
        </w:rPr>
        <w:t>25度左右。</w:t>
      </w:r>
    </w:p>
    <w:p>
      <w:pPr>
        <w:spacing w:line="360" w:lineRule="auto"/>
        <w:ind w:firstLine="480" w:firstLineChars="200"/>
        <w:rPr>
          <w:rFonts w:hAnsi="宋体"/>
          <w:color w:val="auto"/>
          <w:sz w:val="24"/>
        </w:rPr>
      </w:pPr>
      <w:r>
        <w:rPr>
          <w:rFonts w:hint="eastAsia" w:ascii="宋体" w:hAnsi="宋体"/>
          <w:color w:val="auto"/>
          <w:sz w:val="24"/>
        </w:rPr>
        <w:t>③</w:t>
      </w:r>
      <w:r>
        <w:rPr>
          <w:rFonts w:hint="eastAsia" w:hAnsi="宋体"/>
          <w:color w:val="auto"/>
          <w:sz w:val="24"/>
        </w:rPr>
        <w:t xml:space="preserve"> 活化：</w:t>
      </w:r>
      <w:bookmarkStart w:id="7" w:name="OLE_LINK14"/>
      <w:r>
        <w:rPr>
          <w:rFonts w:hint="eastAsia" w:hAnsi="宋体"/>
          <w:color w:val="auto"/>
          <w:sz w:val="24"/>
        </w:rPr>
        <w:t>采用3%的盐酸溶液进行常温酸洗活化。</w:t>
      </w:r>
      <w:bookmarkEnd w:id="7"/>
      <w:r>
        <w:rPr>
          <w:rFonts w:hint="eastAsia" w:hAnsi="宋体"/>
          <w:color w:val="auto"/>
          <w:sz w:val="24"/>
        </w:rPr>
        <w:t xml:space="preserve"> </w:t>
      </w:r>
    </w:p>
    <w:p>
      <w:pPr>
        <w:spacing w:line="360" w:lineRule="auto"/>
        <w:ind w:firstLine="480" w:firstLineChars="200"/>
        <w:rPr>
          <w:rFonts w:hAnsi="宋体"/>
          <w:color w:val="auto"/>
          <w:sz w:val="24"/>
        </w:rPr>
      </w:pPr>
      <w:r>
        <w:rPr>
          <w:rFonts w:hint="eastAsia" w:ascii="宋体" w:hAnsi="宋体"/>
          <w:color w:val="auto"/>
          <w:sz w:val="24"/>
        </w:rPr>
        <w:t>④</w:t>
      </w:r>
      <w:r>
        <w:rPr>
          <w:rFonts w:hint="eastAsia" w:ascii="宋体" w:hAnsi="宋体"/>
          <w:color w:val="auto"/>
          <w:sz w:val="24"/>
          <w:lang w:val="en-US" w:eastAsia="zh-CN"/>
        </w:rPr>
        <w:t xml:space="preserve"> </w:t>
      </w:r>
      <w:r>
        <w:rPr>
          <w:rFonts w:hint="eastAsia" w:hAnsi="宋体"/>
          <w:color w:val="auto"/>
          <w:sz w:val="24"/>
        </w:rPr>
        <w:t>氧化：</w:t>
      </w:r>
      <w:r>
        <w:rPr>
          <w:rFonts w:hAnsi="宋体"/>
          <w:color w:val="auto"/>
          <w:sz w:val="24"/>
        </w:rPr>
        <w:t>阳极氧化是把表面一层人为按要求用电化学进行氧化，用这层氧化层作保护层</w:t>
      </w:r>
      <w:r>
        <w:rPr>
          <w:rFonts w:hint="eastAsia" w:hAnsi="宋体"/>
          <w:color w:val="auto"/>
          <w:sz w:val="24"/>
        </w:rPr>
        <w:t>。</w:t>
      </w:r>
    </w:p>
    <w:p>
      <w:pPr>
        <w:pStyle w:val="2"/>
        <w:ind w:firstLine="480" w:firstLineChars="200"/>
        <w:rPr>
          <w:rFonts w:hAnsi="宋体"/>
          <w:color w:val="auto"/>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spacing w:line="360" w:lineRule="auto"/>
        <w:ind w:firstLine="482" w:firstLineChars="200"/>
        <w:rPr>
          <w:rFonts w:hAnsi="宋体"/>
          <w:b/>
          <w:color w:val="auto"/>
          <w:sz w:val="24"/>
        </w:rPr>
      </w:pPr>
      <w:r>
        <w:rPr>
          <w:rFonts w:hint="eastAsia" w:hAnsi="宋体"/>
          <w:b/>
          <w:color w:val="auto"/>
          <w:sz w:val="24"/>
        </w:rPr>
        <w:t>(3) 半自动滚镀铜、镍</w:t>
      </w:r>
    </w:p>
    <w:p>
      <w:pPr>
        <w:spacing w:line="360" w:lineRule="auto"/>
        <w:jc w:val="center"/>
        <w:rPr>
          <w:rFonts w:hAnsi="宋体"/>
          <w:b/>
          <w:color w:val="auto"/>
          <w:sz w:val="24"/>
        </w:rPr>
      </w:pPr>
      <w:r>
        <w:rPr>
          <w:color w:val="auto"/>
        </w:rPr>
        <w:object>
          <v:shape id="_x0000_i1027" o:spt="75" type="#_x0000_t75" style="height:195pt;width:665.5pt;" o:ole="t" filled="f" o:preferrelative="t" stroked="f" coordsize="21600,21600">
            <v:path/>
            <v:fill on="f" focussize="0,0"/>
            <v:stroke on="f"/>
            <v:imagedata r:id="rId29" o:title=""/>
            <o:lock v:ext="edit" aspectratio="t"/>
            <w10:wrap type="none"/>
            <w10:anchorlock/>
          </v:shape>
          <o:OLEObject Type="Embed" ProgID="Visio.Drawing.11" ShapeID="_x0000_i1027" DrawAspect="Content" ObjectID="_1468075727" r:id="rId28">
            <o:LockedField>false</o:LockedField>
          </o:OLEObject>
        </w:object>
      </w:r>
    </w:p>
    <w:p>
      <w:pPr>
        <w:spacing w:line="360" w:lineRule="auto"/>
        <w:jc w:val="center"/>
        <w:rPr>
          <w:color w:val="auto"/>
          <w:sz w:val="24"/>
        </w:rPr>
      </w:pPr>
      <w:r>
        <w:rPr>
          <w:rFonts w:hAnsi="宋体"/>
          <w:b/>
          <w:color w:val="auto"/>
          <w:sz w:val="24"/>
        </w:rPr>
        <w:t>图</w:t>
      </w:r>
      <w:r>
        <w:rPr>
          <w:b/>
          <w:color w:val="auto"/>
          <w:sz w:val="24"/>
        </w:rPr>
        <w:t>5.</w:t>
      </w:r>
      <w:r>
        <w:rPr>
          <w:rFonts w:hint="eastAsia"/>
          <w:b/>
          <w:color w:val="auto"/>
          <w:sz w:val="24"/>
        </w:rPr>
        <w:t>1-3</w:t>
      </w:r>
      <w:r>
        <w:rPr>
          <w:b/>
          <w:color w:val="auto"/>
          <w:sz w:val="24"/>
        </w:rPr>
        <w:t xml:space="preserve"> </w:t>
      </w:r>
      <w:r>
        <w:rPr>
          <w:rFonts w:hint="eastAsia"/>
          <w:b/>
          <w:color w:val="auto"/>
          <w:sz w:val="24"/>
        </w:rPr>
        <w:t>半自动</w:t>
      </w:r>
      <w:r>
        <w:rPr>
          <w:rFonts w:hint="eastAsia" w:hAnsi="宋体"/>
          <w:b/>
          <w:color w:val="auto"/>
          <w:sz w:val="24"/>
        </w:rPr>
        <w:t>滚镀铜、镍生产线</w:t>
      </w:r>
      <w:r>
        <w:rPr>
          <w:rFonts w:hAnsi="宋体"/>
          <w:b/>
          <w:color w:val="auto"/>
          <w:sz w:val="24"/>
        </w:rPr>
        <w:t>工艺流程图</w:t>
      </w:r>
    </w:p>
    <w:p>
      <w:pPr>
        <w:spacing w:line="360" w:lineRule="auto"/>
        <w:ind w:firstLine="480" w:firstLineChars="200"/>
        <w:rPr>
          <w:rFonts w:hAnsi="宋体"/>
          <w:color w:val="auto"/>
          <w:sz w:val="24"/>
        </w:rPr>
      </w:pPr>
      <w:r>
        <w:rPr>
          <w:rFonts w:hint="eastAsia" w:hAnsi="宋体"/>
          <w:color w:val="auto"/>
          <w:sz w:val="24"/>
        </w:rPr>
        <w:t>主要工艺简介：</w:t>
      </w:r>
    </w:p>
    <w:p>
      <w:pPr>
        <w:spacing w:line="360" w:lineRule="auto"/>
        <w:ind w:firstLine="480" w:firstLineChars="200"/>
        <w:rPr>
          <w:rFonts w:hAnsi="宋体"/>
          <w:color w:val="auto"/>
          <w:sz w:val="24"/>
        </w:rPr>
      </w:pPr>
      <w:r>
        <w:rPr>
          <w:rFonts w:hint="eastAsia" w:ascii="宋体" w:hAnsi="宋体"/>
          <w:color w:val="auto"/>
          <w:sz w:val="24"/>
        </w:rPr>
        <w:t>①</w:t>
      </w:r>
      <w:r>
        <w:rPr>
          <w:rFonts w:hint="eastAsia" w:hAnsi="宋体"/>
          <w:color w:val="auto"/>
          <w:sz w:val="24"/>
        </w:rPr>
        <w:t xml:space="preserve"> 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添加</w:t>
      </w:r>
      <w:r>
        <w:rPr>
          <w:rFonts w:hint="eastAsia" w:hAnsi="宋体"/>
          <w:color w:val="auto"/>
          <w:sz w:val="24"/>
        </w:rPr>
        <w:t>689</w:t>
      </w:r>
      <w:r>
        <w:rPr>
          <w:rFonts w:hint="eastAsia" w:ascii="微软雅黑" w:hAnsi="微软雅黑"/>
          <w:color w:val="auto"/>
          <w:sz w:val="24"/>
        </w:rPr>
        <w:t>除油粉作为除油剂，</w:t>
      </w:r>
      <w:r>
        <w:rPr>
          <w:rFonts w:ascii="微软雅黑" w:hAnsi="微软雅黑"/>
          <w:color w:val="auto"/>
          <w:sz w:val="24"/>
        </w:rPr>
        <w:t>将待除油工件浸渍</w:t>
      </w:r>
      <w:r>
        <w:rPr>
          <w:rFonts w:hint="eastAsia" w:hAnsi="宋体"/>
          <w:color w:val="auto"/>
          <w:sz w:val="24"/>
        </w:rPr>
        <w:t>10</w:t>
      </w:r>
      <w:r>
        <w:rPr>
          <w:rFonts w:hint="eastAsia" w:ascii="微软雅黑" w:hAnsi="微软雅黑"/>
          <w:color w:val="auto"/>
          <w:sz w:val="24"/>
        </w:rPr>
        <w:t>分钟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hAnsi="宋体"/>
          <w:color w:val="auto"/>
          <w:sz w:val="24"/>
        </w:rPr>
        <w:t>。</w:t>
      </w:r>
    </w:p>
    <w:p>
      <w:pPr>
        <w:spacing w:line="360" w:lineRule="auto"/>
        <w:ind w:firstLine="480" w:firstLineChars="200"/>
        <w:rPr>
          <w:rFonts w:hAnsi="宋体"/>
          <w:color w:val="auto"/>
          <w:sz w:val="24"/>
        </w:rPr>
      </w:pPr>
      <w:r>
        <w:rPr>
          <w:rFonts w:hint="eastAsia" w:ascii="宋体" w:hAnsi="宋体"/>
          <w:color w:val="auto"/>
          <w:sz w:val="24"/>
        </w:rPr>
        <w:t>②</w:t>
      </w:r>
      <w:r>
        <w:rPr>
          <w:rFonts w:hint="eastAsia" w:hAnsi="宋体"/>
          <w:color w:val="auto"/>
          <w:sz w:val="24"/>
        </w:rPr>
        <w:t xml:space="preserve"> 酸洗：酸洗是将工件浸入酸洗溶液中，除去金属表面的锈蚀物及氧化的过程。采用3%的盐酸溶液进行常温酸洗活化。</w:t>
      </w:r>
    </w:p>
    <w:p>
      <w:pPr>
        <w:spacing w:line="360" w:lineRule="auto"/>
        <w:ind w:firstLine="480" w:firstLineChars="200"/>
        <w:rPr>
          <w:rFonts w:hAnsi="宋体"/>
          <w:color w:val="auto"/>
          <w:sz w:val="24"/>
        </w:rPr>
      </w:pPr>
      <w:r>
        <w:rPr>
          <w:rFonts w:hint="eastAsia" w:ascii="宋体" w:hAnsi="宋体"/>
          <w:color w:val="auto"/>
          <w:sz w:val="24"/>
        </w:rPr>
        <w:t>③</w:t>
      </w:r>
      <w:r>
        <w:rPr>
          <w:rFonts w:hint="eastAsia" w:hAnsi="宋体"/>
          <w:color w:val="auto"/>
          <w:sz w:val="24"/>
        </w:rPr>
        <w:t xml:space="preserve"> 镀铜：</w:t>
      </w:r>
      <w:r>
        <w:rPr>
          <w:rFonts w:hAnsi="宋体"/>
          <w:color w:val="auto"/>
          <w:sz w:val="24"/>
        </w:rPr>
        <w:t>氰化物镀铜主要是以铜氰络离子在阴极上放电得到镀铜层的。其中主盐氰化亚铜与氰化钠发生络合反应时被完全溶解，并形成铜氰络合物</w:t>
      </w:r>
      <w:r>
        <w:rPr>
          <w:rFonts w:hint="eastAsia" w:hAnsi="宋体"/>
          <w:color w:val="auto"/>
          <w:sz w:val="24"/>
        </w:rPr>
        <w:t>。</w:t>
      </w:r>
    </w:p>
    <w:p>
      <w:pPr>
        <w:spacing w:line="360" w:lineRule="auto"/>
        <w:ind w:firstLine="480" w:firstLineChars="200"/>
        <w:rPr>
          <w:rFonts w:hAnsi="宋体"/>
          <w:color w:val="auto"/>
          <w:sz w:val="24"/>
        </w:rPr>
      </w:pPr>
      <w:r>
        <w:rPr>
          <w:rFonts w:hint="eastAsia" w:ascii="宋体" w:hAnsi="宋体"/>
          <w:color w:val="auto"/>
          <w:sz w:val="24"/>
        </w:rPr>
        <w:t>④</w:t>
      </w:r>
      <w:r>
        <w:rPr>
          <w:rFonts w:hint="eastAsia" w:hAnsi="宋体"/>
          <w:color w:val="auto"/>
          <w:sz w:val="24"/>
        </w:rPr>
        <w:t xml:space="preserve"> 镀镍：</w:t>
      </w:r>
      <w:r>
        <w:rPr>
          <w:rFonts w:hAnsi="宋体"/>
          <w:color w:val="auto"/>
          <w:sz w:val="24"/>
        </w:rPr>
        <w:t>本项目镀镍以镍板为阳极，以硫酸镍为主盐，氯化镍为阳极活化剂，硼酸为缓冲剂，加入光亮剂，可直接镀出光亮镀层，电镀过程中会有氯化氢废气产生</w:t>
      </w:r>
      <w:r>
        <w:rPr>
          <w:rFonts w:hint="eastAsia" w:hAnsi="宋体"/>
          <w:color w:val="auto"/>
          <w:sz w:val="24"/>
        </w:rPr>
        <w:t>。</w:t>
      </w:r>
    </w:p>
    <w:p>
      <w:pPr>
        <w:spacing w:line="360" w:lineRule="auto"/>
        <w:ind w:firstLine="480" w:firstLineChars="200"/>
        <w:rPr>
          <w:rFonts w:hAnsi="宋体"/>
          <w:color w:val="auto"/>
          <w:sz w:val="24"/>
        </w:rPr>
      </w:pPr>
      <w:r>
        <w:rPr>
          <w:rFonts w:hint="eastAsia" w:ascii="宋体" w:hAnsi="宋体"/>
          <w:color w:val="auto"/>
          <w:sz w:val="24"/>
        </w:rPr>
        <w:t>⑤</w:t>
      </w:r>
      <w:r>
        <w:rPr>
          <w:rFonts w:hint="eastAsia" w:hAnsi="宋体"/>
          <w:color w:val="auto"/>
          <w:sz w:val="24"/>
        </w:rPr>
        <w:t xml:space="preserve"> 钝化：</w:t>
      </w:r>
      <w:r>
        <w:rPr>
          <w:rFonts w:hAnsi="宋体"/>
          <w:color w:val="auto"/>
          <w:sz w:val="24"/>
        </w:rPr>
        <w:t>对</w:t>
      </w:r>
      <w:r>
        <w:rPr>
          <w:color w:val="auto"/>
        </w:rPr>
        <w:fldChar w:fldCharType="begin"/>
      </w:r>
      <w:r>
        <w:rPr>
          <w:color w:val="auto"/>
        </w:rPr>
        <w:instrText xml:space="preserve"> HYPERLINK "http://baike.baidu.com/view/24779.htm" \t "_blank" </w:instrText>
      </w:r>
      <w:r>
        <w:rPr>
          <w:color w:val="auto"/>
        </w:rPr>
        <w:fldChar w:fldCharType="separate"/>
      </w:r>
      <w:r>
        <w:rPr>
          <w:rFonts w:hAnsi="宋体"/>
          <w:color w:val="auto"/>
          <w:sz w:val="24"/>
        </w:rPr>
        <w:t>不锈钢</w:t>
      </w:r>
      <w:r>
        <w:rPr>
          <w:rFonts w:hAnsi="宋体"/>
          <w:color w:val="auto"/>
          <w:sz w:val="24"/>
        </w:rPr>
        <w:fldChar w:fldCharType="end"/>
      </w:r>
      <w:r>
        <w:rPr>
          <w:rFonts w:hAnsi="宋体"/>
          <w:color w:val="auto"/>
          <w:sz w:val="24"/>
        </w:rPr>
        <w:t>全面酸洗钝化处理，清除各类油污、锈、氧化皮、焊斑等污垢，处理后表面变成均匀银白色，大大提高不锈钢抗腐蚀性能，</w:t>
      </w:r>
      <w:r>
        <w:rPr>
          <w:rFonts w:hint="eastAsia" w:hAnsi="宋体"/>
          <w:color w:val="auto"/>
          <w:sz w:val="24"/>
          <w:lang w:eastAsia="zh-CN"/>
        </w:rPr>
        <w:t>本项目</w:t>
      </w:r>
      <w:r>
        <w:rPr>
          <w:rFonts w:hint="eastAsia" w:hAnsi="宋体"/>
          <w:color w:val="auto"/>
          <w:sz w:val="24"/>
        </w:rPr>
        <w:t>使用重铬酸钾钝化，以H</w:t>
      </w:r>
      <w:r>
        <w:rPr>
          <w:rFonts w:hint="eastAsia" w:hAnsi="宋体"/>
          <w:color w:val="auto"/>
          <w:sz w:val="24"/>
          <w:vertAlign w:val="subscript"/>
        </w:rPr>
        <w:t>2</w:t>
      </w:r>
      <w:r>
        <w:rPr>
          <w:rFonts w:hint="eastAsia" w:hAnsi="宋体"/>
          <w:color w:val="auto"/>
          <w:sz w:val="24"/>
        </w:rPr>
        <w:t>SO</w:t>
      </w:r>
      <w:r>
        <w:rPr>
          <w:rFonts w:hint="eastAsia" w:hAnsi="宋体"/>
          <w:color w:val="auto"/>
          <w:sz w:val="24"/>
          <w:vertAlign w:val="subscript"/>
        </w:rPr>
        <w:t>4</w:t>
      </w:r>
      <w:r>
        <w:rPr>
          <w:rFonts w:hint="eastAsia" w:hAnsi="宋体"/>
          <w:color w:val="auto"/>
          <w:sz w:val="24"/>
        </w:rPr>
        <w:t>为催化剂，钝化过程中会产生铬酸雾废气产生。</w:t>
      </w:r>
    </w:p>
    <w:p>
      <w:pPr>
        <w:pStyle w:val="2"/>
        <w:ind w:firstLine="480" w:firstLineChars="200"/>
        <w:rPr>
          <w:rFonts w:hAnsi="宋体"/>
          <w:color w:val="auto"/>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spacing w:line="360" w:lineRule="auto"/>
        <w:ind w:firstLine="482" w:firstLineChars="200"/>
        <w:rPr>
          <w:rFonts w:hAnsi="宋体"/>
          <w:b/>
          <w:color w:val="auto"/>
          <w:sz w:val="24"/>
        </w:rPr>
      </w:pPr>
      <w:r>
        <w:rPr>
          <w:rFonts w:hint="eastAsia" w:hAnsi="宋体"/>
          <w:b/>
          <w:color w:val="auto"/>
          <w:sz w:val="24"/>
        </w:rPr>
        <w:t>(4) 手工锌合金钝化</w:t>
      </w:r>
    </w:p>
    <w:p>
      <w:pPr>
        <w:spacing w:line="360" w:lineRule="auto"/>
        <w:jc w:val="center"/>
        <w:rPr>
          <w:color w:val="auto"/>
          <w:sz w:val="24"/>
        </w:rPr>
      </w:pPr>
      <w:r>
        <w:rPr>
          <w:color w:val="auto"/>
        </w:rPr>
        <w:object>
          <v:shape id="_x0000_i1028" o:spt="75" type="#_x0000_t75" style="height:193.5pt;width:690pt;" o:ole="t" filled="f" o:preferrelative="t" stroked="f" coordsize="21600,21600">
            <v:path/>
            <v:fill on="f" focussize="0,0"/>
            <v:stroke on="f"/>
            <v:imagedata r:id="rId31" o:title=""/>
            <o:lock v:ext="edit" aspectratio="t"/>
            <w10:wrap type="none"/>
            <w10:anchorlock/>
          </v:shape>
          <o:OLEObject Type="Embed" ProgID="Visio.Drawing.11" ShapeID="_x0000_i1028" DrawAspect="Content" ObjectID="_1468075728" r:id="rId30">
            <o:LockedField>false</o:LockedField>
          </o:OLEObject>
        </w:object>
      </w:r>
      <w:r>
        <w:rPr>
          <w:rFonts w:hAnsi="宋体"/>
          <w:b/>
          <w:color w:val="auto"/>
          <w:sz w:val="24"/>
        </w:rPr>
        <w:t>图</w:t>
      </w:r>
      <w:r>
        <w:rPr>
          <w:b/>
          <w:color w:val="auto"/>
          <w:sz w:val="24"/>
        </w:rPr>
        <w:t>5.</w:t>
      </w:r>
      <w:r>
        <w:rPr>
          <w:rFonts w:hint="eastAsia"/>
          <w:b/>
          <w:color w:val="auto"/>
          <w:sz w:val="24"/>
        </w:rPr>
        <w:t>1-4</w:t>
      </w:r>
      <w:r>
        <w:rPr>
          <w:b/>
          <w:color w:val="auto"/>
          <w:sz w:val="24"/>
        </w:rPr>
        <w:t xml:space="preserve"> </w:t>
      </w:r>
      <w:r>
        <w:rPr>
          <w:rFonts w:hint="eastAsia"/>
          <w:b/>
          <w:color w:val="auto"/>
          <w:sz w:val="24"/>
        </w:rPr>
        <w:t>手工锌合金钝化生产线</w:t>
      </w:r>
      <w:r>
        <w:rPr>
          <w:rFonts w:hAnsi="宋体"/>
          <w:b/>
          <w:color w:val="auto"/>
          <w:sz w:val="24"/>
        </w:rPr>
        <w:t>工艺流程图</w:t>
      </w:r>
    </w:p>
    <w:p>
      <w:pPr>
        <w:spacing w:line="360" w:lineRule="auto"/>
        <w:ind w:firstLine="480" w:firstLineChars="200"/>
        <w:rPr>
          <w:rFonts w:hAnsi="宋体"/>
          <w:color w:val="auto"/>
          <w:sz w:val="24"/>
        </w:rPr>
      </w:pPr>
      <w:r>
        <w:rPr>
          <w:rFonts w:hint="eastAsia" w:hAnsi="宋体"/>
          <w:color w:val="auto"/>
          <w:sz w:val="24"/>
        </w:rPr>
        <w:t>主要工艺简介：</w:t>
      </w:r>
    </w:p>
    <w:p>
      <w:pPr>
        <w:spacing w:line="360" w:lineRule="auto"/>
        <w:ind w:firstLine="480" w:firstLineChars="200"/>
        <w:rPr>
          <w:rFonts w:hAnsi="宋体"/>
          <w:color w:val="auto"/>
          <w:sz w:val="24"/>
        </w:rPr>
      </w:pPr>
      <w:r>
        <w:rPr>
          <w:rFonts w:hint="eastAsia" w:ascii="宋体" w:hAnsi="宋体"/>
          <w:color w:val="auto"/>
          <w:sz w:val="24"/>
        </w:rPr>
        <w:t xml:space="preserve">① </w:t>
      </w:r>
      <w:r>
        <w:rPr>
          <w:rFonts w:hint="eastAsia" w:hAnsi="宋体"/>
          <w:color w:val="auto"/>
          <w:sz w:val="24"/>
        </w:rPr>
        <w:t>除油：</w:t>
      </w:r>
      <w:bookmarkStart w:id="8" w:name="OLE_LINK7"/>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添加</w:t>
      </w:r>
      <w:r>
        <w:rPr>
          <w:rFonts w:hint="eastAsia" w:hAnsi="宋体"/>
          <w:color w:val="auto"/>
          <w:sz w:val="24"/>
        </w:rPr>
        <w:t>301</w:t>
      </w:r>
      <w:r>
        <w:rPr>
          <w:rFonts w:hint="eastAsia" w:ascii="微软雅黑" w:hAnsi="微软雅黑"/>
          <w:color w:val="auto"/>
          <w:sz w:val="24"/>
        </w:rPr>
        <w:t>除油粉作为除油剂，</w:t>
      </w:r>
      <w:r>
        <w:rPr>
          <w:rFonts w:ascii="微软雅黑" w:hAnsi="微软雅黑"/>
          <w:color w:val="auto"/>
          <w:sz w:val="24"/>
        </w:rPr>
        <w:t>将待除油工</w:t>
      </w:r>
      <w:r>
        <w:rPr>
          <w:rFonts w:hAnsi="微软雅黑"/>
          <w:color w:val="auto"/>
          <w:sz w:val="24"/>
        </w:rPr>
        <w:t>件浸渍</w:t>
      </w:r>
      <w:r>
        <w:rPr>
          <w:color w:val="auto"/>
          <w:sz w:val="24"/>
        </w:rPr>
        <w:t>10</w:t>
      </w:r>
      <w:r>
        <w:rPr>
          <w:rFonts w:hint="eastAsia" w:ascii="微软雅黑" w:hAnsi="微软雅黑"/>
          <w:color w:val="auto"/>
          <w:sz w:val="24"/>
        </w:rPr>
        <w:t>分钟</w:t>
      </w:r>
      <w:r>
        <w:rPr>
          <w:rFonts w:ascii="微软雅黑" w:hAnsi="微软雅黑"/>
          <w:color w:val="auto"/>
          <w:sz w:val="24"/>
        </w:rPr>
        <w:t>后取出</w:t>
      </w:r>
      <w:r>
        <w:rPr>
          <w:rFonts w:hint="eastAsia" w:ascii="微软雅黑" w:hAnsi="微软雅黑"/>
          <w:color w:val="auto"/>
          <w:sz w:val="24"/>
        </w:rPr>
        <w:t>，确保镀件表面清洁不含油脂</w:t>
      </w:r>
      <w:bookmarkEnd w:id="8"/>
      <w:r>
        <w:rPr>
          <w:rFonts w:hint="eastAsia" w:hAnsi="宋体"/>
          <w:color w:val="auto"/>
          <w:sz w:val="24"/>
        </w:rPr>
        <w:t>。</w:t>
      </w:r>
    </w:p>
    <w:p>
      <w:pPr>
        <w:spacing w:line="360" w:lineRule="auto"/>
        <w:ind w:firstLine="480" w:firstLineChars="200"/>
        <w:rPr>
          <w:rFonts w:hAnsi="宋体"/>
          <w:color w:val="auto"/>
          <w:sz w:val="24"/>
        </w:rPr>
      </w:pPr>
      <w:r>
        <w:rPr>
          <w:rFonts w:hint="eastAsia" w:ascii="宋体" w:hAnsi="宋体"/>
          <w:color w:val="auto"/>
          <w:sz w:val="24"/>
        </w:rPr>
        <w:t>②</w:t>
      </w:r>
      <w:r>
        <w:rPr>
          <w:rFonts w:hint="eastAsia" w:hAnsi="宋体"/>
          <w:color w:val="auto"/>
          <w:sz w:val="24"/>
        </w:rPr>
        <w:t xml:space="preserve"> 出光：</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int="eastAsia" w:hAnsi="宋体"/>
          <w:color w:val="auto"/>
          <w:sz w:val="24"/>
        </w:rPr>
        <w:t>铝合金镀件</w:t>
      </w:r>
      <w:r>
        <w:rPr>
          <w:rFonts w:hint="eastAsia" w:hAnsi="宋体"/>
          <w:color w:val="auto"/>
          <w:sz w:val="24"/>
        </w:rPr>
        <w:fldChar w:fldCharType="end"/>
      </w:r>
      <w:r>
        <w:rPr>
          <w:rFonts w:hAnsi="宋体"/>
          <w:color w:val="auto"/>
          <w:sz w:val="24"/>
        </w:rPr>
        <w:t>水洗后用</w:t>
      </w:r>
      <w:r>
        <w:rPr>
          <w:color w:val="auto"/>
        </w:rPr>
        <w:fldChar w:fldCharType="begin"/>
      </w:r>
      <w:r>
        <w:rPr>
          <w:color w:val="auto"/>
        </w:rPr>
        <w:instrText xml:space="preserve"> HYPERLINK "http://www.baidu.com/s?wd=%E7%A8%80%E7%A1%9D%E9%85%B8&amp;hl_tag=textlink&amp;tn=SE_hldp01350_v6v6zkg6" \t "_blank" </w:instrText>
      </w:r>
      <w:r>
        <w:rPr>
          <w:color w:val="auto"/>
        </w:rPr>
        <w:fldChar w:fldCharType="separate"/>
      </w:r>
      <w:r>
        <w:rPr>
          <w:rFonts w:hAnsi="宋体"/>
          <w:color w:val="auto"/>
          <w:sz w:val="24"/>
        </w:rPr>
        <w:t>稀硝酸</w:t>
      </w:r>
      <w:r>
        <w:rPr>
          <w:rFonts w:hAnsi="宋体"/>
          <w:color w:val="auto"/>
          <w:sz w:val="24"/>
        </w:rPr>
        <w:fldChar w:fldCharType="end"/>
      </w:r>
      <w:r>
        <w:rPr>
          <w:rFonts w:hAnsi="宋体"/>
          <w:color w:val="auto"/>
          <w:sz w:val="24"/>
        </w:rPr>
        <w:t>5-10%溶液出光，使表面更加光亮，在碱性</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Ansi="宋体"/>
          <w:color w:val="auto"/>
          <w:sz w:val="24"/>
        </w:rPr>
        <w:t>镀锌</w:t>
      </w:r>
      <w:r>
        <w:rPr>
          <w:rFonts w:hAnsi="宋体"/>
          <w:color w:val="auto"/>
          <w:sz w:val="24"/>
        </w:rPr>
        <w:fldChar w:fldCharType="end"/>
      </w:r>
      <w:r>
        <w:rPr>
          <w:rFonts w:hAnsi="宋体"/>
          <w:color w:val="auto"/>
          <w:sz w:val="24"/>
        </w:rPr>
        <w:t>中更不可少，它不仅可以增加锌层亮度，更可以中和零件凹孔内未清洗干净的碱液，利于后面</w:t>
      </w:r>
      <w:r>
        <w:rPr>
          <w:color w:val="auto"/>
        </w:rPr>
        <w:fldChar w:fldCharType="begin"/>
      </w:r>
      <w:r>
        <w:rPr>
          <w:color w:val="auto"/>
        </w:rPr>
        <w:instrText xml:space="preserve"> HYPERLINK "http://www.baidu.com/s?wd=%E9%92%9D%E5%8C%96%E6%B6%B2&amp;hl_tag=textlink&amp;tn=SE_hldp01350_v6v6zkg6" \t "_blank" </w:instrText>
      </w:r>
      <w:r>
        <w:rPr>
          <w:color w:val="auto"/>
        </w:rPr>
        <w:fldChar w:fldCharType="separate"/>
      </w:r>
      <w:r>
        <w:rPr>
          <w:rFonts w:hAnsi="宋体"/>
          <w:color w:val="auto"/>
          <w:sz w:val="24"/>
        </w:rPr>
        <w:t>钝化液</w:t>
      </w:r>
      <w:r>
        <w:rPr>
          <w:rFonts w:hAnsi="宋体"/>
          <w:color w:val="auto"/>
          <w:sz w:val="24"/>
        </w:rPr>
        <w:fldChar w:fldCharType="end"/>
      </w:r>
      <w:r>
        <w:rPr>
          <w:rFonts w:hAnsi="宋体"/>
          <w:color w:val="auto"/>
          <w:sz w:val="24"/>
        </w:rPr>
        <w:t>的稳定</w:t>
      </w:r>
      <w:r>
        <w:rPr>
          <w:rFonts w:hint="eastAsia" w:hAnsi="宋体"/>
          <w:color w:val="auto"/>
          <w:sz w:val="24"/>
        </w:rPr>
        <w:t>。</w:t>
      </w:r>
    </w:p>
    <w:p>
      <w:pPr>
        <w:spacing w:line="360" w:lineRule="auto"/>
        <w:ind w:firstLine="480" w:firstLineChars="200"/>
        <w:rPr>
          <w:rFonts w:hAnsi="宋体"/>
          <w:color w:val="auto"/>
          <w:sz w:val="24"/>
        </w:rPr>
      </w:pPr>
      <w:r>
        <w:rPr>
          <w:rFonts w:hint="eastAsia" w:ascii="宋体" w:hAnsi="宋体"/>
          <w:color w:val="auto"/>
          <w:sz w:val="24"/>
        </w:rPr>
        <w:t>③</w:t>
      </w:r>
      <w:r>
        <w:rPr>
          <w:rFonts w:hint="eastAsia" w:hAnsi="宋体"/>
          <w:color w:val="auto"/>
          <w:sz w:val="24"/>
        </w:rPr>
        <w:t xml:space="preserve"> </w:t>
      </w:r>
      <w:bookmarkStart w:id="9" w:name="OLE_LINK6"/>
      <w:bookmarkStart w:id="10" w:name="OLE_LINK4"/>
      <w:r>
        <w:rPr>
          <w:rFonts w:hint="eastAsia" w:hAnsi="宋体"/>
          <w:color w:val="auto"/>
          <w:sz w:val="24"/>
        </w:rPr>
        <w:t>退白</w:t>
      </w:r>
      <w:bookmarkEnd w:id="9"/>
      <w:bookmarkEnd w:id="10"/>
      <w:r>
        <w:rPr>
          <w:rFonts w:hint="eastAsia" w:hAnsi="宋体"/>
          <w:color w:val="auto"/>
          <w:sz w:val="24"/>
        </w:rPr>
        <w:t>：将工件浸入氢氟酸溶液中，去除去金属件表面的污垢的过程。采用1%的氢氟酸溶液。</w:t>
      </w:r>
    </w:p>
    <w:p>
      <w:pPr>
        <w:spacing w:line="360" w:lineRule="auto"/>
        <w:ind w:firstLine="480" w:firstLineChars="200"/>
        <w:rPr>
          <w:rFonts w:ascii="宋体" w:hAnsi="宋体"/>
          <w:color w:val="auto"/>
          <w:sz w:val="24"/>
        </w:rPr>
      </w:pPr>
      <w:r>
        <w:rPr>
          <w:rFonts w:hint="eastAsia" w:ascii="宋体" w:hAnsi="宋体"/>
          <w:color w:val="auto"/>
          <w:sz w:val="24"/>
        </w:rPr>
        <w:t>④</w:t>
      </w:r>
      <w:r>
        <w:rPr>
          <w:rFonts w:hint="eastAsia"/>
          <w:color w:val="auto"/>
          <w:sz w:val="24"/>
        </w:rPr>
        <w:t xml:space="preserve"> </w:t>
      </w:r>
      <w:r>
        <w:rPr>
          <w:color w:val="auto"/>
          <w:sz w:val="24"/>
        </w:rPr>
        <w:t>钝化：</w:t>
      </w:r>
      <w:r>
        <w:rPr>
          <w:rFonts w:hAnsi="宋体"/>
          <w:color w:val="auto"/>
          <w:sz w:val="24"/>
        </w:rPr>
        <w:t>对</w:t>
      </w:r>
      <w:r>
        <w:rPr>
          <w:color w:val="auto"/>
        </w:rPr>
        <w:fldChar w:fldCharType="begin"/>
      </w:r>
      <w:r>
        <w:rPr>
          <w:color w:val="auto"/>
        </w:rPr>
        <w:instrText xml:space="preserve"> HYPERLINK "http://baike.baidu.com/view/24779.htm" \t "_blank" </w:instrText>
      </w:r>
      <w:r>
        <w:rPr>
          <w:color w:val="auto"/>
        </w:rPr>
        <w:fldChar w:fldCharType="separate"/>
      </w:r>
      <w:r>
        <w:rPr>
          <w:rFonts w:hAnsi="宋体"/>
          <w:color w:val="auto"/>
          <w:sz w:val="24"/>
        </w:rPr>
        <w:t>不锈钢</w:t>
      </w:r>
      <w:r>
        <w:rPr>
          <w:rFonts w:hAnsi="宋体"/>
          <w:color w:val="auto"/>
          <w:sz w:val="24"/>
        </w:rPr>
        <w:fldChar w:fldCharType="end"/>
      </w:r>
      <w:r>
        <w:rPr>
          <w:rFonts w:hAnsi="宋体"/>
          <w:color w:val="auto"/>
          <w:sz w:val="24"/>
        </w:rPr>
        <w:t>全面酸洗钝化处理，清除各类油污、锈、氧化皮、焊斑等污垢，处理后表面变成均匀</w:t>
      </w:r>
      <w:r>
        <w:rPr>
          <w:rFonts w:hint="eastAsia" w:hAnsi="宋体"/>
          <w:color w:val="auto"/>
          <w:sz w:val="24"/>
        </w:rPr>
        <w:t>黄</w:t>
      </w:r>
      <w:r>
        <w:rPr>
          <w:rFonts w:hAnsi="宋体"/>
          <w:color w:val="auto"/>
          <w:sz w:val="24"/>
        </w:rPr>
        <w:t>色，大大提高不锈钢抗腐蚀性能，</w:t>
      </w:r>
      <w:r>
        <w:rPr>
          <w:rFonts w:hint="eastAsia" w:hAnsi="宋体"/>
          <w:color w:val="auto"/>
          <w:sz w:val="24"/>
        </w:rPr>
        <w:t>这部分采用六价铬酸钝化</w:t>
      </w:r>
      <w:r>
        <w:rPr>
          <w:color w:val="auto"/>
          <w:sz w:val="24"/>
        </w:rPr>
        <w:t>。</w:t>
      </w:r>
    </w:p>
    <w:p>
      <w:pPr>
        <w:spacing w:line="360" w:lineRule="auto"/>
        <w:ind w:firstLine="480" w:firstLineChars="200"/>
        <w:rPr>
          <w:rFonts w:hAnsi="宋体"/>
          <w:color w:val="auto"/>
          <w:sz w:val="24"/>
        </w:rPr>
      </w:pPr>
      <w:r>
        <w:rPr>
          <w:rFonts w:hint="eastAsia" w:ascii="宋体" w:hAnsi="宋体"/>
          <w:color w:val="auto"/>
          <w:sz w:val="24"/>
        </w:rPr>
        <w:t>⑤</w:t>
      </w:r>
      <w:r>
        <w:rPr>
          <w:rFonts w:hint="eastAsia" w:hAnsi="宋体"/>
          <w:color w:val="auto"/>
          <w:sz w:val="24"/>
        </w:rPr>
        <w:t xml:space="preserve"> 退黄：将工件浸入片碱溶液中，除去金属表面剩余的六价铬酸，采用1%的碱液溶液进行退黄。</w:t>
      </w:r>
    </w:p>
    <w:p>
      <w:pPr>
        <w:pStyle w:val="2"/>
        <w:ind w:firstLine="480" w:firstLineChars="200"/>
        <w:rPr>
          <w:rFonts w:hAnsi="宋体"/>
          <w:color w:val="auto"/>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snapToGrid w:val="0"/>
        <w:spacing w:line="360" w:lineRule="auto"/>
        <w:outlineLvl w:val="2"/>
        <w:rPr>
          <w:b/>
          <w:color w:val="auto"/>
          <w:sz w:val="24"/>
        </w:rPr>
      </w:pPr>
      <w:r>
        <w:rPr>
          <w:b/>
          <w:color w:val="auto"/>
          <w:sz w:val="24"/>
        </w:rPr>
        <w:t>5.1.</w:t>
      </w:r>
      <w:r>
        <w:rPr>
          <w:rFonts w:hint="eastAsia"/>
          <w:b/>
          <w:color w:val="auto"/>
          <w:sz w:val="24"/>
        </w:rPr>
        <w:t>5原有工程污染调查</w:t>
      </w:r>
    </w:p>
    <w:p>
      <w:pPr>
        <w:pStyle w:val="2"/>
        <w:numPr>
          <w:ilvl w:val="0"/>
          <w:numId w:val="6"/>
        </w:numPr>
        <w:ind w:firstLine="0"/>
        <w:rPr>
          <w:color w:val="auto"/>
        </w:rPr>
      </w:pPr>
      <w:r>
        <w:rPr>
          <w:rFonts w:hint="eastAsia"/>
          <w:color w:val="auto"/>
        </w:rPr>
        <w:t>原有工程废水污染调查与评价</w:t>
      </w:r>
    </w:p>
    <w:p>
      <w:pPr>
        <w:pStyle w:val="2"/>
        <w:ind w:firstLine="420"/>
        <w:jc w:val="left"/>
        <w:rPr>
          <w:color w:val="auto"/>
        </w:rPr>
      </w:pPr>
      <w:bookmarkStart w:id="11" w:name="OLE_LINK1"/>
      <w:r>
        <w:rPr>
          <w:rFonts w:hint="eastAsia"/>
          <w:color w:val="auto"/>
        </w:rPr>
        <w:t>根据原有项目的相关环评及验收，</w:t>
      </w:r>
      <w:bookmarkEnd w:id="11"/>
      <w:r>
        <w:rPr>
          <w:rFonts w:hint="eastAsia"/>
          <w:color w:val="auto"/>
        </w:rPr>
        <w:t>废水主要包括生产废水和生活污水，生产废水主要来自各工序清洗产生的清洗废水、滤芯清洗废水、地面冲洗水、配药间废水、废气处理产生的废水。</w:t>
      </w:r>
    </w:p>
    <w:p>
      <w:pPr>
        <w:pStyle w:val="2"/>
        <w:ind w:firstLine="420"/>
        <w:jc w:val="left"/>
        <w:rPr>
          <w:color w:val="auto"/>
        </w:rPr>
      </w:pPr>
      <w:r>
        <w:rPr>
          <w:rFonts w:hint="eastAsia"/>
          <w:color w:val="auto"/>
        </w:rPr>
        <w:t>清洗废水：</w:t>
      </w:r>
      <w:r>
        <w:rPr>
          <w:rFonts w:hint="eastAsia"/>
          <w:color w:val="auto"/>
          <w:lang w:eastAsia="zh-CN"/>
        </w:rPr>
        <w:t>验收期间</w:t>
      </w:r>
      <w:r>
        <w:rPr>
          <w:rFonts w:hint="eastAsia"/>
          <w:color w:val="auto"/>
        </w:rPr>
        <w:t>各工序清洗废水主要产生量为35吨（监测期间企业正常生产，生产规模达到生产能力78%），主要包括含氰废水0.3t/d、含油废水5.52t/d、含镍废水0.52t/d、含铬废水18.89t/d和综合废水9.82t/d。各类废水分别通过相应的管道进入集控中心污水处理站分别处理。</w:t>
      </w:r>
    </w:p>
    <w:p>
      <w:pPr>
        <w:pStyle w:val="2"/>
        <w:ind w:firstLine="420"/>
        <w:jc w:val="left"/>
        <w:rPr>
          <w:color w:val="auto"/>
        </w:rPr>
      </w:pPr>
      <w:r>
        <w:rPr>
          <w:rFonts w:hint="eastAsia"/>
          <w:color w:val="auto"/>
        </w:rPr>
        <w:t>滤芯清洗废水：项目设有2台2吨过滤机，每天产生滤芯清洗废水大约0.6t，主要含表面活性剂和油类，进入含油废水收集管道。</w:t>
      </w:r>
    </w:p>
    <w:p>
      <w:pPr>
        <w:pStyle w:val="2"/>
        <w:ind w:firstLine="420"/>
        <w:jc w:val="left"/>
        <w:rPr>
          <w:color w:val="auto"/>
        </w:rPr>
      </w:pPr>
      <w:r>
        <w:rPr>
          <w:rFonts w:hint="eastAsia"/>
          <w:color w:val="auto"/>
        </w:rPr>
        <w:t>老化液：项目老化液即为需要定期更换的槽液，更换周期为60天。老化液</w:t>
      </w:r>
      <w:r>
        <w:rPr>
          <w:rFonts w:hint="eastAsia"/>
          <w:color w:val="auto"/>
          <w:lang w:eastAsia="zh-CN"/>
        </w:rPr>
        <w:t>产生量</w:t>
      </w:r>
      <w:r>
        <w:rPr>
          <w:rFonts w:hint="eastAsia"/>
          <w:color w:val="auto"/>
        </w:rPr>
        <w:t>约3.45kg/d</w:t>
      </w:r>
      <w:r>
        <w:rPr>
          <w:rFonts w:hint="eastAsia"/>
          <w:color w:val="auto"/>
          <w:lang w:eastAsia="zh-CN"/>
        </w:rPr>
        <w:t>，</w:t>
      </w:r>
      <w:r>
        <w:rPr>
          <w:rFonts w:hint="eastAsia"/>
          <w:color w:val="auto"/>
        </w:rPr>
        <w:t>每年更换</w:t>
      </w:r>
      <w:r>
        <w:rPr>
          <w:rFonts w:hint="eastAsia"/>
          <w:color w:val="auto"/>
          <w:lang w:eastAsia="zh-CN"/>
        </w:rPr>
        <w:t>总量约</w:t>
      </w:r>
      <w:r>
        <w:rPr>
          <w:rFonts w:hint="eastAsia"/>
          <w:color w:val="auto"/>
        </w:rPr>
        <w:t>0.897t，按照危险废物进行处理。</w:t>
      </w:r>
    </w:p>
    <w:p>
      <w:pPr>
        <w:pStyle w:val="2"/>
        <w:ind w:firstLine="420"/>
        <w:jc w:val="left"/>
        <w:rPr>
          <w:color w:val="auto"/>
        </w:rPr>
      </w:pPr>
      <w:r>
        <w:rPr>
          <w:rFonts w:hint="eastAsia"/>
          <w:color w:val="auto"/>
        </w:rPr>
        <w:t>废气处理产生的废水：项目废气采用喷淋方式对氟化物、氯化氢、硫酸雾等酸雾废气进行净化，喷淋水循环使用，定期排放，产生相应的酸碱废水，约0.6t/d，接入综合废水管道。</w:t>
      </w:r>
    </w:p>
    <w:p>
      <w:pPr>
        <w:pStyle w:val="2"/>
        <w:ind w:firstLine="420"/>
        <w:jc w:val="left"/>
        <w:rPr>
          <w:color w:val="auto"/>
        </w:rPr>
      </w:pPr>
      <w:r>
        <w:rPr>
          <w:rFonts w:hint="eastAsia"/>
          <w:color w:val="auto"/>
        </w:rPr>
        <w:t>地面清洗废水：每天需要对地面进行清洗，地面清洗废水产生量约120t/a，主要为含油废水以及洗涤剂，排入含油废水管道。</w:t>
      </w:r>
    </w:p>
    <w:p>
      <w:pPr>
        <w:pStyle w:val="2"/>
        <w:ind w:firstLine="420"/>
        <w:jc w:val="left"/>
        <w:rPr>
          <w:color w:val="auto"/>
        </w:rPr>
      </w:pPr>
      <w:r>
        <w:rPr>
          <w:rFonts w:hint="eastAsia"/>
          <w:color w:val="auto"/>
        </w:rPr>
        <w:t>生活污水：</w:t>
      </w:r>
    </w:p>
    <w:p>
      <w:pPr>
        <w:pStyle w:val="2"/>
        <w:ind w:firstLine="420"/>
        <w:jc w:val="left"/>
        <w:rPr>
          <w:rFonts w:hint="eastAsia" w:eastAsia="宋体"/>
          <w:color w:val="auto"/>
          <w:highlight w:val="yellow"/>
          <w:lang w:eastAsia="zh-CN"/>
        </w:rPr>
      </w:pPr>
      <w:r>
        <w:rPr>
          <w:rFonts w:hint="eastAsia"/>
          <w:color w:val="auto"/>
        </w:rPr>
        <w:t>项目职工人数20人，均不住厂，年生活污水产生量约270t，依托集控中心的化粪池处理后，接入福鼎市温州园文渡工业集中区市政污水管网</w:t>
      </w:r>
      <w:r>
        <w:rPr>
          <w:rFonts w:hint="eastAsia"/>
          <w:color w:val="auto"/>
          <w:lang w:eastAsia="zh-CN"/>
        </w:rPr>
        <w:t>。</w:t>
      </w:r>
    </w:p>
    <w:p>
      <w:pPr>
        <w:pStyle w:val="2"/>
        <w:numPr>
          <w:ilvl w:val="0"/>
          <w:numId w:val="6"/>
        </w:numPr>
        <w:ind w:firstLine="0"/>
        <w:rPr>
          <w:color w:val="auto"/>
        </w:rPr>
      </w:pPr>
      <w:r>
        <w:rPr>
          <w:rFonts w:hint="eastAsia"/>
          <w:color w:val="auto"/>
        </w:rPr>
        <w:t>原有工程废气污染调查与评价</w:t>
      </w:r>
    </w:p>
    <w:p>
      <w:pPr>
        <w:pStyle w:val="2"/>
        <w:ind w:firstLine="420"/>
        <w:rPr>
          <w:color w:val="auto"/>
        </w:rPr>
      </w:pPr>
      <w:r>
        <w:rPr>
          <w:rFonts w:hint="eastAsia"/>
          <w:color w:val="auto"/>
        </w:rPr>
        <w:t>项目生产废气包括酸洗、氧化、钝化、镀镍过程中产生的氯化氢、铬酸雾、硫酸雾，镀铜槽产生的含氰废气（氰化氢），出光、退白产生的氟化物。现有工程设一套碱液喷淋净化塔处理氯化氢、氟化物、铬酸雾、硫酸雾等，一套氰净化塔处理氰化氢。根据《福鼎市质达金属表面处理有限公司各类金属元件表面处理项目竣工环境保护验收监测报告》鼎环保站验（2017）第12号报告中废水监测结果（监测期间企业正常生产，生产规模达到生产能力78%），原有工程各排气筒污染物产生及排放情况如下表。</w:t>
      </w:r>
    </w:p>
    <w:p>
      <w:pPr>
        <w:pStyle w:val="12"/>
        <w:spacing w:after="0"/>
        <w:jc w:val="center"/>
        <w:rPr>
          <w:color w:val="auto"/>
        </w:rPr>
      </w:pPr>
      <w:r>
        <w:rPr>
          <w:rFonts w:hint="eastAsia"/>
          <w:b/>
          <w:color w:val="auto"/>
        </w:rPr>
        <w:t>表5.1-4  原有各排气筒污染物产生情况一览表</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26"/>
        <w:gridCol w:w="1327"/>
        <w:gridCol w:w="1326"/>
        <w:gridCol w:w="1327"/>
        <w:gridCol w:w="1326"/>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blHeader/>
          <w:jc w:val="center"/>
        </w:trPr>
        <w:tc>
          <w:tcPr>
            <w:tcW w:w="1327" w:type="dxa"/>
            <w:vMerge w:val="restart"/>
            <w:tcBorders>
              <w:bottom w:val="single" w:color="auto" w:sz="4" w:space="0"/>
            </w:tcBorders>
            <w:vAlign w:val="center"/>
          </w:tcPr>
          <w:p>
            <w:pPr>
              <w:pStyle w:val="12"/>
              <w:jc w:val="center"/>
              <w:rPr>
                <w:color w:val="auto"/>
                <w:sz w:val="21"/>
                <w:szCs w:val="21"/>
              </w:rPr>
            </w:pPr>
            <w:r>
              <w:rPr>
                <w:rFonts w:hint="eastAsia"/>
                <w:color w:val="auto"/>
                <w:sz w:val="21"/>
                <w:szCs w:val="21"/>
              </w:rPr>
              <w:t>位置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采样日期</w:t>
            </w:r>
          </w:p>
        </w:tc>
        <w:tc>
          <w:tcPr>
            <w:tcW w:w="1327" w:type="dxa"/>
            <w:vMerge w:val="restart"/>
            <w:tcBorders>
              <w:bottom w:val="single" w:color="auto" w:sz="4" w:space="0"/>
            </w:tcBorders>
            <w:vAlign w:val="center"/>
          </w:tcPr>
          <w:p>
            <w:pPr>
              <w:pStyle w:val="12"/>
              <w:jc w:val="center"/>
              <w:rPr>
                <w:color w:val="auto"/>
                <w:sz w:val="21"/>
                <w:szCs w:val="21"/>
              </w:rPr>
            </w:pPr>
            <w:r>
              <w:rPr>
                <w:color w:val="auto"/>
                <w:sz w:val="21"/>
                <w:szCs w:val="21"/>
              </w:rPr>
              <w:t>检测项目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检测频次</w:t>
            </w:r>
          </w:p>
        </w:tc>
        <w:tc>
          <w:tcPr>
            <w:tcW w:w="3980" w:type="dxa"/>
            <w:gridSpan w:val="3"/>
            <w:tcBorders>
              <w:bottom w:val="single" w:color="auto" w:sz="4" w:space="0"/>
            </w:tcBorders>
            <w:vAlign w:val="center"/>
          </w:tcPr>
          <w:p>
            <w:pPr>
              <w:pStyle w:val="12"/>
              <w:tabs>
                <w:tab w:val="left" w:pos="3332"/>
              </w:tabs>
              <w:jc w:val="center"/>
              <w:rPr>
                <w:color w:val="auto"/>
                <w:sz w:val="21"/>
                <w:szCs w:val="21"/>
              </w:rPr>
            </w:pPr>
            <w:r>
              <w:rPr>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9" w:hRule="exact"/>
          <w:tblHeader/>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实测浓度（mg/m</w:t>
            </w:r>
            <w:r>
              <w:rPr>
                <w:color w:val="auto"/>
                <w:sz w:val="21"/>
                <w:szCs w:val="21"/>
                <w:vertAlign w:val="superscript"/>
              </w:rPr>
              <w:t>3</w:t>
            </w:r>
            <w:r>
              <w:rPr>
                <w:color w:val="auto"/>
                <w:sz w:val="21"/>
                <w:szCs w:val="21"/>
              </w:rPr>
              <w:t>）</w:t>
            </w:r>
          </w:p>
        </w:tc>
        <w:tc>
          <w:tcPr>
            <w:tcW w:w="1326"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标干排气量（m</w:t>
            </w:r>
            <w:r>
              <w:rPr>
                <w:color w:val="auto"/>
                <w:sz w:val="21"/>
                <w:szCs w:val="21"/>
                <w:vertAlign w:val="superscript"/>
              </w:rPr>
              <w:t>3</w:t>
            </w:r>
            <w:r>
              <w:rPr>
                <w:color w:val="auto"/>
                <w:sz w:val="21"/>
                <w:szCs w:val="21"/>
              </w:rPr>
              <w:t>/h）</w:t>
            </w: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产生速率（kg/h）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碱液喷淋塔进口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7350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7720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7910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7547.5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7320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7277.5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7350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2.08</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1.94</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7720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1.99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7910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2.0025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7547.5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1.99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1.99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1.93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7230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2.02</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7320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1.9825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7277.5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0.01445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6380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0.02</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6500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0.01475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6465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0.019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6500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0.016</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6535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0.00010</w:t>
            </w:r>
            <w:r>
              <w:rPr>
                <w:rFonts w:hint="eastAsia"/>
                <w:b/>
                <w:bCs/>
                <w:color w:val="auto"/>
                <w:kern w:val="0"/>
                <w:szCs w:val="21"/>
                <w:lang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2017.7.11</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2.92</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1.61</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1.59</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2.21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1.6</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2017.7.12</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3.27</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1.58</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1.12</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1.37</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1.12</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2.07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1.11 </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0.0000023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氰净化塔进口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0.11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0.000101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0.12</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0.16</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tcBorders>
            <w:vAlign w:val="center"/>
          </w:tcPr>
          <w:p>
            <w:pPr>
              <w:pStyle w:val="12"/>
              <w:jc w:val="center"/>
              <w:rPr>
                <w:color w:val="auto"/>
                <w:sz w:val="21"/>
                <w:szCs w:val="21"/>
              </w:rPr>
            </w:pPr>
          </w:p>
        </w:tc>
        <w:tc>
          <w:tcPr>
            <w:tcW w:w="1326" w:type="dxa"/>
            <w:vMerge w:val="continue"/>
            <w:tcBorders>
              <w:top w:val="single" w:color="auto" w:sz="4" w:space="0"/>
            </w:tcBorders>
            <w:vAlign w:val="center"/>
          </w:tcPr>
          <w:p>
            <w:pPr>
              <w:pStyle w:val="12"/>
              <w:jc w:val="center"/>
              <w:rPr>
                <w:color w:val="auto"/>
                <w:sz w:val="21"/>
                <w:szCs w:val="21"/>
              </w:rPr>
            </w:pPr>
          </w:p>
        </w:tc>
        <w:tc>
          <w:tcPr>
            <w:tcW w:w="1327" w:type="dxa"/>
            <w:vMerge w:val="continue"/>
            <w:tcBorders>
              <w:top w:val="single" w:color="auto" w:sz="4" w:space="0"/>
            </w:tcBorders>
            <w:vAlign w:val="center"/>
          </w:tcPr>
          <w:p>
            <w:pPr>
              <w:jc w:val="center"/>
              <w:rPr>
                <w:color w:val="auto"/>
                <w:szCs w:val="21"/>
              </w:rPr>
            </w:pPr>
          </w:p>
        </w:tc>
        <w:tc>
          <w:tcPr>
            <w:tcW w:w="1326" w:type="dxa"/>
            <w:tcBorders>
              <w:top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0.13</w:t>
            </w:r>
          </w:p>
        </w:tc>
        <w:tc>
          <w:tcPr>
            <w:tcW w:w="1326"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896</w:t>
            </w:r>
          </w:p>
        </w:tc>
        <w:tc>
          <w:tcPr>
            <w:tcW w:w="1327"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0.000117 </w:t>
            </w:r>
          </w:p>
        </w:tc>
      </w:tr>
    </w:tbl>
    <w:p>
      <w:pPr>
        <w:pStyle w:val="12"/>
        <w:spacing w:after="0"/>
        <w:jc w:val="center"/>
        <w:rPr>
          <w:b/>
          <w:color w:val="auto"/>
        </w:rPr>
      </w:pPr>
    </w:p>
    <w:p>
      <w:pPr>
        <w:pStyle w:val="12"/>
        <w:spacing w:after="0"/>
        <w:jc w:val="center"/>
        <w:rPr>
          <w:color w:val="auto"/>
        </w:rPr>
      </w:pPr>
      <w:r>
        <w:rPr>
          <w:rFonts w:hint="eastAsia"/>
          <w:b/>
          <w:color w:val="auto"/>
        </w:rPr>
        <w:t>表5.1-4  原有各排气筒污染物排放情况一览表</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26"/>
        <w:gridCol w:w="1327"/>
        <w:gridCol w:w="1326"/>
        <w:gridCol w:w="1327"/>
        <w:gridCol w:w="1326"/>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blHeader/>
          <w:jc w:val="center"/>
        </w:trPr>
        <w:tc>
          <w:tcPr>
            <w:tcW w:w="1327" w:type="dxa"/>
            <w:vMerge w:val="restart"/>
            <w:tcBorders>
              <w:bottom w:val="single" w:color="auto" w:sz="4" w:space="0"/>
            </w:tcBorders>
            <w:vAlign w:val="center"/>
          </w:tcPr>
          <w:p>
            <w:pPr>
              <w:pStyle w:val="12"/>
              <w:jc w:val="center"/>
              <w:rPr>
                <w:color w:val="auto"/>
                <w:sz w:val="21"/>
                <w:szCs w:val="21"/>
              </w:rPr>
            </w:pPr>
            <w:r>
              <w:rPr>
                <w:rFonts w:hint="eastAsia"/>
                <w:color w:val="auto"/>
                <w:sz w:val="21"/>
                <w:szCs w:val="21"/>
              </w:rPr>
              <w:t>位置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采样日期</w:t>
            </w:r>
          </w:p>
        </w:tc>
        <w:tc>
          <w:tcPr>
            <w:tcW w:w="1327" w:type="dxa"/>
            <w:vMerge w:val="restart"/>
            <w:tcBorders>
              <w:bottom w:val="single" w:color="auto" w:sz="4" w:space="0"/>
            </w:tcBorders>
            <w:vAlign w:val="center"/>
          </w:tcPr>
          <w:p>
            <w:pPr>
              <w:pStyle w:val="12"/>
              <w:jc w:val="center"/>
              <w:rPr>
                <w:color w:val="auto"/>
                <w:sz w:val="21"/>
                <w:szCs w:val="21"/>
              </w:rPr>
            </w:pPr>
            <w:r>
              <w:rPr>
                <w:color w:val="auto"/>
                <w:sz w:val="21"/>
                <w:szCs w:val="21"/>
              </w:rPr>
              <w:t>检测项目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检测频次</w:t>
            </w:r>
          </w:p>
        </w:tc>
        <w:tc>
          <w:tcPr>
            <w:tcW w:w="3980" w:type="dxa"/>
            <w:gridSpan w:val="3"/>
            <w:tcBorders>
              <w:bottom w:val="single" w:color="auto" w:sz="4" w:space="0"/>
            </w:tcBorders>
            <w:vAlign w:val="center"/>
          </w:tcPr>
          <w:p>
            <w:pPr>
              <w:pStyle w:val="12"/>
              <w:tabs>
                <w:tab w:val="left" w:pos="3332"/>
              </w:tabs>
              <w:jc w:val="center"/>
              <w:rPr>
                <w:color w:val="auto"/>
                <w:sz w:val="21"/>
                <w:szCs w:val="21"/>
              </w:rPr>
            </w:pPr>
            <w:r>
              <w:rPr>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9" w:hRule="exact"/>
          <w:tblHeader/>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实测浓度（mg/m</w:t>
            </w:r>
            <w:r>
              <w:rPr>
                <w:color w:val="auto"/>
                <w:sz w:val="21"/>
                <w:szCs w:val="21"/>
                <w:vertAlign w:val="superscript"/>
              </w:rPr>
              <w:t>3</w:t>
            </w:r>
            <w:r>
              <w:rPr>
                <w:color w:val="auto"/>
                <w:sz w:val="21"/>
                <w:szCs w:val="21"/>
              </w:rPr>
              <w:t>）</w:t>
            </w:r>
          </w:p>
        </w:tc>
        <w:tc>
          <w:tcPr>
            <w:tcW w:w="1326"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标干排气量（m</w:t>
            </w:r>
            <w:r>
              <w:rPr>
                <w:color w:val="auto"/>
                <w:sz w:val="21"/>
                <w:szCs w:val="21"/>
                <w:vertAlign w:val="superscript"/>
              </w:rPr>
              <w:t>3</w:t>
            </w:r>
            <w:r>
              <w:rPr>
                <w:color w:val="auto"/>
                <w:sz w:val="21"/>
                <w:szCs w:val="21"/>
              </w:rPr>
              <w:t>/h）</w:t>
            </w: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碱液喷淋塔出口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0.51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0.4625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0.0019</w:t>
            </w:r>
            <w:r>
              <w:rPr>
                <w:rFonts w:hint="eastAsia"/>
                <w:b/>
                <w:bCs/>
                <w:color w:val="auto"/>
                <w:kern w:val="0"/>
                <w:szCs w:val="21"/>
                <w:lang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0.51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0.4625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0.0019</w:t>
            </w:r>
            <w:r>
              <w:rPr>
                <w:rFonts w:hint="eastAsia"/>
                <w:b/>
                <w:bCs/>
                <w:color w:val="auto"/>
                <w:kern w:val="0"/>
                <w:szCs w:val="21"/>
                <w:lang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6390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6420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6457.5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6450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6470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2017.7.11</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2.17</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1.67</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1.66</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1.68</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1.67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1.48 </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0.0000028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2017.7.12</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1.65</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1.03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0.21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0.91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1.66 </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0.0000021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氰净化塔</w:t>
            </w:r>
          </w:p>
          <w:p>
            <w:pPr>
              <w:pStyle w:val="12"/>
              <w:jc w:val="center"/>
              <w:rPr>
                <w:color w:val="auto"/>
                <w:sz w:val="21"/>
                <w:szCs w:val="21"/>
              </w:rPr>
            </w:pPr>
            <w:r>
              <w:rPr>
                <w:rFonts w:hint="eastAsia"/>
                <w:color w:val="auto"/>
                <w:sz w:val="21"/>
                <w:szCs w:val="21"/>
              </w:rPr>
              <w:t>出口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0.09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tcBorders>
            <w:vAlign w:val="center"/>
          </w:tcPr>
          <w:p>
            <w:pPr>
              <w:pStyle w:val="12"/>
              <w:jc w:val="center"/>
              <w:rPr>
                <w:color w:val="auto"/>
                <w:sz w:val="21"/>
                <w:szCs w:val="21"/>
              </w:rPr>
            </w:pPr>
          </w:p>
        </w:tc>
        <w:tc>
          <w:tcPr>
            <w:tcW w:w="1326" w:type="dxa"/>
            <w:vMerge w:val="continue"/>
            <w:tcBorders>
              <w:top w:val="single" w:color="auto" w:sz="4" w:space="0"/>
            </w:tcBorders>
            <w:vAlign w:val="center"/>
          </w:tcPr>
          <w:p>
            <w:pPr>
              <w:pStyle w:val="12"/>
              <w:jc w:val="center"/>
              <w:rPr>
                <w:color w:val="auto"/>
                <w:sz w:val="21"/>
                <w:szCs w:val="21"/>
              </w:rPr>
            </w:pPr>
          </w:p>
        </w:tc>
        <w:tc>
          <w:tcPr>
            <w:tcW w:w="1327" w:type="dxa"/>
            <w:vMerge w:val="continue"/>
            <w:tcBorders>
              <w:top w:val="single" w:color="auto" w:sz="4" w:space="0"/>
            </w:tcBorders>
            <w:vAlign w:val="center"/>
          </w:tcPr>
          <w:p>
            <w:pPr>
              <w:jc w:val="center"/>
              <w:rPr>
                <w:color w:val="auto"/>
                <w:szCs w:val="21"/>
              </w:rPr>
            </w:pPr>
          </w:p>
        </w:tc>
        <w:tc>
          <w:tcPr>
            <w:tcW w:w="1326" w:type="dxa"/>
            <w:tcBorders>
              <w:top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0.09</w:t>
            </w:r>
          </w:p>
        </w:tc>
        <w:tc>
          <w:tcPr>
            <w:tcW w:w="1326"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1470</w:t>
            </w:r>
          </w:p>
        </w:tc>
        <w:tc>
          <w:tcPr>
            <w:tcW w:w="1327"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0.0001</w:t>
            </w:r>
          </w:p>
        </w:tc>
      </w:tr>
    </w:tbl>
    <w:p>
      <w:pPr>
        <w:pStyle w:val="12"/>
        <w:spacing w:before="120" w:beforeLines="50" w:after="0"/>
        <w:jc w:val="center"/>
        <w:rPr>
          <w:b/>
          <w:color w:val="auto"/>
        </w:rPr>
      </w:pPr>
      <w:r>
        <w:rPr>
          <w:rFonts w:hint="eastAsia"/>
          <w:b/>
          <w:color w:val="auto"/>
        </w:rPr>
        <w:t>表5.1-5  原有项目废气产排污一览表</w:t>
      </w:r>
    </w:p>
    <w:tbl>
      <w:tblPr>
        <w:tblStyle w:val="23"/>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332"/>
        <w:gridCol w:w="1848"/>
        <w:gridCol w:w="1524"/>
        <w:gridCol w:w="1710"/>
        <w:gridCol w:w="1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6" w:type="dxa"/>
            <w:tcBorders>
              <w:tl2br w:val="nil"/>
              <w:tr2bl w:val="nil"/>
            </w:tcBorders>
            <w:vAlign w:val="center"/>
          </w:tcPr>
          <w:p>
            <w:pPr>
              <w:pStyle w:val="12"/>
              <w:jc w:val="center"/>
              <w:rPr>
                <w:color w:val="auto"/>
                <w:sz w:val="21"/>
                <w:szCs w:val="21"/>
              </w:rPr>
            </w:pPr>
            <w:r>
              <w:rPr>
                <w:rFonts w:hint="eastAsia"/>
                <w:color w:val="auto"/>
                <w:sz w:val="21"/>
                <w:szCs w:val="21"/>
              </w:rPr>
              <w:t>污染物</w:t>
            </w:r>
          </w:p>
        </w:tc>
        <w:tc>
          <w:tcPr>
            <w:tcW w:w="1332" w:type="dxa"/>
            <w:tcBorders>
              <w:tl2br w:val="nil"/>
              <w:tr2bl w:val="nil"/>
            </w:tcBorders>
            <w:vAlign w:val="center"/>
          </w:tcPr>
          <w:p>
            <w:pPr>
              <w:pStyle w:val="12"/>
              <w:jc w:val="center"/>
              <w:rPr>
                <w:color w:val="auto"/>
                <w:sz w:val="21"/>
                <w:szCs w:val="21"/>
              </w:rPr>
            </w:pPr>
            <w:r>
              <w:rPr>
                <w:rFonts w:hint="eastAsia"/>
                <w:color w:val="auto"/>
                <w:sz w:val="21"/>
                <w:szCs w:val="21"/>
              </w:rPr>
              <w:t>运行时间h</w:t>
            </w:r>
          </w:p>
        </w:tc>
        <w:tc>
          <w:tcPr>
            <w:tcW w:w="1848" w:type="dxa"/>
            <w:tcBorders>
              <w:tl2br w:val="nil"/>
              <w:tr2bl w:val="nil"/>
            </w:tcBorders>
            <w:vAlign w:val="center"/>
          </w:tcPr>
          <w:p>
            <w:pPr>
              <w:pStyle w:val="12"/>
              <w:jc w:val="center"/>
              <w:rPr>
                <w:color w:val="auto"/>
                <w:sz w:val="21"/>
                <w:szCs w:val="21"/>
              </w:rPr>
            </w:pPr>
            <w:r>
              <w:rPr>
                <w:rFonts w:hint="eastAsia"/>
                <w:color w:val="auto"/>
                <w:sz w:val="21"/>
                <w:szCs w:val="21"/>
              </w:rPr>
              <w:t>产生速率kg/h</w:t>
            </w:r>
          </w:p>
        </w:tc>
        <w:tc>
          <w:tcPr>
            <w:tcW w:w="1524" w:type="dxa"/>
            <w:tcBorders>
              <w:tl2br w:val="nil"/>
              <w:tr2bl w:val="nil"/>
            </w:tcBorders>
            <w:vAlign w:val="center"/>
          </w:tcPr>
          <w:p>
            <w:pPr>
              <w:pStyle w:val="12"/>
              <w:jc w:val="center"/>
              <w:rPr>
                <w:color w:val="auto"/>
                <w:sz w:val="21"/>
                <w:szCs w:val="21"/>
              </w:rPr>
            </w:pPr>
            <w:r>
              <w:rPr>
                <w:rFonts w:hint="eastAsia"/>
                <w:color w:val="auto"/>
                <w:sz w:val="21"/>
                <w:szCs w:val="21"/>
              </w:rPr>
              <w:t>产生量t/a</w:t>
            </w:r>
          </w:p>
        </w:tc>
        <w:tc>
          <w:tcPr>
            <w:tcW w:w="1710" w:type="dxa"/>
            <w:tcBorders>
              <w:tl2br w:val="nil"/>
              <w:tr2bl w:val="nil"/>
            </w:tcBorders>
            <w:vAlign w:val="center"/>
          </w:tcPr>
          <w:p>
            <w:pPr>
              <w:pStyle w:val="12"/>
              <w:jc w:val="center"/>
              <w:rPr>
                <w:color w:val="auto"/>
                <w:sz w:val="21"/>
                <w:szCs w:val="21"/>
              </w:rPr>
            </w:pPr>
            <w:r>
              <w:rPr>
                <w:rFonts w:hint="eastAsia"/>
                <w:color w:val="auto"/>
                <w:sz w:val="21"/>
                <w:szCs w:val="21"/>
              </w:rPr>
              <w:t>排放速率kg/h</w:t>
            </w:r>
          </w:p>
        </w:tc>
        <w:tc>
          <w:tcPr>
            <w:tcW w:w="1548" w:type="dxa"/>
            <w:tcBorders>
              <w:tl2br w:val="nil"/>
              <w:tr2bl w:val="nil"/>
            </w:tcBorders>
            <w:vAlign w:val="center"/>
          </w:tcPr>
          <w:p>
            <w:pPr>
              <w:pStyle w:val="12"/>
              <w:jc w:val="center"/>
              <w:rPr>
                <w:color w:val="auto"/>
                <w:sz w:val="21"/>
                <w:szCs w:val="21"/>
              </w:rPr>
            </w:pPr>
            <w:r>
              <w:rPr>
                <w:rFonts w:hint="eastAsia"/>
                <w:color w:val="auto"/>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6" w:type="dxa"/>
            <w:tcBorders>
              <w:tl2br w:val="nil"/>
              <w:tr2bl w:val="nil"/>
            </w:tcBorders>
            <w:vAlign w:val="center"/>
          </w:tcPr>
          <w:p>
            <w:pPr>
              <w:pStyle w:val="12"/>
              <w:jc w:val="center"/>
              <w:rPr>
                <w:color w:val="auto"/>
                <w:sz w:val="21"/>
                <w:szCs w:val="21"/>
              </w:rPr>
            </w:pPr>
            <w:r>
              <w:rPr>
                <w:rFonts w:hint="eastAsia"/>
                <w:color w:val="auto"/>
                <w:sz w:val="21"/>
                <w:szCs w:val="21"/>
              </w:rPr>
              <w:t>氯化氢</w:t>
            </w:r>
          </w:p>
        </w:tc>
        <w:tc>
          <w:tcPr>
            <w:tcW w:w="1332"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848" w:type="dxa"/>
            <w:tcBorders>
              <w:tl2br w:val="nil"/>
              <w:tr2bl w:val="nil"/>
            </w:tcBorders>
            <w:vAlign w:val="center"/>
          </w:tcPr>
          <w:p>
            <w:pPr>
              <w:widowControl/>
              <w:jc w:val="center"/>
              <w:textAlignment w:val="center"/>
              <w:rPr>
                <w:color w:val="auto"/>
                <w:szCs w:val="21"/>
              </w:rPr>
            </w:pPr>
            <w:r>
              <w:rPr>
                <w:color w:val="auto"/>
                <w:kern w:val="0"/>
                <w:szCs w:val="21"/>
                <w:lang w:bidi="ar"/>
              </w:rPr>
              <w:t>0.006875</w:t>
            </w:r>
          </w:p>
        </w:tc>
        <w:tc>
          <w:tcPr>
            <w:tcW w:w="1524"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0.0179 </w:t>
            </w:r>
          </w:p>
        </w:tc>
        <w:tc>
          <w:tcPr>
            <w:tcW w:w="1710" w:type="dxa"/>
            <w:tcBorders>
              <w:tl2br w:val="nil"/>
              <w:tr2bl w:val="nil"/>
            </w:tcBorders>
            <w:vAlign w:val="center"/>
          </w:tcPr>
          <w:p>
            <w:pPr>
              <w:widowControl/>
              <w:jc w:val="center"/>
              <w:textAlignment w:val="center"/>
              <w:rPr>
                <w:color w:val="auto"/>
                <w:szCs w:val="21"/>
              </w:rPr>
            </w:pPr>
            <w:r>
              <w:rPr>
                <w:color w:val="auto"/>
                <w:kern w:val="0"/>
                <w:szCs w:val="21"/>
                <w:lang w:bidi="ar"/>
              </w:rPr>
              <w:t>0.006</w:t>
            </w:r>
          </w:p>
        </w:tc>
        <w:tc>
          <w:tcPr>
            <w:tcW w:w="1548" w:type="dxa"/>
            <w:tcBorders>
              <w:tl2br w:val="nil"/>
              <w:tr2bl w:val="nil"/>
            </w:tcBorders>
            <w:vAlign w:val="center"/>
          </w:tcPr>
          <w:p>
            <w:pPr>
              <w:widowControl/>
              <w:jc w:val="center"/>
              <w:textAlignment w:val="center"/>
              <w:rPr>
                <w:color w:val="auto"/>
                <w:szCs w:val="21"/>
              </w:rPr>
            </w:pPr>
            <w:r>
              <w:rPr>
                <w:color w:val="auto"/>
                <w:kern w:val="0"/>
                <w:szCs w:val="21"/>
                <w:lang w:bidi="ar"/>
              </w:rPr>
              <w:t>0.0156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6" w:type="dxa"/>
            <w:tcBorders>
              <w:tl2br w:val="nil"/>
              <w:tr2bl w:val="nil"/>
            </w:tcBorders>
            <w:vAlign w:val="center"/>
          </w:tcPr>
          <w:p>
            <w:pPr>
              <w:pStyle w:val="12"/>
              <w:jc w:val="center"/>
              <w:rPr>
                <w:color w:val="auto"/>
                <w:sz w:val="21"/>
                <w:szCs w:val="21"/>
              </w:rPr>
            </w:pPr>
            <w:r>
              <w:rPr>
                <w:rFonts w:hint="eastAsia"/>
                <w:color w:val="auto"/>
                <w:sz w:val="21"/>
                <w:szCs w:val="21"/>
              </w:rPr>
              <w:t>氟化物</w:t>
            </w:r>
          </w:p>
        </w:tc>
        <w:tc>
          <w:tcPr>
            <w:tcW w:w="1332"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848" w:type="dxa"/>
            <w:tcBorders>
              <w:tl2br w:val="nil"/>
              <w:tr2bl w:val="nil"/>
            </w:tcBorders>
            <w:vAlign w:val="center"/>
          </w:tcPr>
          <w:p>
            <w:pPr>
              <w:widowControl/>
              <w:jc w:val="center"/>
              <w:textAlignment w:val="center"/>
              <w:rPr>
                <w:color w:val="auto"/>
                <w:szCs w:val="21"/>
              </w:rPr>
            </w:pPr>
            <w:r>
              <w:rPr>
                <w:color w:val="auto"/>
                <w:kern w:val="0"/>
                <w:szCs w:val="21"/>
                <w:lang w:bidi="ar"/>
              </w:rPr>
              <w:t>0.014775</w:t>
            </w:r>
          </w:p>
        </w:tc>
        <w:tc>
          <w:tcPr>
            <w:tcW w:w="1524"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0.0384 </w:t>
            </w:r>
          </w:p>
        </w:tc>
        <w:tc>
          <w:tcPr>
            <w:tcW w:w="1710" w:type="dxa"/>
            <w:tcBorders>
              <w:tl2br w:val="nil"/>
              <w:tr2bl w:val="nil"/>
            </w:tcBorders>
            <w:vAlign w:val="center"/>
          </w:tcPr>
          <w:p>
            <w:pPr>
              <w:widowControl/>
              <w:jc w:val="center"/>
              <w:textAlignment w:val="center"/>
              <w:rPr>
                <w:color w:val="auto"/>
                <w:szCs w:val="21"/>
              </w:rPr>
            </w:pPr>
            <w:r>
              <w:rPr>
                <w:color w:val="auto"/>
                <w:kern w:val="0"/>
                <w:szCs w:val="21"/>
                <w:lang w:bidi="ar"/>
              </w:rPr>
              <w:t>0.001975</w:t>
            </w:r>
          </w:p>
        </w:tc>
        <w:tc>
          <w:tcPr>
            <w:tcW w:w="1548"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0.00514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6" w:type="dxa"/>
            <w:tcBorders>
              <w:tl2br w:val="nil"/>
              <w:tr2bl w:val="nil"/>
            </w:tcBorders>
            <w:vAlign w:val="center"/>
          </w:tcPr>
          <w:p>
            <w:pPr>
              <w:pStyle w:val="12"/>
              <w:jc w:val="center"/>
              <w:rPr>
                <w:color w:val="auto"/>
                <w:sz w:val="21"/>
                <w:szCs w:val="21"/>
              </w:rPr>
            </w:pPr>
            <w:r>
              <w:rPr>
                <w:rFonts w:hint="eastAsia"/>
                <w:color w:val="auto"/>
                <w:sz w:val="21"/>
                <w:szCs w:val="21"/>
              </w:rPr>
              <w:t>铬酸雾</w:t>
            </w:r>
          </w:p>
        </w:tc>
        <w:tc>
          <w:tcPr>
            <w:tcW w:w="1332"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848" w:type="dxa"/>
            <w:tcBorders>
              <w:tl2br w:val="nil"/>
              <w:tr2bl w:val="nil"/>
            </w:tcBorders>
            <w:vAlign w:val="center"/>
          </w:tcPr>
          <w:p>
            <w:pPr>
              <w:widowControl/>
              <w:jc w:val="center"/>
              <w:textAlignment w:val="center"/>
              <w:rPr>
                <w:color w:val="auto"/>
                <w:szCs w:val="21"/>
              </w:rPr>
            </w:pPr>
            <w:r>
              <w:rPr>
                <w:color w:val="auto"/>
                <w:kern w:val="0"/>
                <w:szCs w:val="21"/>
                <w:lang w:bidi="ar"/>
              </w:rPr>
              <w:t>0.000099</w:t>
            </w:r>
          </w:p>
        </w:tc>
        <w:tc>
          <w:tcPr>
            <w:tcW w:w="1524"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0.000257 </w:t>
            </w:r>
          </w:p>
        </w:tc>
        <w:tc>
          <w:tcPr>
            <w:tcW w:w="1710" w:type="dxa"/>
            <w:tcBorders>
              <w:tl2br w:val="nil"/>
              <w:tr2bl w:val="nil"/>
            </w:tcBorders>
            <w:vAlign w:val="center"/>
          </w:tcPr>
          <w:p>
            <w:pPr>
              <w:widowControl/>
              <w:jc w:val="center"/>
              <w:textAlignment w:val="center"/>
              <w:rPr>
                <w:color w:val="auto"/>
                <w:szCs w:val="21"/>
              </w:rPr>
            </w:pPr>
            <w:r>
              <w:rPr>
                <w:color w:val="auto"/>
                <w:kern w:val="0"/>
                <w:szCs w:val="21"/>
                <w:lang w:bidi="ar"/>
              </w:rPr>
              <w:t>0.00003</w:t>
            </w:r>
          </w:p>
        </w:tc>
        <w:tc>
          <w:tcPr>
            <w:tcW w:w="1548" w:type="dxa"/>
            <w:tcBorders>
              <w:tl2br w:val="nil"/>
              <w:tr2bl w:val="nil"/>
            </w:tcBorders>
            <w:vAlign w:val="center"/>
          </w:tcPr>
          <w:p>
            <w:pPr>
              <w:widowControl/>
              <w:jc w:val="center"/>
              <w:textAlignment w:val="center"/>
              <w:rPr>
                <w:color w:val="auto"/>
                <w:szCs w:val="21"/>
              </w:rPr>
            </w:pPr>
            <w:r>
              <w:rPr>
                <w:color w:val="auto"/>
                <w:kern w:val="0"/>
                <w:szCs w:val="21"/>
                <w:lang w:bidi="ar"/>
              </w:rPr>
              <w:t>0.000078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6" w:type="dxa"/>
            <w:tcBorders>
              <w:tl2br w:val="nil"/>
              <w:tr2bl w:val="nil"/>
            </w:tcBorders>
            <w:vAlign w:val="center"/>
          </w:tcPr>
          <w:p>
            <w:pPr>
              <w:pStyle w:val="12"/>
              <w:jc w:val="center"/>
              <w:rPr>
                <w:color w:val="auto"/>
                <w:sz w:val="21"/>
                <w:szCs w:val="21"/>
              </w:rPr>
            </w:pPr>
            <w:r>
              <w:rPr>
                <w:rFonts w:hint="eastAsia"/>
                <w:color w:val="auto"/>
                <w:sz w:val="21"/>
                <w:szCs w:val="21"/>
              </w:rPr>
              <w:t>硫酸雾</w:t>
            </w:r>
          </w:p>
        </w:tc>
        <w:tc>
          <w:tcPr>
            <w:tcW w:w="1332"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848"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0.000003 </w:t>
            </w:r>
          </w:p>
        </w:tc>
        <w:tc>
          <w:tcPr>
            <w:tcW w:w="1524" w:type="dxa"/>
            <w:tcBorders>
              <w:tl2br w:val="nil"/>
              <w:tr2bl w:val="nil"/>
            </w:tcBorders>
            <w:vAlign w:val="center"/>
          </w:tcPr>
          <w:p>
            <w:pPr>
              <w:widowControl/>
              <w:jc w:val="center"/>
              <w:textAlignment w:val="center"/>
              <w:rPr>
                <w:color w:val="auto"/>
                <w:szCs w:val="21"/>
              </w:rPr>
            </w:pPr>
            <w:r>
              <w:rPr>
                <w:color w:val="auto"/>
                <w:kern w:val="0"/>
                <w:szCs w:val="21"/>
                <w:lang w:bidi="ar"/>
              </w:rPr>
              <w:t>0.00000754</w:t>
            </w:r>
          </w:p>
        </w:tc>
        <w:tc>
          <w:tcPr>
            <w:tcW w:w="1710"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0.0000024 </w:t>
            </w:r>
          </w:p>
        </w:tc>
        <w:tc>
          <w:tcPr>
            <w:tcW w:w="1548"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0.00000632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6" w:type="dxa"/>
            <w:tcBorders>
              <w:tl2br w:val="nil"/>
              <w:tr2bl w:val="nil"/>
            </w:tcBorders>
            <w:vAlign w:val="center"/>
          </w:tcPr>
          <w:p>
            <w:pPr>
              <w:pStyle w:val="12"/>
              <w:jc w:val="center"/>
              <w:rPr>
                <w:color w:val="auto"/>
                <w:sz w:val="21"/>
                <w:szCs w:val="21"/>
              </w:rPr>
            </w:pPr>
            <w:r>
              <w:rPr>
                <w:rFonts w:hint="eastAsia"/>
                <w:color w:val="auto"/>
                <w:sz w:val="21"/>
                <w:szCs w:val="21"/>
              </w:rPr>
              <w:t>氰化氢</w:t>
            </w:r>
          </w:p>
        </w:tc>
        <w:tc>
          <w:tcPr>
            <w:tcW w:w="1332"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848"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0.000109 </w:t>
            </w:r>
          </w:p>
        </w:tc>
        <w:tc>
          <w:tcPr>
            <w:tcW w:w="1524"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0.00028 </w:t>
            </w:r>
          </w:p>
        </w:tc>
        <w:tc>
          <w:tcPr>
            <w:tcW w:w="1710" w:type="dxa"/>
            <w:tcBorders>
              <w:tl2br w:val="nil"/>
              <w:tr2bl w:val="nil"/>
            </w:tcBorders>
            <w:vAlign w:val="center"/>
          </w:tcPr>
          <w:p>
            <w:pPr>
              <w:widowControl/>
              <w:jc w:val="center"/>
              <w:textAlignment w:val="center"/>
              <w:rPr>
                <w:color w:val="auto"/>
                <w:szCs w:val="21"/>
              </w:rPr>
            </w:pPr>
            <w:r>
              <w:rPr>
                <w:color w:val="auto"/>
                <w:kern w:val="0"/>
                <w:szCs w:val="21"/>
                <w:lang w:bidi="ar"/>
              </w:rPr>
              <w:t>0.0001</w:t>
            </w:r>
          </w:p>
        </w:tc>
        <w:tc>
          <w:tcPr>
            <w:tcW w:w="1548" w:type="dxa"/>
            <w:tcBorders>
              <w:tl2br w:val="nil"/>
              <w:tr2bl w:val="nil"/>
            </w:tcBorders>
            <w:vAlign w:val="center"/>
          </w:tcPr>
          <w:p>
            <w:pPr>
              <w:widowControl/>
              <w:jc w:val="center"/>
              <w:textAlignment w:val="center"/>
              <w:rPr>
                <w:color w:val="auto"/>
                <w:szCs w:val="21"/>
              </w:rPr>
            </w:pPr>
            <w:r>
              <w:rPr>
                <w:color w:val="auto"/>
                <w:kern w:val="0"/>
                <w:szCs w:val="21"/>
                <w:lang w:bidi="ar"/>
              </w:rPr>
              <w:t>0.00026</w:t>
            </w:r>
          </w:p>
        </w:tc>
      </w:tr>
    </w:tbl>
    <w:p>
      <w:pPr>
        <w:pStyle w:val="12"/>
        <w:spacing w:after="0" w:line="360" w:lineRule="auto"/>
        <w:ind w:firstLine="480" w:firstLineChars="200"/>
        <w:rPr>
          <w:color w:val="auto"/>
        </w:rPr>
      </w:pPr>
      <w:r>
        <w:rPr>
          <w:color w:val="auto"/>
        </w:rPr>
        <w:t>从</w:t>
      </w:r>
      <w:r>
        <w:rPr>
          <w:rFonts w:hint="eastAsia"/>
          <w:color w:val="auto"/>
        </w:rPr>
        <w:t>以上</w:t>
      </w:r>
      <w:r>
        <w:rPr>
          <w:color w:val="auto"/>
        </w:rPr>
        <w:t>监测结果可以看出，</w:t>
      </w:r>
      <w:r>
        <w:rPr>
          <w:rFonts w:hint="eastAsia"/>
          <w:color w:val="auto"/>
        </w:rPr>
        <w:t>项目生产过程产生的废气污染物经处理后均能达标排放，对周边环境的影响较小。</w:t>
      </w:r>
    </w:p>
    <w:p>
      <w:pPr>
        <w:pStyle w:val="2"/>
        <w:numPr>
          <w:ilvl w:val="0"/>
          <w:numId w:val="6"/>
        </w:numPr>
        <w:ind w:firstLine="0"/>
        <w:rPr>
          <w:color w:val="auto"/>
        </w:rPr>
      </w:pPr>
      <w:r>
        <w:rPr>
          <w:rFonts w:hint="eastAsia"/>
          <w:color w:val="auto"/>
        </w:rPr>
        <w:t>原有工程噪声污染调查与评价</w:t>
      </w:r>
    </w:p>
    <w:p>
      <w:pPr>
        <w:pStyle w:val="2"/>
        <w:ind w:firstLine="420"/>
        <w:rPr>
          <w:color w:val="auto"/>
        </w:rPr>
      </w:pPr>
      <w:r>
        <w:rPr>
          <w:rFonts w:hint="eastAsia"/>
          <w:color w:val="auto"/>
        </w:rPr>
        <w:t>项目噪声主要来自废气处理设备引风机等，根据《福鼎市质达金属表面处理有限公司各类金属元件表面处理项目竣工环境保护验收监测报告》鼎环保站验（2017）第12号报告，原有工程稳定运行后，厂界噪声Leq值为51~74dB（A），部分点位噪声值超过《工业企业厂界环境噪声排放标准》（GB12348-2008）表1中3类功能区昼间Leq≤65dB（A）排放限值，但由于企业周边无民宅等声敏感建筑物，未造成扰民问题。</w:t>
      </w:r>
    </w:p>
    <w:p>
      <w:pPr>
        <w:pStyle w:val="2"/>
        <w:numPr>
          <w:ilvl w:val="0"/>
          <w:numId w:val="6"/>
        </w:numPr>
        <w:ind w:firstLine="0"/>
        <w:rPr>
          <w:color w:val="auto"/>
        </w:rPr>
      </w:pPr>
      <w:r>
        <w:rPr>
          <w:rFonts w:hint="eastAsia"/>
          <w:color w:val="auto"/>
        </w:rPr>
        <w:t>原有工程固体废物调查与评价</w:t>
      </w:r>
    </w:p>
    <w:p>
      <w:pPr>
        <w:pStyle w:val="2"/>
        <w:ind w:firstLine="420"/>
        <w:rPr>
          <w:color w:val="auto"/>
        </w:rPr>
      </w:pPr>
      <w:r>
        <w:rPr>
          <w:rFonts w:hint="eastAsia"/>
          <w:color w:val="auto"/>
        </w:rPr>
        <w:t>项目产生的固体废物包括生产过程产生的固体废物和生活垃圾。生产固废包括包装物、老化液、过滤机定期更换的废滤芯等，固体废物产生与处置情况见表5.1-1。</w:t>
      </w:r>
    </w:p>
    <w:p>
      <w:pPr>
        <w:pStyle w:val="40"/>
        <w:spacing w:before="120" w:after="120"/>
        <w:rPr>
          <w:color w:val="auto"/>
        </w:rPr>
      </w:pPr>
      <w:r>
        <w:rPr>
          <w:rFonts w:hint="eastAsia"/>
          <w:color w:val="auto"/>
        </w:rPr>
        <w:t xml:space="preserve">表5.1-1 原有项目固体废物产生情况一览表 </w:t>
      </w:r>
    </w:p>
    <w:tbl>
      <w:tblPr>
        <w:tblStyle w:val="23"/>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393"/>
        <w:gridCol w:w="2001"/>
        <w:gridCol w:w="1636"/>
        <w:gridCol w:w="2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7" w:type="dxa"/>
            <w:tcBorders>
              <w:tl2br w:val="nil"/>
              <w:tr2bl w:val="nil"/>
            </w:tcBorders>
            <w:vAlign w:val="center"/>
          </w:tcPr>
          <w:p>
            <w:pPr>
              <w:pStyle w:val="41"/>
              <w:rPr>
                <w:color w:val="auto"/>
              </w:rPr>
            </w:pPr>
            <w:r>
              <w:rPr>
                <w:rFonts w:hint="eastAsia"/>
                <w:color w:val="auto"/>
              </w:rPr>
              <w:t>名称</w:t>
            </w:r>
          </w:p>
        </w:tc>
        <w:tc>
          <w:tcPr>
            <w:tcW w:w="1393" w:type="dxa"/>
            <w:tcBorders>
              <w:tl2br w:val="nil"/>
              <w:tr2bl w:val="nil"/>
            </w:tcBorders>
            <w:vAlign w:val="center"/>
          </w:tcPr>
          <w:p>
            <w:pPr>
              <w:pStyle w:val="41"/>
              <w:rPr>
                <w:color w:val="auto"/>
              </w:rPr>
            </w:pPr>
            <w:r>
              <w:rPr>
                <w:rFonts w:hint="eastAsia"/>
                <w:color w:val="auto"/>
              </w:rPr>
              <w:t>分类</w:t>
            </w:r>
          </w:p>
        </w:tc>
        <w:tc>
          <w:tcPr>
            <w:tcW w:w="2001" w:type="dxa"/>
            <w:tcBorders>
              <w:tl2br w:val="nil"/>
              <w:tr2bl w:val="nil"/>
            </w:tcBorders>
            <w:vAlign w:val="center"/>
          </w:tcPr>
          <w:p>
            <w:pPr>
              <w:pStyle w:val="41"/>
              <w:rPr>
                <w:color w:val="auto"/>
              </w:rPr>
            </w:pPr>
            <w:r>
              <w:rPr>
                <w:rFonts w:hint="eastAsia"/>
                <w:color w:val="auto"/>
              </w:rPr>
              <w:t>类别编号</w:t>
            </w:r>
          </w:p>
        </w:tc>
        <w:tc>
          <w:tcPr>
            <w:tcW w:w="1636" w:type="dxa"/>
            <w:tcBorders>
              <w:tl2br w:val="nil"/>
              <w:tr2bl w:val="nil"/>
            </w:tcBorders>
            <w:vAlign w:val="center"/>
          </w:tcPr>
          <w:p>
            <w:pPr>
              <w:pStyle w:val="41"/>
              <w:rPr>
                <w:color w:val="auto"/>
              </w:rPr>
            </w:pPr>
            <w:r>
              <w:rPr>
                <w:rFonts w:hint="eastAsia"/>
                <w:color w:val="auto"/>
              </w:rPr>
              <w:t>产生量（t/a）</w:t>
            </w:r>
          </w:p>
        </w:tc>
        <w:tc>
          <w:tcPr>
            <w:tcW w:w="2399" w:type="dxa"/>
            <w:tcBorders>
              <w:tl2br w:val="nil"/>
              <w:tr2bl w:val="nil"/>
            </w:tcBorders>
            <w:vAlign w:val="center"/>
          </w:tcPr>
          <w:p>
            <w:pPr>
              <w:pStyle w:val="41"/>
              <w:rPr>
                <w:color w:val="auto"/>
              </w:rPr>
            </w:pPr>
            <w:r>
              <w:rPr>
                <w:rFonts w:hint="eastAsia"/>
                <w:color w:val="auto"/>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857" w:type="dxa"/>
            <w:tcBorders>
              <w:tl2br w:val="nil"/>
              <w:tr2bl w:val="nil"/>
            </w:tcBorders>
            <w:vAlign w:val="center"/>
          </w:tcPr>
          <w:p>
            <w:pPr>
              <w:pStyle w:val="41"/>
              <w:rPr>
                <w:color w:val="auto"/>
              </w:rPr>
            </w:pPr>
            <w:r>
              <w:rPr>
                <w:rFonts w:hint="eastAsia"/>
                <w:color w:val="auto"/>
              </w:rPr>
              <w:t>废化学品包装袋</w:t>
            </w:r>
          </w:p>
        </w:tc>
        <w:tc>
          <w:tcPr>
            <w:tcW w:w="1393" w:type="dxa"/>
            <w:tcBorders>
              <w:tl2br w:val="nil"/>
              <w:tr2bl w:val="nil"/>
            </w:tcBorders>
            <w:vAlign w:val="center"/>
          </w:tcPr>
          <w:p>
            <w:pPr>
              <w:pStyle w:val="41"/>
              <w:rPr>
                <w:color w:val="auto"/>
              </w:rPr>
            </w:pPr>
            <w:r>
              <w:rPr>
                <w:rFonts w:hint="eastAsia"/>
                <w:color w:val="auto"/>
              </w:rPr>
              <w:t>危险废物</w:t>
            </w:r>
          </w:p>
        </w:tc>
        <w:tc>
          <w:tcPr>
            <w:tcW w:w="2001" w:type="dxa"/>
            <w:tcBorders>
              <w:tl2br w:val="nil"/>
              <w:tr2bl w:val="nil"/>
            </w:tcBorders>
            <w:vAlign w:val="center"/>
          </w:tcPr>
          <w:p>
            <w:pPr>
              <w:pStyle w:val="41"/>
              <w:rPr>
                <w:color w:val="auto"/>
              </w:rPr>
            </w:pPr>
            <w:r>
              <w:rPr>
                <w:rFonts w:hint="eastAsia"/>
                <w:color w:val="auto"/>
              </w:rPr>
              <w:t>HW49</w:t>
            </w:r>
            <w:r>
              <w:rPr>
                <w:rFonts w:hint="eastAsia"/>
                <w:color w:val="auto"/>
                <w:lang w:eastAsia="zh-CN"/>
              </w:rPr>
              <w:t>（</w:t>
            </w:r>
            <w:r>
              <w:rPr>
                <w:rFonts w:hint="eastAsia"/>
                <w:color w:val="auto"/>
              </w:rPr>
              <w:t>900-041-49</w:t>
            </w:r>
            <w:r>
              <w:rPr>
                <w:rFonts w:hint="eastAsia"/>
                <w:color w:val="auto"/>
                <w:lang w:eastAsia="zh-CN"/>
              </w:rPr>
              <w:t>）</w:t>
            </w:r>
          </w:p>
        </w:tc>
        <w:tc>
          <w:tcPr>
            <w:tcW w:w="1636" w:type="dxa"/>
            <w:tcBorders>
              <w:tl2br w:val="nil"/>
              <w:tr2bl w:val="nil"/>
            </w:tcBorders>
            <w:vAlign w:val="center"/>
          </w:tcPr>
          <w:p>
            <w:pPr>
              <w:pStyle w:val="41"/>
              <w:rPr>
                <w:color w:val="auto"/>
              </w:rPr>
            </w:pPr>
            <w:r>
              <w:rPr>
                <w:rFonts w:hint="eastAsia"/>
                <w:color w:val="auto"/>
              </w:rPr>
              <w:t>0.18</w:t>
            </w:r>
          </w:p>
        </w:tc>
        <w:tc>
          <w:tcPr>
            <w:tcW w:w="2399" w:type="dxa"/>
            <w:tcBorders>
              <w:tl2br w:val="nil"/>
              <w:tr2bl w:val="nil"/>
            </w:tcBorders>
            <w:vAlign w:val="center"/>
          </w:tcPr>
          <w:p>
            <w:pPr>
              <w:pStyle w:val="41"/>
              <w:rPr>
                <w:color w:val="auto"/>
              </w:rPr>
            </w:pPr>
            <w:r>
              <w:rPr>
                <w:rFonts w:hint="eastAsia"/>
                <w:color w:val="auto"/>
              </w:rPr>
              <w:t>供应商回收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1857" w:type="dxa"/>
            <w:tcBorders>
              <w:tl2br w:val="nil"/>
              <w:tr2bl w:val="nil"/>
            </w:tcBorders>
            <w:vAlign w:val="center"/>
          </w:tcPr>
          <w:p>
            <w:pPr>
              <w:pStyle w:val="41"/>
              <w:rPr>
                <w:color w:val="auto"/>
              </w:rPr>
            </w:pPr>
            <w:r>
              <w:rPr>
                <w:rFonts w:hint="eastAsia"/>
                <w:color w:val="auto"/>
              </w:rPr>
              <w:t>废滤芯</w:t>
            </w:r>
          </w:p>
        </w:tc>
        <w:tc>
          <w:tcPr>
            <w:tcW w:w="1393" w:type="dxa"/>
            <w:tcBorders>
              <w:tl2br w:val="nil"/>
              <w:tr2bl w:val="nil"/>
            </w:tcBorders>
            <w:vAlign w:val="center"/>
          </w:tcPr>
          <w:p>
            <w:pPr>
              <w:pStyle w:val="41"/>
              <w:rPr>
                <w:color w:val="auto"/>
              </w:rPr>
            </w:pPr>
            <w:r>
              <w:rPr>
                <w:rFonts w:hint="eastAsia"/>
                <w:color w:val="auto"/>
              </w:rPr>
              <w:t>危险废物</w:t>
            </w:r>
          </w:p>
        </w:tc>
        <w:tc>
          <w:tcPr>
            <w:tcW w:w="2001" w:type="dxa"/>
            <w:tcBorders>
              <w:tl2br w:val="nil"/>
              <w:tr2bl w:val="nil"/>
            </w:tcBorders>
            <w:vAlign w:val="center"/>
          </w:tcPr>
          <w:p>
            <w:pPr>
              <w:pStyle w:val="41"/>
              <w:rPr>
                <w:color w:val="auto"/>
              </w:rPr>
            </w:pPr>
            <w:r>
              <w:rPr>
                <w:rFonts w:hint="eastAsia"/>
                <w:color w:val="auto"/>
              </w:rPr>
              <w:t>HW49</w:t>
            </w:r>
          </w:p>
        </w:tc>
        <w:tc>
          <w:tcPr>
            <w:tcW w:w="1636" w:type="dxa"/>
            <w:tcBorders>
              <w:tl2br w:val="nil"/>
              <w:tr2bl w:val="nil"/>
            </w:tcBorders>
            <w:vAlign w:val="center"/>
          </w:tcPr>
          <w:p>
            <w:pPr>
              <w:pStyle w:val="41"/>
              <w:rPr>
                <w:color w:val="auto"/>
              </w:rPr>
            </w:pPr>
            <w:r>
              <w:rPr>
                <w:rFonts w:hint="eastAsia"/>
                <w:color w:val="auto"/>
              </w:rPr>
              <w:t>0.048</w:t>
            </w:r>
          </w:p>
        </w:tc>
        <w:tc>
          <w:tcPr>
            <w:tcW w:w="2399" w:type="dxa"/>
            <w:vMerge w:val="restart"/>
            <w:tcBorders>
              <w:tl2br w:val="nil"/>
              <w:tr2bl w:val="nil"/>
            </w:tcBorders>
            <w:vAlign w:val="center"/>
          </w:tcPr>
          <w:p>
            <w:pPr>
              <w:pStyle w:val="41"/>
              <w:rPr>
                <w:rFonts w:hint="eastAsia" w:eastAsia="宋体"/>
                <w:color w:val="auto"/>
                <w:lang w:eastAsia="zh-CN"/>
              </w:rPr>
            </w:pPr>
            <w:r>
              <w:rPr>
                <w:rFonts w:hint="eastAsia"/>
                <w:color w:val="auto"/>
              </w:rPr>
              <w:t>依托集控中心危废暂存间，由集控中心委托</w:t>
            </w:r>
            <w:r>
              <w:rPr>
                <w:rFonts w:hint="eastAsia"/>
                <w:color w:val="auto"/>
                <w:lang w:eastAsia="zh-CN"/>
              </w:rPr>
              <w:t>南平人立环保科技有限公司、福建亿利环境技术有限公司</w:t>
            </w:r>
            <w:r>
              <w:rPr>
                <w:rFonts w:hint="eastAsia"/>
                <w:color w:val="auto"/>
              </w:rPr>
              <w:t>处置</w:t>
            </w:r>
            <w:r>
              <w:rPr>
                <w:rFonts w:hint="eastAsia"/>
                <w:color w:val="auto"/>
                <w:lang w:eastAsia="zh-CN"/>
              </w:rPr>
              <w:t>（详见附件</w:t>
            </w:r>
            <w:r>
              <w:rPr>
                <w:rFonts w:hint="eastAsia"/>
                <w:color w:val="auto"/>
                <w:lang w:val="en-US" w:eastAsia="zh-CN"/>
              </w:rPr>
              <w:t>6</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857" w:type="dxa"/>
            <w:tcBorders>
              <w:tl2br w:val="nil"/>
              <w:tr2bl w:val="nil"/>
            </w:tcBorders>
            <w:vAlign w:val="center"/>
          </w:tcPr>
          <w:p>
            <w:pPr>
              <w:pStyle w:val="41"/>
              <w:rPr>
                <w:rFonts w:hint="eastAsia" w:eastAsia="宋体"/>
                <w:color w:val="auto"/>
                <w:lang w:eastAsia="zh-CN"/>
              </w:rPr>
            </w:pPr>
            <w:r>
              <w:rPr>
                <w:rFonts w:hint="eastAsia"/>
                <w:color w:val="auto"/>
              </w:rPr>
              <w:t>老化液</w:t>
            </w:r>
            <w:r>
              <w:rPr>
                <w:rFonts w:hint="eastAsia"/>
                <w:color w:val="auto"/>
                <w:lang w:eastAsia="zh-CN"/>
              </w:rPr>
              <w:t>（含槽渣）</w:t>
            </w:r>
          </w:p>
        </w:tc>
        <w:tc>
          <w:tcPr>
            <w:tcW w:w="1393" w:type="dxa"/>
            <w:tcBorders>
              <w:tl2br w:val="nil"/>
              <w:tr2bl w:val="nil"/>
            </w:tcBorders>
            <w:vAlign w:val="center"/>
          </w:tcPr>
          <w:p>
            <w:pPr>
              <w:pStyle w:val="41"/>
              <w:rPr>
                <w:color w:val="auto"/>
              </w:rPr>
            </w:pPr>
            <w:r>
              <w:rPr>
                <w:rFonts w:hint="eastAsia"/>
                <w:color w:val="auto"/>
              </w:rPr>
              <w:t>危险废物</w:t>
            </w:r>
          </w:p>
        </w:tc>
        <w:tc>
          <w:tcPr>
            <w:tcW w:w="2001" w:type="dxa"/>
            <w:tcBorders>
              <w:tl2br w:val="nil"/>
              <w:tr2bl w:val="nil"/>
            </w:tcBorders>
            <w:vAlign w:val="center"/>
          </w:tcPr>
          <w:p>
            <w:pPr>
              <w:pStyle w:val="41"/>
              <w:rPr>
                <w:rFonts w:hint="default" w:eastAsia="宋体"/>
                <w:color w:val="auto"/>
                <w:lang w:val="en-US" w:eastAsia="zh-CN"/>
              </w:rPr>
            </w:pPr>
            <w:r>
              <w:rPr>
                <w:rFonts w:hint="eastAsia"/>
                <w:color w:val="auto"/>
              </w:rPr>
              <w:t>HW</w:t>
            </w:r>
            <w:r>
              <w:rPr>
                <w:rFonts w:hint="eastAsia"/>
                <w:color w:val="auto"/>
                <w:lang w:val="en-US" w:eastAsia="zh-CN"/>
              </w:rPr>
              <w:t>17</w:t>
            </w:r>
          </w:p>
        </w:tc>
        <w:tc>
          <w:tcPr>
            <w:tcW w:w="1636" w:type="dxa"/>
            <w:tcBorders>
              <w:tl2br w:val="nil"/>
              <w:tr2bl w:val="nil"/>
            </w:tcBorders>
            <w:vAlign w:val="center"/>
          </w:tcPr>
          <w:p>
            <w:pPr>
              <w:pStyle w:val="41"/>
              <w:rPr>
                <w:color w:val="auto"/>
              </w:rPr>
            </w:pPr>
            <w:r>
              <w:rPr>
                <w:rFonts w:hint="eastAsia"/>
                <w:color w:val="auto"/>
              </w:rPr>
              <w:t>0.897</w:t>
            </w:r>
          </w:p>
        </w:tc>
        <w:tc>
          <w:tcPr>
            <w:tcW w:w="2399" w:type="dxa"/>
            <w:vMerge w:val="continue"/>
            <w:tcBorders>
              <w:tl2br w:val="nil"/>
              <w:tr2bl w:val="nil"/>
            </w:tcBorders>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7" w:type="dxa"/>
            <w:tcBorders>
              <w:tl2br w:val="nil"/>
              <w:tr2bl w:val="nil"/>
            </w:tcBorders>
            <w:vAlign w:val="center"/>
          </w:tcPr>
          <w:p>
            <w:pPr>
              <w:pStyle w:val="41"/>
              <w:rPr>
                <w:color w:val="auto"/>
              </w:rPr>
            </w:pPr>
            <w:r>
              <w:rPr>
                <w:rFonts w:hint="eastAsia"/>
                <w:color w:val="auto"/>
              </w:rPr>
              <w:t>生活垃圾</w:t>
            </w:r>
          </w:p>
        </w:tc>
        <w:tc>
          <w:tcPr>
            <w:tcW w:w="1393" w:type="dxa"/>
            <w:tcBorders>
              <w:tl2br w:val="nil"/>
              <w:tr2bl w:val="nil"/>
            </w:tcBorders>
            <w:vAlign w:val="center"/>
          </w:tcPr>
          <w:p>
            <w:pPr>
              <w:pStyle w:val="41"/>
              <w:rPr>
                <w:color w:val="auto"/>
              </w:rPr>
            </w:pPr>
            <w:r>
              <w:rPr>
                <w:rFonts w:hint="eastAsia"/>
                <w:color w:val="auto"/>
              </w:rPr>
              <w:t>其他废物</w:t>
            </w:r>
          </w:p>
        </w:tc>
        <w:tc>
          <w:tcPr>
            <w:tcW w:w="2001" w:type="dxa"/>
            <w:tcBorders>
              <w:tl2br w:val="nil"/>
              <w:tr2bl w:val="nil"/>
            </w:tcBorders>
            <w:vAlign w:val="center"/>
          </w:tcPr>
          <w:p>
            <w:pPr>
              <w:pStyle w:val="41"/>
              <w:rPr>
                <w:color w:val="auto"/>
              </w:rPr>
            </w:pPr>
            <w:r>
              <w:rPr>
                <w:rFonts w:hint="eastAsia"/>
                <w:color w:val="auto"/>
              </w:rPr>
              <w:t>/</w:t>
            </w:r>
          </w:p>
        </w:tc>
        <w:tc>
          <w:tcPr>
            <w:tcW w:w="1636" w:type="dxa"/>
            <w:tcBorders>
              <w:tl2br w:val="nil"/>
              <w:tr2bl w:val="nil"/>
            </w:tcBorders>
            <w:vAlign w:val="center"/>
          </w:tcPr>
          <w:p>
            <w:pPr>
              <w:pStyle w:val="41"/>
              <w:rPr>
                <w:color w:val="auto"/>
              </w:rPr>
            </w:pPr>
            <w:r>
              <w:rPr>
                <w:rFonts w:hint="eastAsia"/>
                <w:color w:val="auto"/>
              </w:rPr>
              <w:t>6</w:t>
            </w:r>
          </w:p>
        </w:tc>
        <w:tc>
          <w:tcPr>
            <w:tcW w:w="2399" w:type="dxa"/>
            <w:tcBorders>
              <w:tl2br w:val="nil"/>
              <w:tr2bl w:val="nil"/>
            </w:tcBorders>
            <w:vAlign w:val="center"/>
          </w:tcPr>
          <w:p>
            <w:pPr>
              <w:pStyle w:val="41"/>
              <w:rPr>
                <w:color w:val="auto"/>
              </w:rPr>
            </w:pPr>
            <w:r>
              <w:rPr>
                <w:rFonts w:hint="eastAsia"/>
                <w:color w:val="auto"/>
              </w:rPr>
              <w:t>环卫部门统一清运处置</w:t>
            </w:r>
          </w:p>
        </w:tc>
      </w:tr>
    </w:tbl>
    <w:p>
      <w:pPr>
        <w:snapToGrid w:val="0"/>
        <w:spacing w:before="120" w:beforeLines="50" w:line="360" w:lineRule="auto"/>
        <w:outlineLvl w:val="2"/>
        <w:rPr>
          <w:b/>
          <w:color w:val="auto"/>
          <w:sz w:val="24"/>
        </w:rPr>
      </w:pPr>
      <w:r>
        <w:rPr>
          <w:b/>
          <w:color w:val="auto"/>
          <w:sz w:val="24"/>
        </w:rPr>
        <w:t>5.1.</w:t>
      </w:r>
      <w:r>
        <w:rPr>
          <w:rFonts w:hint="eastAsia"/>
          <w:b/>
          <w:color w:val="auto"/>
          <w:sz w:val="24"/>
        </w:rPr>
        <w:t>6原有工程环保措施</w:t>
      </w:r>
    </w:p>
    <w:p>
      <w:pPr>
        <w:pStyle w:val="2"/>
        <w:numPr>
          <w:ilvl w:val="0"/>
          <w:numId w:val="7"/>
        </w:numPr>
        <w:ind w:firstLine="420"/>
        <w:rPr>
          <w:color w:val="auto"/>
        </w:rPr>
      </w:pPr>
      <w:r>
        <w:rPr>
          <w:rFonts w:hint="eastAsia"/>
          <w:color w:val="auto"/>
        </w:rPr>
        <w:t>废气处理措施：</w:t>
      </w:r>
    </w:p>
    <w:p>
      <w:pPr>
        <w:pStyle w:val="2"/>
        <w:ind w:firstLine="420" w:firstLineChars="175"/>
        <w:rPr>
          <w:color w:val="auto"/>
        </w:rPr>
      </w:pPr>
      <w:r>
        <w:rPr>
          <w:rFonts w:hint="eastAsia"/>
          <w:color w:val="auto"/>
        </w:rPr>
        <w:t>有组织废气：部分生产线采取空调帘进行密闭，含氰废气经收集后通过1台氰净化塔处理后通过16m高排气筒排放；氯化氢、氟化物</w:t>
      </w:r>
      <w:r>
        <w:rPr>
          <w:rFonts w:hint="eastAsia"/>
          <w:color w:val="auto"/>
          <w:lang w:eastAsia="zh-CN"/>
        </w:rPr>
        <w:t>、硫酸雾、铬酸雾</w:t>
      </w:r>
      <w:r>
        <w:rPr>
          <w:rFonts w:hint="eastAsia"/>
          <w:color w:val="auto"/>
        </w:rPr>
        <w:t>废气经收集后通过碱液喷淋塔处理后通过19m高排气筒排放。</w:t>
      </w:r>
    </w:p>
    <w:p>
      <w:pPr>
        <w:pStyle w:val="2"/>
        <w:ind w:firstLine="420" w:firstLineChars="175"/>
        <w:rPr>
          <w:color w:val="auto"/>
        </w:rPr>
      </w:pPr>
      <w:r>
        <w:rPr>
          <w:rFonts w:hint="eastAsia"/>
          <w:color w:val="auto"/>
        </w:rPr>
        <w:t>无组织废气：车间通风。</w:t>
      </w:r>
    </w:p>
    <w:p>
      <w:pPr>
        <w:pStyle w:val="2"/>
        <w:numPr>
          <w:ilvl w:val="0"/>
          <w:numId w:val="7"/>
        </w:numPr>
        <w:ind w:firstLine="420"/>
        <w:rPr>
          <w:color w:val="auto"/>
        </w:rPr>
      </w:pPr>
      <w:r>
        <w:rPr>
          <w:rFonts w:hint="eastAsia"/>
          <w:color w:val="auto"/>
        </w:rPr>
        <w:t>废水处理措施：</w:t>
      </w:r>
    </w:p>
    <w:p>
      <w:pPr>
        <w:pStyle w:val="2"/>
        <w:ind w:left="420" w:firstLine="0"/>
        <w:rPr>
          <w:color w:val="auto"/>
        </w:rPr>
      </w:pPr>
      <w:r>
        <w:rPr>
          <w:rFonts w:hint="eastAsia"/>
          <w:color w:val="auto"/>
        </w:rPr>
        <w:t>生活污水：生活污水经化粪池处理后接入项目区污水管网。</w:t>
      </w:r>
    </w:p>
    <w:p>
      <w:pPr>
        <w:pStyle w:val="2"/>
        <w:ind w:firstLine="420" w:firstLineChars="175"/>
        <w:rPr>
          <w:color w:val="auto"/>
        </w:rPr>
      </w:pPr>
      <w:r>
        <w:rPr>
          <w:rFonts w:hint="eastAsia"/>
          <w:color w:val="auto"/>
        </w:rPr>
        <w:t>生产废水：含铬废水、含镍废水、含氰废水、含油废水、综合废水分类收集，分别接入集控中心对应的废水收集管道，车间排放口安装各股废水流量监控设备。</w:t>
      </w:r>
    </w:p>
    <w:p>
      <w:pPr>
        <w:pStyle w:val="2"/>
        <w:numPr>
          <w:ilvl w:val="0"/>
          <w:numId w:val="7"/>
        </w:numPr>
        <w:ind w:firstLine="420"/>
        <w:rPr>
          <w:color w:val="auto"/>
        </w:rPr>
      </w:pPr>
      <w:r>
        <w:rPr>
          <w:rFonts w:hint="eastAsia"/>
          <w:color w:val="auto"/>
        </w:rPr>
        <w:t>噪声处理措施</w:t>
      </w:r>
    </w:p>
    <w:p>
      <w:pPr>
        <w:pStyle w:val="2"/>
        <w:ind w:left="420" w:firstLine="0"/>
        <w:rPr>
          <w:color w:val="auto"/>
        </w:rPr>
      </w:pPr>
      <w:r>
        <w:rPr>
          <w:rFonts w:hint="eastAsia"/>
          <w:color w:val="auto"/>
        </w:rPr>
        <w:t>设置隔声罩等措施，减少设备噪声的产生。</w:t>
      </w:r>
    </w:p>
    <w:p>
      <w:pPr>
        <w:pStyle w:val="2"/>
        <w:numPr>
          <w:ilvl w:val="0"/>
          <w:numId w:val="7"/>
        </w:numPr>
        <w:ind w:firstLine="420"/>
        <w:rPr>
          <w:color w:val="auto"/>
        </w:rPr>
      </w:pPr>
      <w:r>
        <w:rPr>
          <w:rFonts w:hint="eastAsia"/>
          <w:color w:val="auto"/>
        </w:rPr>
        <w:t>固体废物处理处置措施</w:t>
      </w:r>
    </w:p>
    <w:p>
      <w:pPr>
        <w:pStyle w:val="2"/>
        <w:ind w:firstLine="420" w:firstLineChars="175"/>
        <w:rPr>
          <w:color w:val="auto"/>
        </w:rPr>
      </w:pPr>
      <w:r>
        <w:rPr>
          <w:rFonts w:hint="eastAsia"/>
          <w:color w:val="auto"/>
        </w:rPr>
        <w:t>生产固废：废化学品包装袋收集暂存后由供应商回收利用，废滤芯、废老化液</w:t>
      </w:r>
      <w:r>
        <w:rPr>
          <w:rFonts w:hint="eastAsia"/>
          <w:color w:val="auto"/>
          <w:lang w:eastAsia="zh-CN"/>
        </w:rPr>
        <w:t>（含槽渣）</w:t>
      </w:r>
      <w:r>
        <w:rPr>
          <w:rFonts w:hint="eastAsia"/>
          <w:color w:val="auto"/>
        </w:rPr>
        <w:t>等危险废物企业集中收集后暂存于集控中心危险废物暂存间，由集控中心委托有资质的单位进行处置。不合格镀件（残次品）由上级产商回收。</w:t>
      </w:r>
    </w:p>
    <w:p>
      <w:pPr>
        <w:pStyle w:val="2"/>
        <w:ind w:firstLine="420" w:firstLineChars="175"/>
        <w:rPr>
          <w:color w:val="auto"/>
        </w:rPr>
      </w:pPr>
      <w:r>
        <w:rPr>
          <w:rFonts w:hint="eastAsia"/>
          <w:color w:val="auto"/>
        </w:rPr>
        <w:t>生活垃圾：由项目区环卫部门统一清运。</w:t>
      </w:r>
    </w:p>
    <w:p>
      <w:pPr>
        <w:snapToGrid w:val="0"/>
        <w:spacing w:line="360" w:lineRule="auto"/>
        <w:outlineLvl w:val="2"/>
        <w:rPr>
          <w:b/>
          <w:color w:val="auto"/>
          <w:sz w:val="24"/>
        </w:rPr>
      </w:pPr>
      <w:r>
        <w:rPr>
          <w:b/>
          <w:color w:val="auto"/>
          <w:sz w:val="24"/>
        </w:rPr>
        <w:t>5.1.</w:t>
      </w:r>
      <w:r>
        <w:rPr>
          <w:rFonts w:hint="eastAsia"/>
          <w:b/>
          <w:color w:val="auto"/>
          <w:sz w:val="24"/>
        </w:rPr>
        <w:t>7原有工程遗留问题</w:t>
      </w:r>
    </w:p>
    <w:p>
      <w:pPr>
        <w:pStyle w:val="50"/>
        <w:snapToGrid w:val="0"/>
        <w:rPr>
          <w:color w:val="auto"/>
        </w:rPr>
      </w:pPr>
      <w:r>
        <w:rPr>
          <w:rFonts w:hint="eastAsia"/>
          <w:color w:val="auto"/>
          <w:lang w:eastAsia="zh-CN"/>
        </w:rPr>
        <w:t>原有工程</w:t>
      </w:r>
      <w:r>
        <w:rPr>
          <w:color w:val="auto"/>
        </w:rPr>
        <w:t>一些先进机器设备及原辅材料</w:t>
      </w:r>
      <w:r>
        <w:rPr>
          <w:rFonts w:hint="eastAsia"/>
          <w:color w:val="auto"/>
        </w:rPr>
        <w:t>均搬至新</w:t>
      </w:r>
      <w:r>
        <w:rPr>
          <w:rFonts w:hint="eastAsia"/>
          <w:color w:val="auto"/>
          <w:lang w:eastAsia="zh-CN"/>
        </w:rPr>
        <w:t>车间</w:t>
      </w:r>
      <w:r>
        <w:rPr>
          <w:rFonts w:hint="eastAsia"/>
          <w:color w:val="auto"/>
        </w:rPr>
        <w:t>，</w:t>
      </w:r>
      <w:r>
        <w:rPr>
          <w:rFonts w:hint="eastAsia"/>
          <w:color w:val="auto"/>
        </w:rPr>
        <w:t>部分</w:t>
      </w:r>
      <w:r>
        <w:rPr>
          <w:color w:val="auto"/>
        </w:rPr>
        <w:t>落后设备淘汰</w:t>
      </w:r>
      <w:r>
        <w:rPr>
          <w:rFonts w:hint="eastAsia"/>
          <w:color w:val="auto"/>
        </w:rPr>
        <w:t>，固废等均到合理的处理，不会遗留环境问题。</w:t>
      </w:r>
    </w:p>
    <w:p>
      <w:pPr>
        <w:pStyle w:val="31"/>
        <w:adjustRightInd w:val="0"/>
        <w:snapToGrid w:val="0"/>
        <w:spacing w:line="360" w:lineRule="auto"/>
        <w:rPr>
          <w:rFonts w:ascii="Times New Roman" w:hAnsi="Times New Roman"/>
          <w:color w:val="auto"/>
        </w:rPr>
      </w:pPr>
      <w:r>
        <w:rPr>
          <w:rFonts w:ascii="Times New Roman" w:hAnsi="Times New Roman"/>
          <w:color w:val="auto"/>
        </w:rPr>
        <w:t>5.</w:t>
      </w:r>
      <w:r>
        <w:rPr>
          <w:rFonts w:hint="eastAsia" w:ascii="Times New Roman" w:hAnsi="Times New Roman"/>
          <w:color w:val="auto"/>
        </w:rPr>
        <w:t>2拟建工程概况</w:t>
      </w:r>
    </w:p>
    <w:p>
      <w:pPr>
        <w:snapToGrid w:val="0"/>
        <w:spacing w:line="360" w:lineRule="auto"/>
        <w:outlineLvl w:val="2"/>
        <w:rPr>
          <w:b/>
          <w:color w:val="auto"/>
          <w:sz w:val="24"/>
        </w:rPr>
      </w:pPr>
      <w:r>
        <w:rPr>
          <w:b/>
          <w:color w:val="auto"/>
          <w:sz w:val="24"/>
        </w:rPr>
        <w:t>5.</w:t>
      </w:r>
      <w:r>
        <w:rPr>
          <w:rFonts w:hint="eastAsia"/>
          <w:b/>
          <w:color w:val="auto"/>
          <w:sz w:val="24"/>
        </w:rPr>
        <w:t>2</w:t>
      </w:r>
      <w:r>
        <w:rPr>
          <w:b/>
          <w:color w:val="auto"/>
          <w:sz w:val="24"/>
        </w:rPr>
        <w:t>.1</w:t>
      </w:r>
      <w:r>
        <w:rPr>
          <w:rFonts w:hint="eastAsia"/>
          <w:b/>
          <w:color w:val="auto"/>
          <w:sz w:val="24"/>
        </w:rPr>
        <w:t>工程概况</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项目名称：各类金属元件表面处理项目</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建设单位：福鼎市质达金属表面处理有限公司</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建设地点：福鼎市文渡工业区</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总 投 资：380万元</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建设内容：项目租赁福鼎市众鑫金属表面处理集控中心</w:t>
      </w:r>
      <w:r>
        <w:rPr>
          <w:rFonts w:hint="eastAsia"/>
          <w:color w:val="auto"/>
          <w:sz w:val="24"/>
        </w:rPr>
        <w:t>2#厂房一层1号车间，面积932平方米，原有生产线设备（龙门挂锌合金钝化（铝合金氧化）共用生产线，半自动镀铜、镍生产线，手动锌合金钝化线）均</w:t>
      </w:r>
      <w:r>
        <w:rPr>
          <w:rFonts w:hint="eastAsia"/>
          <w:color w:val="auto"/>
          <w:sz w:val="24"/>
        </w:rPr>
        <w:t>搬至新</w:t>
      </w:r>
      <w:r>
        <w:rPr>
          <w:rFonts w:hint="eastAsia"/>
          <w:color w:val="auto"/>
          <w:sz w:val="24"/>
          <w:lang w:eastAsia="zh-CN"/>
        </w:rPr>
        <w:t>车间</w:t>
      </w:r>
      <w:r>
        <w:rPr>
          <w:rFonts w:hint="eastAsia"/>
          <w:color w:val="auto"/>
          <w:sz w:val="24"/>
        </w:rPr>
        <w:t>，同时新建1条龙门挂铝合金氧化生产线，原有龙门挂锌合金钝化（铝合金氧化）共用线仅用于锌合金钝化。年加工化油器400吨。</w:t>
      </w:r>
    </w:p>
    <w:p>
      <w:pPr>
        <w:autoSpaceDE w:val="0"/>
        <w:autoSpaceDN w:val="0"/>
        <w:adjustRightInd w:val="0"/>
        <w:snapToGrid w:val="0"/>
        <w:spacing w:line="360" w:lineRule="auto"/>
        <w:ind w:firstLine="480" w:firstLineChars="200"/>
        <w:rPr>
          <w:color w:val="auto"/>
          <w:sz w:val="24"/>
        </w:rPr>
      </w:pPr>
      <w:r>
        <w:rPr>
          <w:rFonts w:hint="eastAsia" w:hAnsi="宋体"/>
          <w:color w:val="auto"/>
          <w:kern w:val="0"/>
          <w:sz w:val="24"/>
        </w:rPr>
        <w:t>生产定员：</w:t>
      </w:r>
      <w:r>
        <w:rPr>
          <w:rFonts w:hint="eastAsia"/>
          <w:color w:val="auto"/>
          <w:kern w:val="0"/>
          <w:sz w:val="24"/>
        </w:rPr>
        <w:t>员工2</w:t>
      </w:r>
      <w:r>
        <w:rPr>
          <w:color w:val="auto"/>
          <w:kern w:val="0"/>
          <w:sz w:val="24"/>
        </w:rPr>
        <w:t>0</w:t>
      </w:r>
      <w:r>
        <w:rPr>
          <w:rFonts w:hint="eastAsia"/>
          <w:color w:val="auto"/>
          <w:kern w:val="0"/>
          <w:sz w:val="24"/>
        </w:rPr>
        <w:t>人（均不住厂），工作制度为</w:t>
      </w:r>
      <w:r>
        <w:rPr>
          <w:rFonts w:hint="eastAsia"/>
          <w:color w:val="auto"/>
          <w:kern w:val="0"/>
          <w:sz w:val="24"/>
          <w:lang w:val="en-US" w:eastAsia="zh-CN"/>
        </w:rPr>
        <w:t>10</w:t>
      </w:r>
      <w:r>
        <w:rPr>
          <w:rFonts w:hint="eastAsia"/>
          <w:color w:val="auto"/>
          <w:kern w:val="0"/>
          <w:sz w:val="24"/>
        </w:rPr>
        <w:t>h</w:t>
      </w:r>
      <w:r>
        <w:rPr>
          <w:rFonts w:hint="eastAsia"/>
          <w:color w:val="auto"/>
          <w:sz w:val="24"/>
        </w:rPr>
        <w:t>单班制，年工作日</w:t>
      </w:r>
      <w:r>
        <w:rPr>
          <w:rFonts w:hint="eastAsia"/>
          <w:color w:val="auto"/>
          <w:sz w:val="24"/>
          <w:lang w:val="en-US" w:eastAsia="zh-CN"/>
        </w:rPr>
        <w:t>26</w:t>
      </w:r>
      <w:r>
        <w:rPr>
          <w:color w:val="auto"/>
          <w:sz w:val="24"/>
        </w:rPr>
        <w:t>0</w:t>
      </w:r>
      <w:r>
        <w:rPr>
          <w:rFonts w:hint="eastAsia"/>
          <w:color w:val="auto"/>
          <w:sz w:val="24"/>
        </w:rPr>
        <w:t>天。</w:t>
      </w:r>
    </w:p>
    <w:p>
      <w:pPr>
        <w:snapToGrid w:val="0"/>
        <w:spacing w:line="360" w:lineRule="auto"/>
        <w:outlineLvl w:val="2"/>
        <w:rPr>
          <w:b/>
          <w:color w:val="auto"/>
          <w:sz w:val="24"/>
        </w:rPr>
      </w:pPr>
      <w:r>
        <w:rPr>
          <w:b/>
          <w:color w:val="auto"/>
          <w:sz w:val="24"/>
        </w:rPr>
        <w:t>5.</w:t>
      </w:r>
      <w:r>
        <w:rPr>
          <w:rFonts w:hint="eastAsia"/>
          <w:b/>
          <w:color w:val="auto"/>
          <w:sz w:val="24"/>
        </w:rPr>
        <w:t>2</w:t>
      </w:r>
      <w:r>
        <w:rPr>
          <w:b/>
          <w:color w:val="auto"/>
          <w:sz w:val="24"/>
        </w:rPr>
        <w:t>.</w:t>
      </w:r>
      <w:r>
        <w:rPr>
          <w:rFonts w:hint="eastAsia"/>
          <w:b/>
          <w:color w:val="auto"/>
          <w:sz w:val="24"/>
        </w:rPr>
        <w:t>2拟建工程主要设备</w:t>
      </w:r>
    </w:p>
    <w:p>
      <w:pPr>
        <w:adjustRightInd w:val="0"/>
        <w:snapToGrid w:val="0"/>
        <w:spacing w:line="360" w:lineRule="auto"/>
        <w:ind w:firstLine="480" w:firstLineChars="200"/>
        <w:rPr>
          <w:rFonts w:hint="eastAsia"/>
          <w:color w:val="auto"/>
          <w:sz w:val="24"/>
        </w:rPr>
      </w:pPr>
      <w:r>
        <w:rPr>
          <w:rFonts w:hint="eastAsia"/>
          <w:color w:val="auto"/>
          <w:sz w:val="24"/>
          <w:lang w:eastAsia="zh-CN"/>
        </w:rPr>
        <w:t>拟建</w:t>
      </w:r>
      <w:r>
        <w:rPr>
          <w:rFonts w:hint="eastAsia"/>
          <w:color w:val="auto"/>
          <w:sz w:val="24"/>
        </w:rPr>
        <w:t>项目生产设备见表</w:t>
      </w:r>
      <w:r>
        <w:rPr>
          <w:color w:val="auto"/>
          <w:sz w:val="24"/>
        </w:rPr>
        <w:t>5.</w:t>
      </w:r>
      <w:r>
        <w:rPr>
          <w:rFonts w:hint="eastAsia"/>
          <w:color w:val="auto"/>
          <w:sz w:val="24"/>
        </w:rPr>
        <w:t>2</w:t>
      </w:r>
      <w:r>
        <w:rPr>
          <w:color w:val="auto"/>
          <w:sz w:val="24"/>
        </w:rPr>
        <w:t>-1</w:t>
      </w:r>
      <w:r>
        <w:rPr>
          <w:rFonts w:hint="eastAsia"/>
          <w:color w:val="auto"/>
          <w:sz w:val="24"/>
          <w:lang w:val="en-US" w:eastAsia="zh-CN"/>
        </w:rPr>
        <w:t>~表5.2-3</w:t>
      </w:r>
      <w:r>
        <w:rPr>
          <w:rFonts w:hint="eastAsia"/>
          <w:color w:val="auto"/>
          <w:sz w:val="24"/>
        </w:rPr>
        <w:t>。</w:t>
      </w:r>
    </w:p>
    <w:p>
      <w:pPr>
        <w:pStyle w:val="2"/>
        <w:rPr>
          <w:rFonts w:hint="eastAsia"/>
          <w:color w:val="auto"/>
          <w:sz w:val="24"/>
        </w:rPr>
      </w:pPr>
    </w:p>
    <w:p>
      <w:pPr>
        <w:pStyle w:val="2"/>
        <w:rPr>
          <w:rFonts w:hint="eastAsia"/>
          <w:color w:val="auto"/>
          <w:sz w:val="24"/>
        </w:rPr>
      </w:pPr>
    </w:p>
    <w:p>
      <w:pPr>
        <w:pStyle w:val="2"/>
        <w:rPr>
          <w:rFonts w:hint="eastAsia"/>
          <w:color w:val="auto"/>
          <w:sz w:val="24"/>
        </w:rPr>
      </w:pPr>
    </w:p>
    <w:p>
      <w:pPr>
        <w:spacing w:line="360" w:lineRule="auto"/>
        <w:jc w:val="center"/>
        <w:rPr>
          <w:rFonts w:hAnsi="宋体"/>
          <w:b/>
          <w:color w:val="auto"/>
          <w:sz w:val="24"/>
        </w:rPr>
      </w:pPr>
      <w:r>
        <w:rPr>
          <w:rFonts w:hAnsi="宋体"/>
          <w:b/>
          <w:color w:val="auto"/>
          <w:sz w:val="24"/>
        </w:rPr>
        <w:t>表</w:t>
      </w:r>
      <w:r>
        <w:rPr>
          <w:b/>
          <w:color w:val="auto"/>
          <w:sz w:val="24"/>
        </w:rPr>
        <w:t>5.</w:t>
      </w:r>
      <w:r>
        <w:rPr>
          <w:rFonts w:hint="eastAsia"/>
          <w:b/>
          <w:color w:val="auto"/>
          <w:sz w:val="24"/>
        </w:rPr>
        <w:t>2-1</w:t>
      </w:r>
      <w:r>
        <w:rPr>
          <w:b/>
          <w:color w:val="auto"/>
          <w:sz w:val="24"/>
        </w:rPr>
        <w:t xml:space="preserve"> </w:t>
      </w:r>
      <w:r>
        <w:rPr>
          <w:rFonts w:hint="eastAsia"/>
          <w:b/>
          <w:color w:val="auto"/>
          <w:sz w:val="24"/>
        </w:rPr>
        <w:t>低轨龙门挂镀线生产线(锌合金钝化)</w:t>
      </w:r>
      <w:r>
        <w:rPr>
          <w:rFonts w:hAnsi="宋体"/>
          <w:b/>
          <w:color w:val="auto"/>
          <w:sz w:val="24"/>
        </w:rPr>
        <w:t>主要生产设备一览表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598"/>
        <w:gridCol w:w="3326"/>
        <w:gridCol w:w="1289"/>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86" w:type="dxa"/>
            <w:noWrap/>
            <w:vAlign w:val="center"/>
          </w:tcPr>
          <w:p>
            <w:pPr>
              <w:widowControl/>
              <w:jc w:val="center"/>
              <w:rPr>
                <w:color w:val="auto"/>
                <w:kern w:val="0"/>
                <w:szCs w:val="21"/>
              </w:rPr>
            </w:pPr>
            <w:r>
              <w:rPr>
                <w:rFonts w:hAnsi="宋体"/>
                <w:color w:val="auto"/>
                <w:kern w:val="0"/>
                <w:szCs w:val="21"/>
              </w:rPr>
              <w:t>序号</w:t>
            </w:r>
          </w:p>
        </w:tc>
        <w:tc>
          <w:tcPr>
            <w:tcW w:w="2598" w:type="dxa"/>
            <w:noWrap/>
            <w:vAlign w:val="center"/>
          </w:tcPr>
          <w:p>
            <w:pPr>
              <w:widowControl/>
              <w:jc w:val="center"/>
              <w:rPr>
                <w:color w:val="auto"/>
                <w:kern w:val="0"/>
                <w:szCs w:val="21"/>
              </w:rPr>
            </w:pPr>
            <w:r>
              <w:rPr>
                <w:rFonts w:hAnsi="宋体"/>
                <w:color w:val="auto"/>
                <w:kern w:val="0"/>
                <w:szCs w:val="21"/>
              </w:rPr>
              <w:t>设备名称</w:t>
            </w:r>
          </w:p>
        </w:tc>
        <w:tc>
          <w:tcPr>
            <w:tcW w:w="3326" w:type="dxa"/>
            <w:noWrap/>
            <w:vAlign w:val="center"/>
          </w:tcPr>
          <w:p>
            <w:pPr>
              <w:widowControl/>
              <w:jc w:val="center"/>
              <w:rPr>
                <w:color w:val="auto"/>
                <w:kern w:val="0"/>
                <w:szCs w:val="21"/>
              </w:rPr>
            </w:pPr>
            <w:r>
              <w:rPr>
                <w:rFonts w:hAnsi="宋体"/>
                <w:color w:val="auto"/>
                <w:kern w:val="0"/>
                <w:szCs w:val="21"/>
              </w:rPr>
              <w:t>型号</w:t>
            </w:r>
            <w:r>
              <w:rPr>
                <w:rFonts w:hint="eastAsia" w:hAnsi="宋体"/>
                <w:color w:val="auto"/>
                <w:kern w:val="0"/>
                <w:szCs w:val="21"/>
              </w:rPr>
              <w:t>/规格</w:t>
            </w:r>
          </w:p>
        </w:tc>
        <w:tc>
          <w:tcPr>
            <w:tcW w:w="1289" w:type="dxa"/>
            <w:noWrap/>
            <w:vAlign w:val="center"/>
          </w:tcPr>
          <w:p>
            <w:pPr>
              <w:widowControl/>
              <w:jc w:val="center"/>
              <w:rPr>
                <w:color w:val="auto"/>
                <w:kern w:val="0"/>
                <w:szCs w:val="21"/>
              </w:rPr>
            </w:pPr>
            <w:r>
              <w:rPr>
                <w:rFonts w:hAnsi="宋体"/>
                <w:color w:val="auto"/>
                <w:kern w:val="0"/>
                <w:szCs w:val="21"/>
              </w:rPr>
              <w:t>单位</w:t>
            </w:r>
          </w:p>
        </w:tc>
        <w:tc>
          <w:tcPr>
            <w:tcW w:w="1287" w:type="dxa"/>
            <w:noWrap/>
            <w:vAlign w:val="center"/>
          </w:tcPr>
          <w:p>
            <w:pPr>
              <w:widowControl/>
              <w:jc w:val="center"/>
              <w:rPr>
                <w:color w:val="auto"/>
                <w:kern w:val="0"/>
                <w:szCs w:val="21"/>
              </w:rPr>
            </w:pPr>
            <w:r>
              <w:rPr>
                <w:rFonts w:hAnsi="宋体"/>
                <w:color w:val="auto"/>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Ansi="宋体"/>
                <w:color w:val="auto"/>
                <w:szCs w:val="21"/>
              </w:rPr>
              <w:t>1</w:t>
            </w:r>
          </w:p>
        </w:tc>
        <w:tc>
          <w:tcPr>
            <w:tcW w:w="2598" w:type="dxa"/>
            <w:vAlign w:val="center"/>
          </w:tcPr>
          <w:p>
            <w:pPr>
              <w:ind w:left="1260" w:hanging="1260" w:hangingChars="600"/>
              <w:jc w:val="center"/>
              <w:rPr>
                <w:rFonts w:hAnsi="宋体"/>
                <w:color w:val="auto"/>
                <w:szCs w:val="21"/>
              </w:rPr>
            </w:pPr>
            <w:r>
              <w:rPr>
                <w:rFonts w:hint="eastAsia" w:hAnsi="宋体"/>
                <w:color w:val="auto"/>
                <w:szCs w:val="21"/>
              </w:rPr>
              <w:t>不锈钢热除油槽</w:t>
            </w:r>
          </w:p>
        </w:tc>
        <w:tc>
          <w:tcPr>
            <w:tcW w:w="3326" w:type="dxa"/>
            <w:noWrap/>
            <w:vAlign w:val="center"/>
          </w:tcPr>
          <w:p>
            <w:pPr>
              <w:ind w:left="1260" w:hanging="1260" w:hangingChars="600"/>
              <w:jc w:val="center"/>
              <w:rPr>
                <w:rFonts w:hAnsi="宋体"/>
                <w:color w:val="auto"/>
                <w:szCs w:val="21"/>
              </w:rPr>
            </w:pPr>
            <w:r>
              <w:rPr>
                <w:rFonts w:hint="eastAsia" w:hAnsi="宋体"/>
                <w:color w:val="auto"/>
                <w:szCs w:val="21"/>
              </w:rPr>
              <w:t>L1900mm×W900mm×H1000mm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Ansi="宋体"/>
                <w:color w:val="auto"/>
                <w:szCs w:val="21"/>
              </w:rPr>
              <w:t>2</w:t>
            </w:r>
          </w:p>
        </w:tc>
        <w:tc>
          <w:tcPr>
            <w:tcW w:w="2598" w:type="dxa"/>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326" w:type="dxa"/>
            <w:noWrap/>
            <w:vAlign w:val="center"/>
          </w:tcPr>
          <w:p>
            <w:pPr>
              <w:ind w:left="1260" w:hanging="1260" w:hangingChars="600"/>
              <w:jc w:val="center"/>
              <w:rPr>
                <w:rFonts w:hAnsi="宋体"/>
                <w:color w:val="auto"/>
                <w:szCs w:val="21"/>
              </w:rPr>
            </w:pPr>
            <w:r>
              <w:rPr>
                <w:rFonts w:hint="eastAsia" w:hAnsi="宋体"/>
                <w:color w:val="auto"/>
                <w:szCs w:val="21"/>
              </w:rPr>
              <w:t>L1900mm×W850mm×H1000mm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3</w:t>
            </w:r>
          </w:p>
        </w:tc>
        <w:tc>
          <w:tcPr>
            <w:tcW w:w="2598" w:type="dxa"/>
            <w:vAlign w:val="center"/>
          </w:tcPr>
          <w:p>
            <w:pPr>
              <w:ind w:left="1260" w:hanging="1260" w:hangingChars="600"/>
              <w:jc w:val="center"/>
              <w:rPr>
                <w:rFonts w:hAnsi="宋体"/>
                <w:color w:val="auto"/>
                <w:szCs w:val="21"/>
              </w:rPr>
            </w:pPr>
            <w:r>
              <w:rPr>
                <w:rFonts w:hint="eastAsia" w:hAnsi="宋体"/>
                <w:color w:val="auto"/>
                <w:szCs w:val="21"/>
              </w:rPr>
              <w:t>出光</w:t>
            </w:r>
          </w:p>
        </w:tc>
        <w:tc>
          <w:tcPr>
            <w:tcW w:w="3326" w:type="dxa"/>
            <w:noWrap/>
            <w:vAlign w:val="center"/>
          </w:tcPr>
          <w:p>
            <w:pPr>
              <w:ind w:left="1260" w:hanging="1260" w:hangingChars="600"/>
              <w:jc w:val="center"/>
              <w:rPr>
                <w:rFonts w:hAnsi="宋体"/>
                <w:color w:val="auto"/>
                <w:szCs w:val="21"/>
              </w:rPr>
            </w:pPr>
            <w:r>
              <w:rPr>
                <w:rFonts w:hint="eastAsia" w:hAnsi="宋体"/>
                <w:color w:val="auto"/>
                <w:szCs w:val="21"/>
              </w:rPr>
              <w:t>L1900mm×W850mm×H1000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4</w:t>
            </w:r>
          </w:p>
        </w:tc>
        <w:tc>
          <w:tcPr>
            <w:tcW w:w="2598" w:type="dxa"/>
            <w:vAlign w:val="center"/>
          </w:tcPr>
          <w:p>
            <w:pPr>
              <w:ind w:left="1260" w:hanging="1260" w:hangingChars="600"/>
              <w:jc w:val="center"/>
              <w:rPr>
                <w:rFonts w:hAnsi="宋体"/>
                <w:color w:val="auto"/>
                <w:szCs w:val="21"/>
              </w:rPr>
            </w:pPr>
            <w:r>
              <w:rPr>
                <w:rFonts w:hint="eastAsia" w:hAnsi="宋体"/>
                <w:color w:val="auto"/>
                <w:szCs w:val="21"/>
                <w:lang w:eastAsia="zh-CN"/>
              </w:rPr>
              <w:t>退白</w:t>
            </w:r>
            <w:r>
              <w:rPr>
                <w:rFonts w:hAnsi="宋体"/>
                <w:color w:val="auto"/>
                <w:szCs w:val="21"/>
              </w:rPr>
              <w:t>槽</w:t>
            </w:r>
          </w:p>
        </w:tc>
        <w:tc>
          <w:tcPr>
            <w:tcW w:w="3326" w:type="dxa"/>
            <w:vAlign w:val="center"/>
          </w:tcPr>
          <w:p>
            <w:pPr>
              <w:ind w:left="1260" w:hanging="1260" w:hangingChars="600"/>
              <w:jc w:val="center"/>
              <w:rPr>
                <w:rFonts w:hAnsi="宋体"/>
                <w:color w:val="auto"/>
                <w:szCs w:val="21"/>
              </w:rPr>
            </w:pPr>
            <w:r>
              <w:rPr>
                <w:rFonts w:hint="eastAsia" w:hAnsi="宋体"/>
                <w:color w:val="auto"/>
                <w:szCs w:val="21"/>
              </w:rPr>
              <w:t>L1900mm×W800mm×H1000 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5</w:t>
            </w:r>
          </w:p>
        </w:tc>
        <w:tc>
          <w:tcPr>
            <w:tcW w:w="2598" w:type="dxa"/>
            <w:noWrap/>
            <w:vAlign w:val="center"/>
          </w:tcPr>
          <w:p>
            <w:pPr>
              <w:ind w:left="1260" w:hanging="1260" w:hangingChars="600"/>
              <w:jc w:val="center"/>
              <w:rPr>
                <w:rFonts w:hAnsi="宋体"/>
                <w:color w:val="auto"/>
                <w:szCs w:val="21"/>
              </w:rPr>
            </w:pPr>
            <w:r>
              <w:rPr>
                <w:rFonts w:hint="eastAsia" w:hAnsi="宋体"/>
                <w:color w:val="auto"/>
                <w:szCs w:val="21"/>
              </w:rPr>
              <w:t>钝化</w:t>
            </w:r>
            <w:r>
              <w:rPr>
                <w:rFonts w:hAnsi="宋体"/>
                <w:color w:val="auto"/>
                <w:szCs w:val="21"/>
              </w:rPr>
              <w:t>槽</w:t>
            </w:r>
          </w:p>
        </w:tc>
        <w:tc>
          <w:tcPr>
            <w:tcW w:w="3326" w:type="dxa"/>
            <w:noWrap/>
            <w:vAlign w:val="center"/>
          </w:tcPr>
          <w:p>
            <w:pPr>
              <w:ind w:left="1260" w:hanging="1260" w:hangingChars="600"/>
              <w:jc w:val="center"/>
              <w:rPr>
                <w:rFonts w:hAnsi="宋体"/>
                <w:color w:val="auto"/>
                <w:szCs w:val="21"/>
              </w:rPr>
            </w:pPr>
            <w:r>
              <w:rPr>
                <w:rFonts w:hint="eastAsia" w:hAnsi="宋体"/>
                <w:color w:val="auto"/>
                <w:szCs w:val="21"/>
              </w:rPr>
              <w:t>L1900mm×W800mm×H1000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6</w:t>
            </w:r>
          </w:p>
        </w:tc>
        <w:tc>
          <w:tcPr>
            <w:tcW w:w="2598" w:type="dxa"/>
            <w:noWrap/>
            <w:vAlign w:val="center"/>
          </w:tcPr>
          <w:p>
            <w:pPr>
              <w:ind w:left="1260" w:hanging="1260" w:hangingChars="600"/>
              <w:jc w:val="center"/>
              <w:rPr>
                <w:rFonts w:hAnsi="宋体"/>
                <w:color w:val="auto"/>
                <w:szCs w:val="21"/>
              </w:rPr>
            </w:pPr>
            <w:r>
              <w:rPr>
                <w:rFonts w:hint="eastAsia" w:hAnsi="宋体"/>
                <w:color w:val="auto"/>
                <w:szCs w:val="21"/>
              </w:rPr>
              <w:t>不锈钢热水洗</w:t>
            </w:r>
            <w:r>
              <w:rPr>
                <w:rFonts w:hAnsi="宋体"/>
                <w:color w:val="auto"/>
                <w:szCs w:val="21"/>
              </w:rPr>
              <w:t>槽</w:t>
            </w:r>
          </w:p>
        </w:tc>
        <w:tc>
          <w:tcPr>
            <w:tcW w:w="3326" w:type="dxa"/>
            <w:noWrap/>
            <w:vAlign w:val="center"/>
          </w:tcPr>
          <w:p>
            <w:pPr>
              <w:ind w:left="1260" w:hanging="1260" w:hangingChars="600"/>
              <w:jc w:val="center"/>
              <w:rPr>
                <w:rFonts w:hAnsi="宋体"/>
                <w:color w:val="auto"/>
                <w:szCs w:val="21"/>
              </w:rPr>
            </w:pPr>
            <w:r>
              <w:rPr>
                <w:rFonts w:hint="eastAsia" w:hAnsi="宋体"/>
                <w:color w:val="auto"/>
                <w:szCs w:val="21"/>
              </w:rPr>
              <w:t>L1900mm×W850mm×H1000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7</w:t>
            </w:r>
          </w:p>
        </w:tc>
        <w:tc>
          <w:tcPr>
            <w:tcW w:w="2598" w:type="dxa"/>
            <w:noWrap/>
            <w:vAlign w:val="center"/>
          </w:tcPr>
          <w:p>
            <w:pPr>
              <w:ind w:left="1260" w:hanging="1260" w:hangingChars="600"/>
              <w:jc w:val="center"/>
              <w:rPr>
                <w:rFonts w:hAnsi="宋体"/>
                <w:color w:val="auto"/>
                <w:szCs w:val="21"/>
              </w:rPr>
            </w:pPr>
            <w:r>
              <w:rPr>
                <w:rFonts w:hint="eastAsia" w:hAnsi="宋体"/>
                <w:color w:val="auto"/>
                <w:szCs w:val="21"/>
              </w:rPr>
              <w:t>单钩龙门吊车</w:t>
            </w:r>
          </w:p>
        </w:tc>
        <w:tc>
          <w:tcPr>
            <w:tcW w:w="3326" w:type="dxa"/>
            <w:noWrap/>
            <w:vAlign w:val="center"/>
          </w:tcPr>
          <w:p>
            <w:pPr>
              <w:ind w:left="1260" w:hanging="1260" w:hangingChars="600"/>
              <w:jc w:val="center"/>
              <w:rPr>
                <w:rFonts w:hAnsi="宋体"/>
                <w:color w:val="auto"/>
                <w:szCs w:val="21"/>
              </w:rPr>
            </w:pPr>
            <w:r>
              <w:rPr>
                <w:rFonts w:hint="eastAsia" w:hAnsi="宋体"/>
                <w:color w:val="auto"/>
                <w:szCs w:val="21"/>
              </w:rPr>
              <w:t>-</w:t>
            </w:r>
          </w:p>
        </w:tc>
        <w:tc>
          <w:tcPr>
            <w:tcW w:w="1289" w:type="dxa"/>
            <w:noWrap/>
            <w:vAlign w:val="center"/>
          </w:tcPr>
          <w:p>
            <w:pPr>
              <w:ind w:left="1260" w:hanging="1260" w:hangingChars="600"/>
              <w:jc w:val="center"/>
              <w:rPr>
                <w:rFonts w:hAnsi="宋体"/>
                <w:color w:val="auto"/>
                <w:szCs w:val="21"/>
              </w:rPr>
            </w:pPr>
            <w:r>
              <w:rPr>
                <w:rFonts w:hint="eastAsia" w:hAnsi="宋体"/>
                <w:color w:val="auto"/>
                <w:szCs w:val="21"/>
              </w:rPr>
              <w:t>套</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bl>
    <w:p>
      <w:pPr>
        <w:spacing w:line="360" w:lineRule="auto"/>
        <w:jc w:val="left"/>
        <w:rPr>
          <w:rFonts w:hAnsi="宋体"/>
          <w:color w:val="auto"/>
          <w:szCs w:val="21"/>
        </w:rPr>
      </w:pPr>
      <w:r>
        <w:rPr>
          <w:rFonts w:hint="eastAsia" w:hAnsi="宋体"/>
          <w:color w:val="auto"/>
          <w:szCs w:val="21"/>
        </w:rPr>
        <w:t>注：锌合金钝化生产线设备由原厂区搬迁。</w:t>
      </w:r>
    </w:p>
    <w:p>
      <w:pPr>
        <w:spacing w:line="360" w:lineRule="auto"/>
        <w:jc w:val="center"/>
        <w:rPr>
          <w:b/>
          <w:color w:val="auto"/>
          <w:sz w:val="24"/>
        </w:rPr>
      </w:pPr>
      <w:r>
        <w:rPr>
          <w:rFonts w:hAnsi="宋体"/>
          <w:b/>
          <w:color w:val="auto"/>
          <w:sz w:val="24"/>
        </w:rPr>
        <w:t>表</w:t>
      </w:r>
      <w:r>
        <w:rPr>
          <w:b/>
          <w:color w:val="auto"/>
          <w:sz w:val="24"/>
        </w:rPr>
        <w:t>5.</w:t>
      </w:r>
      <w:r>
        <w:rPr>
          <w:rFonts w:hint="eastAsia"/>
          <w:b/>
          <w:color w:val="auto"/>
          <w:sz w:val="24"/>
        </w:rPr>
        <w:t>2-2 半自动滚镀铜、镍(含手动</w:t>
      </w:r>
      <w:r>
        <w:rPr>
          <w:rFonts w:hint="eastAsia"/>
          <w:b/>
          <w:color w:val="auto"/>
          <w:sz w:val="24"/>
          <w:lang w:eastAsia="zh-CN"/>
        </w:rPr>
        <w:t>辅助</w:t>
      </w:r>
      <w:r>
        <w:rPr>
          <w:rFonts w:hint="eastAsia"/>
          <w:b/>
          <w:color w:val="auto"/>
          <w:sz w:val="24"/>
        </w:rPr>
        <w:t>)</w:t>
      </w:r>
      <w:r>
        <w:rPr>
          <w:rFonts w:hAnsi="宋体"/>
          <w:b/>
          <w:color w:val="auto"/>
          <w:sz w:val="24"/>
        </w:rPr>
        <w:t>主要生产设备一览表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267"/>
        <w:gridCol w:w="3552"/>
        <w:gridCol w:w="1337"/>
        <w:gridCol w:w="1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widowControl/>
              <w:jc w:val="center"/>
              <w:rPr>
                <w:color w:val="auto"/>
                <w:kern w:val="0"/>
                <w:szCs w:val="21"/>
              </w:rPr>
            </w:pPr>
            <w:r>
              <w:rPr>
                <w:rFonts w:hAnsi="宋体"/>
                <w:color w:val="auto"/>
                <w:kern w:val="0"/>
                <w:szCs w:val="21"/>
              </w:rPr>
              <w:t>序号</w:t>
            </w:r>
          </w:p>
        </w:tc>
        <w:tc>
          <w:tcPr>
            <w:tcW w:w="2267" w:type="dxa"/>
            <w:noWrap/>
            <w:vAlign w:val="center"/>
          </w:tcPr>
          <w:p>
            <w:pPr>
              <w:widowControl/>
              <w:jc w:val="center"/>
              <w:rPr>
                <w:color w:val="auto"/>
                <w:kern w:val="0"/>
                <w:szCs w:val="21"/>
              </w:rPr>
            </w:pPr>
            <w:r>
              <w:rPr>
                <w:rFonts w:hAnsi="宋体"/>
                <w:color w:val="auto"/>
                <w:kern w:val="0"/>
                <w:szCs w:val="21"/>
              </w:rPr>
              <w:t>设备名称</w:t>
            </w:r>
          </w:p>
        </w:tc>
        <w:tc>
          <w:tcPr>
            <w:tcW w:w="3552" w:type="dxa"/>
            <w:noWrap/>
            <w:vAlign w:val="center"/>
          </w:tcPr>
          <w:p>
            <w:pPr>
              <w:widowControl/>
              <w:jc w:val="center"/>
              <w:rPr>
                <w:color w:val="auto"/>
                <w:kern w:val="0"/>
                <w:szCs w:val="21"/>
              </w:rPr>
            </w:pPr>
            <w:r>
              <w:rPr>
                <w:rFonts w:hAnsi="宋体"/>
                <w:color w:val="auto"/>
                <w:kern w:val="0"/>
                <w:szCs w:val="21"/>
              </w:rPr>
              <w:t>型号</w:t>
            </w:r>
            <w:r>
              <w:rPr>
                <w:rFonts w:hint="eastAsia" w:hAnsi="宋体"/>
                <w:color w:val="auto"/>
                <w:kern w:val="0"/>
                <w:szCs w:val="21"/>
              </w:rPr>
              <w:t>/规格</w:t>
            </w:r>
          </w:p>
        </w:tc>
        <w:tc>
          <w:tcPr>
            <w:tcW w:w="1337" w:type="dxa"/>
            <w:noWrap/>
            <w:vAlign w:val="center"/>
          </w:tcPr>
          <w:p>
            <w:pPr>
              <w:widowControl/>
              <w:jc w:val="center"/>
              <w:rPr>
                <w:color w:val="auto"/>
                <w:kern w:val="0"/>
                <w:szCs w:val="21"/>
              </w:rPr>
            </w:pPr>
            <w:r>
              <w:rPr>
                <w:rFonts w:hAnsi="宋体"/>
                <w:color w:val="auto"/>
                <w:kern w:val="0"/>
                <w:szCs w:val="21"/>
              </w:rPr>
              <w:t>单位</w:t>
            </w:r>
          </w:p>
        </w:tc>
        <w:tc>
          <w:tcPr>
            <w:tcW w:w="1337" w:type="dxa"/>
            <w:noWrap/>
            <w:vAlign w:val="center"/>
          </w:tcPr>
          <w:p>
            <w:pPr>
              <w:widowControl/>
              <w:jc w:val="center"/>
              <w:rPr>
                <w:color w:val="auto"/>
                <w:kern w:val="0"/>
                <w:szCs w:val="21"/>
              </w:rPr>
            </w:pPr>
            <w:r>
              <w:rPr>
                <w:rFonts w:hAnsi="宋体"/>
                <w:color w:val="auto"/>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Ansi="宋体"/>
                <w:color w:val="auto"/>
                <w:szCs w:val="21"/>
              </w:rPr>
              <w:t>1</w:t>
            </w:r>
          </w:p>
        </w:tc>
        <w:tc>
          <w:tcPr>
            <w:tcW w:w="2267" w:type="dxa"/>
            <w:noWrap/>
            <w:vAlign w:val="center"/>
          </w:tcPr>
          <w:p>
            <w:pPr>
              <w:widowControl/>
              <w:jc w:val="center"/>
              <w:rPr>
                <w:rFonts w:hAnsi="宋体"/>
                <w:color w:val="auto"/>
                <w:kern w:val="0"/>
                <w:szCs w:val="21"/>
              </w:rPr>
            </w:pPr>
            <w:r>
              <w:rPr>
                <w:rFonts w:hint="eastAsia" w:hAnsi="宋体"/>
                <w:color w:val="auto"/>
                <w:kern w:val="0"/>
                <w:szCs w:val="21"/>
              </w:rPr>
              <w:t>除油槽</w:t>
            </w:r>
          </w:p>
        </w:tc>
        <w:tc>
          <w:tcPr>
            <w:tcW w:w="3552" w:type="dxa"/>
            <w:noWrap/>
            <w:vAlign w:val="center"/>
          </w:tcPr>
          <w:p>
            <w:pPr>
              <w:widowControl/>
              <w:jc w:val="center"/>
              <w:rPr>
                <w:rFonts w:hAnsi="宋体"/>
                <w:color w:val="auto"/>
                <w:kern w:val="0"/>
                <w:szCs w:val="21"/>
              </w:rPr>
            </w:pPr>
            <w:r>
              <w:rPr>
                <w:rFonts w:hint="eastAsia" w:hAnsi="宋体"/>
                <w:color w:val="auto"/>
                <w:szCs w:val="21"/>
              </w:rPr>
              <w:t>L400</w:t>
            </w:r>
            <w:r>
              <w:rPr>
                <w:rFonts w:hAnsi="宋体"/>
                <w:color w:val="auto"/>
                <w:szCs w:val="21"/>
              </w:rPr>
              <w:t>mm</w:t>
            </w:r>
            <w:r>
              <w:rPr>
                <w:rFonts w:hint="eastAsia" w:hAnsi="宋体"/>
                <w:color w:val="auto"/>
                <w:szCs w:val="21"/>
              </w:rPr>
              <w:t>×W40</w:t>
            </w:r>
            <w:r>
              <w:rPr>
                <w:rFonts w:hint="eastAsia" w:hAnsi="宋体"/>
                <w:color w:val="auto"/>
                <w:szCs w:val="21"/>
                <w:lang w:val="en-US" w:eastAsia="zh-CN"/>
              </w:rPr>
              <w:t>0</w:t>
            </w:r>
            <w:r>
              <w:rPr>
                <w:rFonts w:hAnsi="宋体"/>
                <w:color w:val="auto"/>
                <w:szCs w:val="21"/>
              </w:rPr>
              <w:t>mm</w:t>
            </w:r>
            <w:r>
              <w:rPr>
                <w:rFonts w:hint="eastAsia" w:hAnsi="宋体"/>
                <w:color w:val="auto"/>
                <w:szCs w:val="21"/>
              </w:rPr>
              <w:t>0×H500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2</w:t>
            </w:r>
          </w:p>
        </w:tc>
        <w:tc>
          <w:tcPr>
            <w:tcW w:w="2267" w:type="dxa"/>
            <w:noWrap/>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L400</w:t>
            </w:r>
            <w:r>
              <w:rPr>
                <w:rFonts w:hAnsi="宋体"/>
                <w:color w:val="auto"/>
                <w:szCs w:val="21"/>
              </w:rPr>
              <w:t>mm</w:t>
            </w:r>
            <w:r>
              <w:rPr>
                <w:rFonts w:hint="eastAsia" w:hAnsi="宋体"/>
                <w:color w:val="auto"/>
                <w:szCs w:val="21"/>
              </w:rPr>
              <w:t>×W400</w:t>
            </w:r>
            <w:r>
              <w:rPr>
                <w:rFonts w:hAnsi="宋体"/>
                <w:color w:val="auto"/>
                <w:szCs w:val="21"/>
              </w:rPr>
              <w:t>mm</w:t>
            </w:r>
            <w:r>
              <w:rPr>
                <w:rFonts w:hint="eastAsia" w:hAnsi="宋体"/>
                <w:color w:val="auto"/>
                <w:szCs w:val="21"/>
              </w:rPr>
              <w:t>×H500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3</w:t>
            </w:r>
          </w:p>
        </w:tc>
        <w:tc>
          <w:tcPr>
            <w:tcW w:w="2267" w:type="dxa"/>
            <w:noWrap/>
            <w:vAlign w:val="center"/>
          </w:tcPr>
          <w:p>
            <w:pPr>
              <w:widowControl/>
              <w:jc w:val="center"/>
              <w:rPr>
                <w:rFonts w:hAnsi="宋体"/>
                <w:color w:val="auto"/>
                <w:kern w:val="0"/>
                <w:szCs w:val="21"/>
              </w:rPr>
            </w:pPr>
            <w:r>
              <w:rPr>
                <w:rFonts w:hint="eastAsia" w:hAnsi="宋体"/>
                <w:color w:val="auto"/>
                <w:kern w:val="0"/>
                <w:szCs w:val="21"/>
              </w:rPr>
              <w:t>酸洗槽</w:t>
            </w:r>
          </w:p>
        </w:tc>
        <w:tc>
          <w:tcPr>
            <w:tcW w:w="3552" w:type="dxa"/>
            <w:noWrap/>
            <w:vAlign w:val="center"/>
          </w:tcPr>
          <w:p>
            <w:pPr>
              <w:widowControl/>
              <w:jc w:val="center"/>
              <w:rPr>
                <w:rFonts w:hAnsi="宋体"/>
                <w:color w:val="auto"/>
                <w:kern w:val="0"/>
                <w:szCs w:val="21"/>
              </w:rPr>
            </w:pPr>
            <w:r>
              <w:rPr>
                <w:rFonts w:hint="eastAsia" w:hAnsi="宋体"/>
                <w:color w:val="auto"/>
                <w:szCs w:val="21"/>
              </w:rPr>
              <w:t>L500</w:t>
            </w:r>
            <w:r>
              <w:rPr>
                <w:rFonts w:hAnsi="宋体"/>
                <w:color w:val="auto"/>
                <w:szCs w:val="21"/>
              </w:rPr>
              <w:t>mm</w:t>
            </w:r>
            <w:r>
              <w:rPr>
                <w:rFonts w:hint="eastAsia" w:hAnsi="宋体"/>
                <w:color w:val="auto"/>
                <w:szCs w:val="21"/>
              </w:rPr>
              <w:t>×W500</w:t>
            </w:r>
            <w:r>
              <w:rPr>
                <w:rFonts w:hAnsi="宋体"/>
                <w:color w:val="auto"/>
                <w:szCs w:val="21"/>
              </w:rPr>
              <w:t>mm</w:t>
            </w:r>
            <w:r>
              <w:rPr>
                <w:rFonts w:hint="eastAsia" w:hAnsi="宋体"/>
                <w:color w:val="auto"/>
                <w:szCs w:val="21"/>
              </w:rPr>
              <w:t>×H500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4</w:t>
            </w:r>
          </w:p>
        </w:tc>
        <w:tc>
          <w:tcPr>
            <w:tcW w:w="2267" w:type="dxa"/>
            <w:noWrap/>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L500</w:t>
            </w:r>
            <w:r>
              <w:rPr>
                <w:rFonts w:hAnsi="宋体"/>
                <w:color w:val="auto"/>
                <w:szCs w:val="21"/>
              </w:rPr>
              <w:t>mm</w:t>
            </w:r>
            <w:r>
              <w:rPr>
                <w:rFonts w:hint="eastAsia" w:hAnsi="宋体"/>
                <w:color w:val="auto"/>
                <w:szCs w:val="21"/>
              </w:rPr>
              <w:t>×W500</w:t>
            </w:r>
            <w:r>
              <w:rPr>
                <w:rFonts w:hAnsi="宋体"/>
                <w:color w:val="auto"/>
                <w:szCs w:val="21"/>
              </w:rPr>
              <w:t>mm</w:t>
            </w:r>
            <w:r>
              <w:rPr>
                <w:rFonts w:hint="eastAsia" w:hAnsi="宋体"/>
                <w:color w:val="auto"/>
                <w:szCs w:val="21"/>
              </w:rPr>
              <w:t>×H500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5</w:t>
            </w:r>
          </w:p>
        </w:tc>
        <w:tc>
          <w:tcPr>
            <w:tcW w:w="2267" w:type="dxa"/>
            <w:vAlign w:val="center"/>
          </w:tcPr>
          <w:p>
            <w:pPr>
              <w:ind w:left="1260" w:hanging="1260" w:hangingChars="600"/>
              <w:jc w:val="center"/>
              <w:rPr>
                <w:rFonts w:hAnsi="宋体"/>
                <w:color w:val="auto"/>
                <w:szCs w:val="21"/>
              </w:rPr>
            </w:pPr>
            <w:r>
              <w:rPr>
                <w:rFonts w:hint="eastAsia" w:hAnsi="宋体"/>
                <w:color w:val="auto"/>
                <w:szCs w:val="21"/>
              </w:rPr>
              <w:t>镀铜</w:t>
            </w:r>
            <w:r>
              <w:rPr>
                <w:rFonts w:hAnsi="宋体"/>
                <w:color w:val="auto"/>
                <w:szCs w:val="21"/>
              </w:rPr>
              <w:t>槽</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L800</w:t>
            </w:r>
            <w:r>
              <w:rPr>
                <w:rFonts w:hAnsi="宋体"/>
                <w:color w:val="auto"/>
                <w:szCs w:val="21"/>
              </w:rPr>
              <w:t>mm</w:t>
            </w:r>
            <w:r>
              <w:rPr>
                <w:rFonts w:hint="eastAsia" w:hAnsi="宋体"/>
                <w:color w:val="auto"/>
                <w:szCs w:val="21"/>
              </w:rPr>
              <w:t>×W1000</w:t>
            </w:r>
            <w:r>
              <w:rPr>
                <w:rFonts w:hAnsi="宋体"/>
                <w:color w:val="auto"/>
                <w:szCs w:val="21"/>
              </w:rPr>
              <w:t>mm</w:t>
            </w:r>
            <w:r>
              <w:rPr>
                <w:rFonts w:hint="eastAsia" w:hAnsi="宋体"/>
                <w:color w:val="auto"/>
                <w:szCs w:val="21"/>
              </w:rPr>
              <w:t>×H700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6</w:t>
            </w:r>
          </w:p>
        </w:tc>
        <w:tc>
          <w:tcPr>
            <w:tcW w:w="2267" w:type="dxa"/>
            <w:vAlign w:val="center"/>
          </w:tcPr>
          <w:p>
            <w:pPr>
              <w:ind w:left="1260" w:hanging="1260" w:hangingChars="600"/>
              <w:jc w:val="center"/>
              <w:rPr>
                <w:rFonts w:hAnsi="宋体"/>
                <w:color w:val="auto"/>
                <w:szCs w:val="21"/>
              </w:rPr>
            </w:pPr>
            <w:r>
              <w:rPr>
                <w:rFonts w:hint="eastAsia" w:hAnsi="宋体"/>
                <w:color w:val="auto"/>
                <w:szCs w:val="21"/>
              </w:rPr>
              <w:t>回收</w:t>
            </w:r>
            <w:r>
              <w:rPr>
                <w:rFonts w:hAnsi="宋体"/>
                <w:color w:val="auto"/>
                <w:szCs w:val="21"/>
              </w:rPr>
              <w:t>槽</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L800</w:t>
            </w:r>
            <w:r>
              <w:rPr>
                <w:rFonts w:hAnsi="宋体"/>
                <w:color w:val="auto"/>
                <w:szCs w:val="21"/>
              </w:rPr>
              <w:t>mm</w:t>
            </w:r>
            <w:r>
              <w:rPr>
                <w:rFonts w:hint="eastAsia" w:hAnsi="宋体"/>
                <w:color w:val="auto"/>
                <w:szCs w:val="21"/>
              </w:rPr>
              <w:t>×W1000</w:t>
            </w:r>
            <w:r>
              <w:rPr>
                <w:rFonts w:hAnsi="宋体"/>
                <w:color w:val="auto"/>
                <w:szCs w:val="21"/>
              </w:rPr>
              <w:t>mm</w:t>
            </w:r>
            <w:r>
              <w:rPr>
                <w:rFonts w:hint="eastAsia" w:hAnsi="宋体"/>
                <w:color w:val="auto"/>
                <w:szCs w:val="21"/>
              </w:rPr>
              <w:t>×H700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7</w:t>
            </w:r>
          </w:p>
        </w:tc>
        <w:tc>
          <w:tcPr>
            <w:tcW w:w="2267" w:type="dxa"/>
            <w:vAlign w:val="center"/>
          </w:tcPr>
          <w:p>
            <w:pPr>
              <w:ind w:left="1260" w:hanging="1260" w:hangingChars="600"/>
              <w:jc w:val="center"/>
              <w:rPr>
                <w:rFonts w:hAnsi="宋体"/>
                <w:color w:val="auto"/>
                <w:szCs w:val="21"/>
              </w:rPr>
            </w:pPr>
            <w:r>
              <w:rPr>
                <w:rFonts w:hint="eastAsia" w:hAnsi="宋体"/>
                <w:color w:val="auto"/>
                <w:szCs w:val="21"/>
              </w:rPr>
              <w:t>镀镍</w:t>
            </w:r>
            <w:r>
              <w:rPr>
                <w:rFonts w:hAnsi="宋体"/>
                <w:color w:val="auto"/>
                <w:szCs w:val="21"/>
              </w:rPr>
              <w:t>槽</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L600</w:t>
            </w:r>
            <w:r>
              <w:rPr>
                <w:rFonts w:hAnsi="宋体"/>
                <w:color w:val="auto"/>
                <w:szCs w:val="21"/>
              </w:rPr>
              <w:t>mm</w:t>
            </w:r>
            <w:r>
              <w:rPr>
                <w:rFonts w:hint="eastAsia" w:hAnsi="宋体"/>
                <w:color w:val="auto"/>
                <w:szCs w:val="21"/>
              </w:rPr>
              <w:t>×W1000</w:t>
            </w:r>
            <w:r>
              <w:rPr>
                <w:rFonts w:hAnsi="宋体"/>
                <w:color w:val="auto"/>
                <w:szCs w:val="21"/>
              </w:rPr>
              <w:t>mm</w:t>
            </w:r>
            <w:r>
              <w:rPr>
                <w:rFonts w:hint="eastAsia" w:hAnsi="宋体"/>
                <w:color w:val="auto"/>
                <w:szCs w:val="21"/>
              </w:rPr>
              <w:t>×H700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Ansi="宋体"/>
                <w:color w:val="auto"/>
                <w:szCs w:val="21"/>
              </w:rPr>
              <w:t xml:space="preserve">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8</w:t>
            </w:r>
          </w:p>
        </w:tc>
        <w:tc>
          <w:tcPr>
            <w:tcW w:w="2267" w:type="dxa"/>
            <w:vAlign w:val="center"/>
          </w:tcPr>
          <w:p>
            <w:pPr>
              <w:ind w:left="1260" w:hanging="1260" w:hangingChars="600"/>
              <w:jc w:val="center"/>
              <w:rPr>
                <w:rFonts w:hAnsi="宋体"/>
                <w:color w:val="auto"/>
                <w:szCs w:val="21"/>
              </w:rPr>
            </w:pPr>
            <w:r>
              <w:rPr>
                <w:rFonts w:hint="eastAsia" w:hAnsi="宋体"/>
                <w:color w:val="auto"/>
                <w:szCs w:val="21"/>
              </w:rPr>
              <w:t>钝化槽</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L500</w:t>
            </w:r>
            <w:r>
              <w:rPr>
                <w:rFonts w:hAnsi="宋体"/>
                <w:color w:val="auto"/>
                <w:szCs w:val="21"/>
              </w:rPr>
              <w:t>mm</w:t>
            </w:r>
            <w:r>
              <w:rPr>
                <w:rFonts w:hint="eastAsia" w:hAnsi="宋体"/>
                <w:color w:val="auto"/>
                <w:szCs w:val="21"/>
              </w:rPr>
              <w:t>×W500</w:t>
            </w:r>
            <w:r>
              <w:rPr>
                <w:rFonts w:hAnsi="宋体"/>
                <w:color w:val="auto"/>
                <w:szCs w:val="21"/>
              </w:rPr>
              <w:t>mm</w:t>
            </w:r>
            <w:r>
              <w:rPr>
                <w:rFonts w:hint="eastAsia" w:hAnsi="宋体"/>
                <w:color w:val="auto"/>
                <w:szCs w:val="21"/>
              </w:rPr>
              <w:t>×H500</w:t>
            </w:r>
            <w:r>
              <w:rPr>
                <w:rFonts w:hAnsi="宋体"/>
                <w:color w:val="auto"/>
                <w:szCs w:val="21"/>
              </w:rPr>
              <w:t>mm</w:t>
            </w:r>
          </w:p>
        </w:tc>
        <w:tc>
          <w:tcPr>
            <w:tcW w:w="1337" w:type="dxa"/>
            <w:noWrap/>
            <w:vAlign w:val="center"/>
          </w:tcPr>
          <w:p>
            <w:pPr>
              <w:ind w:left="1260" w:hanging="1260" w:hangingChars="600"/>
              <w:jc w:val="center"/>
              <w:rPr>
                <w:rFonts w:hAnsi="宋体"/>
                <w:color w:val="auto"/>
                <w:szCs w:val="21"/>
              </w:rPr>
            </w:pPr>
            <w:r>
              <w:rPr>
                <w:rFonts w:hAnsi="宋体"/>
                <w:color w:val="auto"/>
                <w:szCs w:val="21"/>
              </w:rPr>
              <w:t>只</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noWrap/>
            <w:vAlign w:val="center"/>
          </w:tcPr>
          <w:p>
            <w:pPr>
              <w:ind w:left="1260" w:hanging="1260" w:hangingChars="600"/>
              <w:jc w:val="center"/>
              <w:rPr>
                <w:rFonts w:hAnsi="宋体"/>
                <w:color w:val="auto"/>
                <w:szCs w:val="21"/>
              </w:rPr>
            </w:pPr>
            <w:r>
              <w:rPr>
                <w:rFonts w:hint="eastAsia" w:hAnsi="宋体"/>
                <w:color w:val="auto"/>
                <w:szCs w:val="21"/>
              </w:rPr>
              <w:t>9</w:t>
            </w:r>
          </w:p>
        </w:tc>
        <w:tc>
          <w:tcPr>
            <w:tcW w:w="2267" w:type="dxa"/>
            <w:vAlign w:val="center"/>
          </w:tcPr>
          <w:p>
            <w:pPr>
              <w:ind w:left="1260" w:hanging="1260" w:hangingChars="600"/>
              <w:jc w:val="center"/>
              <w:rPr>
                <w:rFonts w:hAnsi="宋体"/>
                <w:color w:val="auto"/>
                <w:szCs w:val="21"/>
              </w:rPr>
            </w:pPr>
            <w:r>
              <w:rPr>
                <w:rFonts w:hint="eastAsia" w:hAnsi="宋体"/>
                <w:color w:val="auto"/>
                <w:szCs w:val="21"/>
              </w:rPr>
              <w:t>单钩龙门吊车</w:t>
            </w:r>
          </w:p>
        </w:tc>
        <w:tc>
          <w:tcPr>
            <w:tcW w:w="3552" w:type="dxa"/>
            <w:noWrap/>
            <w:vAlign w:val="center"/>
          </w:tcPr>
          <w:p>
            <w:pPr>
              <w:ind w:left="1260" w:hanging="1260" w:hangingChars="600"/>
              <w:jc w:val="center"/>
              <w:rPr>
                <w:rFonts w:hAnsi="宋体"/>
                <w:color w:val="auto"/>
                <w:szCs w:val="21"/>
              </w:rPr>
            </w:pPr>
            <w:r>
              <w:rPr>
                <w:rFonts w:hint="eastAsia" w:hAnsi="宋体"/>
                <w:color w:val="auto"/>
                <w:szCs w:val="21"/>
              </w:rPr>
              <w:t>-</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套</w:t>
            </w:r>
          </w:p>
        </w:tc>
        <w:tc>
          <w:tcPr>
            <w:tcW w:w="1337" w:type="dxa"/>
            <w:noWrap/>
            <w:vAlign w:val="center"/>
          </w:tcPr>
          <w:p>
            <w:pPr>
              <w:ind w:left="1260" w:hanging="1260" w:hangingChars="600"/>
              <w:jc w:val="center"/>
              <w:rPr>
                <w:rFonts w:hAnsi="宋体"/>
                <w:color w:val="auto"/>
                <w:szCs w:val="21"/>
              </w:rPr>
            </w:pPr>
            <w:r>
              <w:rPr>
                <w:rFonts w:hint="eastAsia" w:hAnsi="宋体"/>
                <w:color w:val="auto"/>
                <w:szCs w:val="21"/>
              </w:rPr>
              <w:t>1</w:t>
            </w:r>
          </w:p>
        </w:tc>
      </w:tr>
    </w:tbl>
    <w:p>
      <w:pPr>
        <w:spacing w:line="360" w:lineRule="auto"/>
        <w:jc w:val="left"/>
        <w:rPr>
          <w:rFonts w:hAnsi="宋体"/>
          <w:color w:val="auto"/>
          <w:szCs w:val="21"/>
        </w:rPr>
      </w:pPr>
      <w:r>
        <w:rPr>
          <w:rFonts w:hint="eastAsia" w:hAnsi="宋体"/>
          <w:color w:val="auto"/>
          <w:szCs w:val="21"/>
        </w:rPr>
        <w:t>注：半自动滚镀铜、镍生产线设备由原厂区搬迁。</w:t>
      </w:r>
    </w:p>
    <w:p>
      <w:pPr>
        <w:spacing w:line="360" w:lineRule="auto"/>
        <w:jc w:val="center"/>
        <w:rPr>
          <w:rFonts w:hAnsi="宋体"/>
          <w:b/>
          <w:color w:val="auto"/>
          <w:sz w:val="24"/>
        </w:rPr>
      </w:pPr>
      <w:r>
        <w:rPr>
          <w:rFonts w:hAnsi="宋体"/>
          <w:b/>
          <w:color w:val="auto"/>
          <w:sz w:val="24"/>
        </w:rPr>
        <w:t>表</w:t>
      </w:r>
      <w:r>
        <w:rPr>
          <w:b/>
          <w:color w:val="auto"/>
          <w:sz w:val="24"/>
        </w:rPr>
        <w:t>5.</w:t>
      </w:r>
      <w:r>
        <w:rPr>
          <w:rFonts w:hint="eastAsia"/>
          <w:b/>
          <w:color w:val="auto"/>
          <w:sz w:val="24"/>
        </w:rPr>
        <w:t>2-3</w:t>
      </w:r>
      <w:r>
        <w:rPr>
          <w:b/>
          <w:color w:val="auto"/>
          <w:sz w:val="24"/>
        </w:rPr>
        <w:t xml:space="preserve"> </w:t>
      </w:r>
      <w:r>
        <w:rPr>
          <w:rFonts w:hint="eastAsia"/>
          <w:b/>
          <w:color w:val="auto"/>
          <w:sz w:val="24"/>
        </w:rPr>
        <w:t>低轨龙门挂镀线生产线(铝合金氧化)</w:t>
      </w:r>
      <w:r>
        <w:rPr>
          <w:rFonts w:hAnsi="宋体"/>
          <w:b/>
          <w:color w:val="auto"/>
          <w:sz w:val="24"/>
        </w:rPr>
        <w:t>主要生产设备一览表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219"/>
        <w:gridCol w:w="3705"/>
        <w:gridCol w:w="1289"/>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widowControl/>
              <w:jc w:val="center"/>
              <w:rPr>
                <w:color w:val="auto"/>
                <w:kern w:val="0"/>
                <w:szCs w:val="21"/>
              </w:rPr>
            </w:pPr>
            <w:r>
              <w:rPr>
                <w:rFonts w:hAnsi="宋体"/>
                <w:color w:val="auto"/>
                <w:kern w:val="0"/>
                <w:szCs w:val="21"/>
              </w:rPr>
              <w:t>序号</w:t>
            </w:r>
          </w:p>
        </w:tc>
        <w:tc>
          <w:tcPr>
            <w:tcW w:w="2219" w:type="dxa"/>
            <w:noWrap/>
            <w:vAlign w:val="center"/>
          </w:tcPr>
          <w:p>
            <w:pPr>
              <w:widowControl/>
              <w:jc w:val="center"/>
              <w:rPr>
                <w:color w:val="auto"/>
                <w:kern w:val="0"/>
                <w:szCs w:val="21"/>
              </w:rPr>
            </w:pPr>
            <w:r>
              <w:rPr>
                <w:rFonts w:hAnsi="宋体"/>
                <w:color w:val="auto"/>
                <w:kern w:val="0"/>
                <w:szCs w:val="21"/>
              </w:rPr>
              <w:t>设备名称</w:t>
            </w:r>
          </w:p>
        </w:tc>
        <w:tc>
          <w:tcPr>
            <w:tcW w:w="3705" w:type="dxa"/>
            <w:noWrap/>
            <w:vAlign w:val="center"/>
          </w:tcPr>
          <w:p>
            <w:pPr>
              <w:widowControl/>
              <w:jc w:val="center"/>
              <w:rPr>
                <w:color w:val="auto"/>
                <w:kern w:val="0"/>
                <w:szCs w:val="21"/>
              </w:rPr>
            </w:pPr>
            <w:r>
              <w:rPr>
                <w:rFonts w:hAnsi="宋体"/>
                <w:color w:val="auto"/>
                <w:kern w:val="0"/>
                <w:szCs w:val="21"/>
              </w:rPr>
              <w:t>型号</w:t>
            </w:r>
            <w:r>
              <w:rPr>
                <w:rFonts w:hint="eastAsia" w:hAnsi="宋体"/>
                <w:color w:val="auto"/>
                <w:kern w:val="0"/>
                <w:szCs w:val="21"/>
              </w:rPr>
              <w:t>/规格</w:t>
            </w:r>
          </w:p>
        </w:tc>
        <w:tc>
          <w:tcPr>
            <w:tcW w:w="1289" w:type="dxa"/>
            <w:noWrap/>
            <w:vAlign w:val="center"/>
          </w:tcPr>
          <w:p>
            <w:pPr>
              <w:widowControl/>
              <w:jc w:val="center"/>
              <w:rPr>
                <w:color w:val="auto"/>
                <w:kern w:val="0"/>
                <w:szCs w:val="21"/>
              </w:rPr>
            </w:pPr>
            <w:r>
              <w:rPr>
                <w:rFonts w:hAnsi="宋体"/>
                <w:color w:val="auto"/>
                <w:kern w:val="0"/>
                <w:szCs w:val="21"/>
              </w:rPr>
              <w:t>单位</w:t>
            </w:r>
          </w:p>
        </w:tc>
        <w:tc>
          <w:tcPr>
            <w:tcW w:w="1287" w:type="dxa"/>
            <w:noWrap/>
            <w:vAlign w:val="center"/>
          </w:tcPr>
          <w:p>
            <w:pPr>
              <w:widowControl/>
              <w:jc w:val="center"/>
              <w:rPr>
                <w:color w:val="auto"/>
                <w:kern w:val="0"/>
                <w:szCs w:val="21"/>
              </w:rPr>
            </w:pPr>
            <w:r>
              <w:rPr>
                <w:rFonts w:hAnsi="宋体"/>
                <w:color w:val="auto"/>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Ansi="宋体"/>
                <w:color w:val="auto"/>
                <w:szCs w:val="21"/>
              </w:rPr>
              <w:t>1</w:t>
            </w:r>
          </w:p>
        </w:tc>
        <w:tc>
          <w:tcPr>
            <w:tcW w:w="2219" w:type="dxa"/>
            <w:vAlign w:val="center"/>
          </w:tcPr>
          <w:p>
            <w:pPr>
              <w:ind w:left="1260" w:hanging="1260" w:hangingChars="600"/>
              <w:jc w:val="center"/>
              <w:rPr>
                <w:rFonts w:hAnsi="宋体"/>
                <w:color w:val="auto"/>
                <w:szCs w:val="21"/>
              </w:rPr>
            </w:pPr>
            <w:r>
              <w:rPr>
                <w:rFonts w:hint="eastAsia" w:hAnsi="宋体"/>
                <w:color w:val="auto"/>
                <w:szCs w:val="21"/>
              </w:rPr>
              <w:t>不锈钢热除油槽</w:t>
            </w:r>
          </w:p>
        </w:tc>
        <w:tc>
          <w:tcPr>
            <w:tcW w:w="3705" w:type="dxa"/>
            <w:noWrap/>
            <w:vAlign w:val="center"/>
          </w:tcPr>
          <w:p>
            <w:pPr>
              <w:ind w:left="1260" w:hanging="1260" w:hangingChars="600"/>
              <w:jc w:val="center"/>
              <w:rPr>
                <w:rFonts w:hAnsi="宋体"/>
                <w:color w:val="auto"/>
                <w:szCs w:val="21"/>
              </w:rPr>
            </w:pPr>
            <w:r>
              <w:rPr>
                <w:rFonts w:hint="eastAsia" w:hAnsi="宋体"/>
                <w:color w:val="auto"/>
                <w:szCs w:val="21"/>
              </w:rPr>
              <w:t>L1900mm×W900mm×H1000mm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Ansi="宋体"/>
                <w:color w:val="auto"/>
                <w:szCs w:val="21"/>
              </w:rPr>
              <w:t>2</w:t>
            </w:r>
          </w:p>
        </w:tc>
        <w:tc>
          <w:tcPr>
            <w:tcW w:w="2219" w:type="dxa"/>
            <w:vAlign w:val="center"/>
          </w:tcPr>
          <w:p>
            <w:pPr>
              <w:ind w:left="1260" w:hanging="1260" w:hangingChars="600"/>
              <w:jc w:val="center"/>
              <w:rPr>
                <w:rFonts w:hAnsi="宋体"/>
                <w:color w:val="auto"/>
                <w:szCs w:val="21"/>
              </w:rPr>
            </w:pPr>
            <w:r>
              <w:rPr>
                <w:rFonts w:hint="eastAsia" w:hAnsi="宋体"/>
                <w:color w:val="auto"/>
                <w:szCs w:val="21"/>
              </w:rPr>
              <w:t>水洗二连槽</w:t>
            </w:r>
          </w:p>
        </w:tc>
        <w:tc>
          <w:tcPr>
            <w:tcW w:w="3705" w:type="dxa"/>
            <w:noWrap/>
            <w:vAlign w:val="center"/>
          </w:tcPr>
          <w:p>
            <w:pPr>
              <w:ind w:left="1260" w:hanging="1260" w:hangingChars="600"/>
              <w:jc w:val="center"/>
              <w:rPr>
                <w:rFonts w:hAnsi="宋体"/>
                <w:color w:val="auto"/>
                <w:szCs w:val="21"/>
              </w:rPr>
            </w:pPr>
            <w:r>
              <w:rPr>
                <w:rFonts w:hint="eastAsia" w:hAnsi="宋体"/>
                <w:color w:val="auto"/>
                <w:szCs w:val="21"/>
              </w:rPr>
              <w:t>L1900mm×W850mm×H1000 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4</w:t>
            </w:r>
          </w:p>
        </w:tc>
        <w:tc>
          <w:tcPr>
            <w:tcW w:w="2219" w:type="dxa"/>
            <w:vAlign w:val="center"/>
          </w:tcPr>
          <w:p>
            <w:pPr>
              <w:ind w:left="1260" w:hanging="1260" w:hangingChars="600"/>
              <w:jc w:val="center"/>
              <w:rPr>
                <w:rFonts w:hAnsi="宋体"/>
                <w:color w:val="auto"/>
                <w:szCs w:val="21"/>
              </w:rPr>
            </w:pPr>
            <w:r>
              <w:rPr>
                <w:rFonts w:hint="eastAsia" w:hAnsi="宋体"/>
                <w:color w:val="auto"/>
                <w:szCs w:val="21"/>
              </w:rPr>
              <w:t>表调</w:t>
            </w:r>
            <w:r>
              <w:rPr>
                <w:rFonts w:hAnsi="宋体"/>
                <w:color w:val="auto"/>
                <w:szCs w:val="21"/>
              </w:rPr>
              <w:t>槽</w:t>
            </w:r>
          </w:p>
        </w:tc>
        <w:tc>
          <w:tcPr>
            <w:tcW w:w="3705" w:type="dxa"/>
            <w:vAlign w:val="center"/>
          </w:tcPr>
          <w:p>
            <w:pPr>
              <w:ind w:left="1260" w:hanging="1260" w:hangingChars="600"/>
              <w:jc w:val="center"/>
              <w:rPr>
                <w:rFonts w:hAnsi="宋体"/>
                <w:color w:val="auto"/>
                <w:szCs w:val="21"/>
              </w:rPr>
            </w:pPr>
            <w:r>
              <w:rPr>
                <w:rFonts w:hint="eastAsia" w:hAnsi="宋体"/>
                <w:color w:val="auto"/>
                <w:szCs w:val="21"/>
              </w:rPr>
              <w:t>L1900mm×W800mm×H1000 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5</w:t>
            </w:r>
          </w:p>
        </w:tc>
        <w:tc>
          <w:tcPr>
            <w:tcW w:w="2219" w:type="dxa"/>
            <w:noWrap/>
            <w:vAlign w:val="center"/>
          </w:tcPr>
          <w:p>
            <w:pPr>
              <w:ind w:left="1260" w:hanging="1260" w:hangingChars="600"/>
              <w:jc w:val="center"/>
              <w:rPr>
                <w:rFonts w:hAnsi="宋体"/>
                <w:color w:val="auto"/>
                <w:szCs w:val="21"/>
              </w:rPr>
            </w:pPr>
            <w:r>
              <w:rPr>
                <w:rFonts w:hint="eastAsia" w:hAnsi="宋体"/>
                <w:color w:val="auto"/>
                <w:szCs w:val="21"/>
              </w:rPr>
              <w:t>活化</w:t>
            </w:r>
            <w:r>
              <w:rPr>
                <w:rFonts w:hAnsi="宋体"/>
                <w:color w:val="auto"/>
                <w:szCs w:val="21"/>
              </w:rPr>
              <w:t>槽</w:t>
            </w:r>
          </w:p>
        </w:tc>
        <w:tc>
          <w:tcPr>
            <w:tcW w:w="3705" w:type="dxa"/>
            <w:noWrap/>
            <w:vAlign w:val="center"/>
          </w:tcPr>
          <w:p>
            <w:pPr>
              <w:ind w:left="1260" w:hanging="1260" w:hangingChars="600"/>
              <w:jc w:val="center"/>
              <w:rPr>
                <w:rFonts w:hAnsi="宋体"/>
                <w:color w:val="auto"/>
                <w:szCs w:val="21"/>
              </w:rPr>
            </w:pPr>
            <w:r>
              <w:rPr>
                <w:rFonts w:hint="eastAsia" w:hAnsi="宋体"/>
                <w:color w:val="auto"/>
                <w:szCs w:val="21"/>
              </w:rPr>
              <w:t>L1900mm×W850mm×H1000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Ansi="宋体"/>
                <w:color w:val="auto"/>
                <w:szCs w:val="21"/>
              </w:rPr>
              <w:t xml:space="preserve">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8</w:t>
            </w:r>
          </w:p>
        </w:tc>
        <w:tc>
          <w:tcPr>
            <w:tcW w:w="2219" w:type="dxa"/>
            <w:noWrap/>
            <w:vAlign w:val="center"/>
          </w:tcPr>
          <w:p>
            <w:pPr>
              <w:ind w:left="1260" w:hanging="1260" w:hangingChars="600"/>
              <w:jc w:val="center"/>
              <w:rPr>
                <w:rFonts w:hAnsi="宋体"/>
                <w:color w:val="auto"/>
                <w:szCs w:val="21"/>
              </w:rPr>
            </w:pPr>
            <w:r>
              <w:rPr>
                <w:rFonts w:hint="eastAsia" w:hAnsi="宋体"/>
                <w:color w:val="auto"/>
                <w:szCs w:val="21"/>
              </w:rPr>
              <w:t>氧化</w:t>
            </w:r>
            <w:r>
              <w:rPr>
                <w:rFonts w:hAnsi="宋体"/>
                <w:color w:val="auto"/>
                <w:szCs w:val="21"/>
              </w:rPr>
              <w:t>槽</w:t>
            </w:r>
          </w:p>
        </w:tc>
        <w:tc>
          <w:tcPr>
            <w:tcW w:w="3705" w:type="dxa"/>
            <w:noWrap/>
            <w:vAlign w:val="center"/>
          </w:tcPr>
          <w:p>
            <w:pPr>
              <w:ind w:left="1260" w:hanging="1260" w:hangingChars="600"/>
              <w:jc w:val="center"/>
              <w:rPr>
                <w:rFonts w:hAnsi="宋体"/>
                <w:color w:val="auto"/>
                <w:szCs w:val="21"/>
              </w:rPr>
            </w:pPr>
            <w:r>
              <w:rPr>
                <w:rFonts w:hint="eastAsia" w:hAnsi="宋体"/>
                <w:color w:val="auto"/>
                <w:szCs w:val="21"/>
              </w:rPr>
              <w:t>L1900mm×W850mm×H1000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int="eastAsia" w:hAnsi="宋体" w:eastAsia="宋体"/>
                <w:color w:val="auto"/>
                <w:szCs w:val="21"/>
                <w:lang w:eastAsia="zh-CN"/>
              </w:rPr>
            </w:pPr>
            <w:r>
              <w:rPr>
                <w:rFonts w:hint="eastAsia" w:hAnsi="宋体"/>
                <w:color w:val="auto"/>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9</w:t>
            </w:r>
          </w:p>
        </w:tc>
        <w:tc>
          <w:tcPr>
            <w:tcW w:w="2219" w:type="dxa"/>
            <w:noWrap/>
            <w:vAlign w:val="center"/>
          </w:tcPr>
          <w:p>
            <w:pPr>
              <w:ind w:left="1260" w:hanging="1260" w:hangingChars="600"/>
              <w:jc w:val="center"/>
              <w:rPr>
                <w:rFonts w:hAnsi="宋体"/>
                <w:color w:val="auto"/>
                <w:szCs w:val="21"/>
              </w:rPr>
            </w:pPr>
            <w:r>
              <w:rPr>
                <w:rFonts w:hint="eastAsia" w:hAnsi="宋体"/>
                <w:color w:val="auto"/>
                <w:szCs w:val="21"/>
              </w:rPr>
              <w:t>不锈钢热水洗</w:t>
            </w:r>
            <w:r>
              <w:rPr>
                <w:rFonts w:hAnsi="宋体"/>
                <w:color w:val="auto"/>
                <w:szCs w:val="21"/>
              </w:rPr>
              <w:t>槽</w:t>
            </w:r>
          </w:p>
        </w:tc>
        <w:tc>
          <w:tcPr>
            <w:tcW w:w="3705" w:type="dxa"/>
            <w:noWrap/>
            <w:vAlign w:val="center"/>
          </w:tcPr>
          <w:p>
            <w:pPr>
              <w:ind w:left="1260" w:hanging="1260" w:hangingChars="600"/>
              <w:jc w:val="center"/>
              <w:rPr>
                <w:rFonts w:hAnsi="宋体"/>
                <w:color w:val="auto"/>
                <w:szCs w:val="21"/>
              </w:rPr>
            </w:pPr>
            <w:r>
              <w:rPr>
                <w:rFonts w:hint="eastAsia" w:hAnsi="宋体"/>
                <w:color w:val="auto"/>
                <w:szCs w:val="21"/>
              </w:rPr>
              <w:t>L1900mm×W850mm×H1000</w:t>
            </w:r>
            <w:r>
              <w:rPr>
                <w:rFonts w:hAnsi="宋体"/>
                <w:color w:val="auto"/>
                <w:szCs w:val="21"/>
              </w:rPr>
              <w:t>mm</w:t>
            </w:r>
          </w:p>
        </w:tc>
        <w:tc>
          <w:tcPr>
            <w:tcW w:w="1289" w:type="dxa"/>
            <w:noWrap/>
            <w:vAlign w:val="center"/>
          </w:tcPr>
          <w:p>
            <w:pPr>
              <w:ind w:left="1260" w:hanging="1260" w:hangingChars="600"/>
              <w:jc w:val="center"/>
              <w:rPr>
                <w:rFonts w:hAnsi="宋体"/>
                <w:color w:val="auto"/>
                <w:szCs w:val="21"/>
              </w:rPr>
            </w:pPr>
            <w:r>
              <w:rPr>
                <w:rFonts w:hAnsi="宋体"/>
                <w:color w:val="auto"/>
                <w:szCs w:val="21"/>
              </w:rPr>
              <w:t>只</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6" w:type="dxa"/>
            <w:noWrap/>
            <w:vAlign w:val="center"/>
          </w:tcPr>
          <w:p>
            <w:pPr>
              <w:ind w:left="1260" w:hanging="1260" w:hangingChars="600"/>
              <w:jc w:val="center"/>
              <w:rPr>
                <w:rFonts w:hAnsi="宋体"/>
                <w:color w:val="auto"/>
                <w:szCs w:val="21"/>
              </w:rPr>
            </w:pPr>
            <w:r>
              <w:rPr>
                <w:rFonts w:hint="eastAsia" w:hAnsi="宋体"/>
                <w:color w:val="auto"/>
                <w:szCs w:val="21"/>
              </w:rPr>
              <w:t>10</w:t>
            </w:r>
          </w:p>
        </w:tc>
        <w:tc>
          <w:tcPr>
            <w:tcW w:w="2219" w:type="dxa"/>
            <w:noWrap/>
            <w:vAlign w:val="center"/>
          </w:tcPr>
          <w:p>
            <w:pPr>
              <w:ind w:left="1260" w:hanging="1260" w:hangingChars="600"/>
              <w:jc w:val="center"/>
              <w:rPr>
                <w:rFonts w:hAnsi="宋体"/>
                <w:color w:val="auto"/>
                <w:szCs w:val="21"/>
              </w:rPr>
            </w:pPr>
            <w:r>
              <w:rPr>
                <w:rFonts w:hint="eastAsia" w:hAnsi="宋体"/>
                <w:color w:val="auto"/>
                <w:szCs w:val="21"/>
              </w:rPr>
              <w:t>单钩龙门吊车</w:t>
            </w:r>
          </w:p>
        </w:tc>
        <w:tc>
          <w:tcPr>
            <w:tcW w:w="3705" w:type="dxa"/>
            <w:noWrap/>
            <w:vAlign w:val="center"/>
          </w:tcPr>
          <w:p>
            <w:pPr>
              <w:ind w:left="1260" w:hanging="1260" w:hangingChars="600"/>
              <w:jc w:val="center"/>
              <w:rPr>
                <w:rFonts w:hAnsi="宋体"/>
                <w:color w:val="auto"/>
                <w:szCs w:val="21"/>
              </w:rPr>
            </w:pPr>
            <w:r>
              <w:rPr>
                <w:rFonts w:hint="eastAsia" w:hAnsi="宋体"/>
                <w:color w:val="auto"/>
                <w:szCs w:val="21"/>
              </w:rPr>
              <w:t>-</w:t>
            </w:r>
          </w:p>
        </w:tc>
        <w:tc>
          <w:tcPr>
            <w:tcW w:w="1289" w:type="dxa"/>
            <w:noWrap/>
            <w:vAlign w:val="center"/>
          </w:tcPr>
          <w:p>
            <w:pPr>
              <w:ind w:left="1260" w:hanging="1260" w:hangingChars="600"/>
              <w:jc w:val="center"/>
              <w:rPr>
                <w:rFonts w:hAnsi="宋体"/>
                <w:color w:val="auto"/>
                <w:szCs w:val="21"/>
              </w:rPr>
            </w:pPr>
            <w:r>
              <w:rPr>
                <w:rFonts w:hint="eastAsia" w:hAnsi="宋体"/>
                <w:color w:val="auto"/>
                <w:szCs w:val="21"/>
              </w:rPr>
              <w:t>套</w:t>
            </w:r>
          </w:p>
        </w:tc>
        <w:tc>
          <w:tcPr>
            <w:tcW w:w="1287" w:type="dxa"/>
            <w:noWrap/>
            <w:vAlign w:val="center"/>
          </w:tcPr>
          <w:p>
            <w:pPr>
              <w:ind w:left="1260" w:hanging="1260" w:hangingChars="600"/>
              <w:jc w:val="center"/>
              <w:rPr>
                <w:rFonts w:hAnsi="宋体"/>
                <w:color w:val="auto"/>
                <w:szCs w:val="21"/>
              </w:rPr>
            </w:pPr>
            <w:r>
              <w:rPr>
                <w:rFonts w:hint="eastAsia" w:hAnsi="宋体"/>
                <w:color w:val="auto"/>
                <w:szCs w:val="21"/>
              </w:rPr>
              <w:t>1</w:t>
            </w:r>
          </w:p>
        </w:tc>
      </w:tr>
    </w:tbl>
    <w:p>
      <w:pPr>
        <w:spacing w:line="360" w:lineRule="auto"/>
        <w:jc w:val="left"/>
        <w:rPr>
          <w:rFonts w:hAnsi="宋体"/>
          <w:color w:val="auto"/>
          <w:szCs w:val="21"/>
        </w:rPr>
      </w:pPr>
      <w:r>
        <w:rPr>
          <w:rFonts w:hint="eastAsia" w:hAnsi="宋体"/>
          <w:color w:val="auto"/>
          <w:szCs w:val="21"/>
        </w:rPr>
        <w:t>注：铝合金氧化生产线设备外购新增。</w:t>
      </w:r>
    </w:p>
    <w:p>
      <w:pPr>
        <w:snapToGrid w:val="0"/>
        <w:spacing w:before="120" w:beforeLines="50" w:line="360" w:lineRule="auto"/>
        <w:outlineLvl w:val="2"/>
        <w:rPr>
          <w:b/>
          <w:color w:val="auto"/>
          <w:sz w:val="24"/>
        </w:rPr>
      </w:pPr>
      <w:r>
        <w:rPr>
          <w:b/>
          <w:color w:val="auto"/>
          <w:sz w:val="24"/>
        </w:rPr>
        <w:t>5.</w:t>
      </w:r>
      <w:r>
        <w:rPr>
          <w:rFonts w:hint="eastAsia"/>
          <w:b/>
          <w:color w:val="auto"/>
          <w:sz w:val="24"/>
        </w:rPr>
        <w:t>2</w:t>
      </w:r>
      <w:r>
        <w:rPr>
          <w:b/>
          <w:color w:val="auto"/>
          <w:sz w:val="24"/>
        </w:rPr>
        <w:t>.</w:t>
      </w:r>
      <w:r>
        <w:rPr>
          <w:rFonts w:hint="eastAsia"/>
          <w:b/>
          <w:color w:val="auto"/>
          <w:sz w:val="24"/>
        </w:rPr>
        <w:t>3拟建工程原辅材料及能源消耗</w:t>
      </w:r>
    </w:p>
    <w:p>
      <w:pPr>
        <w:snapToGrid w:val="0"/>
        <w:spacing w:line="360" w:lineRule="auto"/>
        <w:ind w:firstLine="480" w:firstLineChars="200"/>
        <w:rPr>
          <w:rFonts w:hint="eastAsia"/>
          <w:color w:val="auto"/>
          <w:sz w:val="24"/>
        </w:rPr>
      </w:pPr>
      <w:r>
        <w:rPr>
          <w:rFonts w:hint="eastAsia"/>
          <w:color w:val="auto"/>
          <w:sz w:val="24"/>
        </w:rPr>
        <w:t>拟建工程由原址迁出后不新增产能，能源、原料消耗详见表</w:t>
      </w:r>
      <w:r>
        <w:rPr>
          <w:color w:val="auto"/>
          <w:sz w:val="24"/>
        </w:rPr>
        <w:t>5.</w:t>
      </w:r>
      <w:r>
        <w:rPr>
          <w:rFonts w:hint="eastAsia"/>
          <w:color w:val="auto"/>
          <w:sz w:val="24"/>
        </w:rPr>
        <w:t>2</w:t>
      </w:r>
      <w:r>
        <w:rPr>
          <w:color w:val="auto"/>
          <w:sz w:val="24"/>
        </w:rPr>
        <w:t>-</w:t>
      </w:r>
      <w:r>
        <w:rPr>
          <w:rFonts w:hint="eastAsia"/>
          <w:color w:val="auto"/>
          <w:sz w:val="24"/>
        </w:rPr>
        <w:t>4。</w:t>
      </w:r>
    </w:p>
    <w:p>
      <w:pPr>
        <w:pStyle w:val="2"/>
        <w:rPr>
          <w:rFonts w:hint="eastAsia"/>
          <w:color w:val="auto"/>
          <w:sz w:val="24"/>
        </w:rPr>
      </w:pPr>
    </w:p>
    <w:p>
      <w:pPr>
        <w:pStyle w:val="2"/>
        <w:rPr>
          <w:rFonts w:hint="eastAsia"/>
          <w:color w:val="auto"/>
          <w:sz w:val="24"/>
        </w:rPr>
      </w:pPr>
    </w:p>
    <w:p>
      <w:pPr>
        <w:adjustRightInd w:val="0"/>
        <w:snapToGrid w:val="0"/>
        <w:spacing w:line="360" w:lineRule="auto"/>
        <w:jc w:val="center"/>
        <w:rPr>
          <w:b/>
          <w:color w:val="auto"/>
          <w:sz w:val="24"/>
        </w:rPr>
      </w:pPr>
      <w:r>
        <w:rPr>
          <w:rFonts w:hint="eastAsia"/>
          <w:b/>
          <w:color w:val="auto"/>
          <w:sz w:val="24"/>
        </w:rPr>
        <w:t>表5.2-4  拟建项目能源、药剂消耗情况</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550"/>
        <w:gridCol w:w="1762"/>
        <w:gridCol w:w="1959"/>
        <w:gridCol w:w="1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843" w:type="dxa"/>
            <w:gridSpan w:val="2"/>
            <w:vAlign w:val="center"/>
          </w:tcPr>
          <w:p>
            <w:pPr>
              <w:pStyle w:val="41"/>
              <w:rPr>
                <w:color w:val="auto"/>
              </w:rPr>
            </w:pPr>
            <w:r>
              <w:rPr>
                <w:color w:val="auto"/>
              </w:rPr>
              <w:t>主要原辅材料名称</w:t>
            </w:r>
          </w:p>
        </w:tc>
        <w:tc>
          <w:tcPr>
            <w:tcW w:w="1762" w:type="dxa"/>
            <w:vAlign w:val="center"/>
          </w:tcPr>
          <w:p>
            <w:pPr>
              <w:pStyle w:val="41"/>
              <w:rPr>
                <w:color w:val="auto"/>
              </w:rPr>
            </w:pPr>
            <w:r>
              <w:rPr>
                <w:color w:val="auto"/>
              </w:rPr>
              <w:t>总用量</w:t>
            </w:r>
          </w:p>
        </w:tc>
        <w:tc>
          <w:tcPr>
            <w:tcW w:w="1959" w:type="dxa"/>
            <w:vAlign w:val="center"/>
          </w:tcPr>
          <w:p>
            <w:pPr>
              <w:pStyle w:val="41"/>
              <w:rPr>
                <w:color w:val="auto"/>
              </w:rPr>
            </w:pPr>
            <w:r>
              <w:rPr>
                <w:color w:val="auto"/>
              </w:rPr>
              <w:t>储存量</w:t>
            </w:r>
          </w:p>
        </w:tc>
        <w:tc>
          <w:tcPr>
            <w:tcW w:w="1722" w:type="dxa"/>
            <w:vAlign w:val="center"/>
          </w:tcPr>
          <w:p>
            <w:pPr>
              <w:pStyle w:val="41"/>
              <w:rPr>
                <w:color w:val="auto"/>
              </w:rPr>
            </w:pPr>
            <w:r>
              <w:rPr>
                <w:color w:val="auto"/>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restart"/>
            <w:tcBorders>
              <w:right w:val="single" w:color="auto" w:sz="2" w:space="0"/>
            </w:tcBorders>
            <w:vAlign w:val="center"/>
          </w:tcPr>
          <w:p>
            <w:pPr>
              <w:pStyle w:val="41"/>
              <w:rPr>
                <w:color w:val="auto"/>
              </w:rPr>
            </w:pPr>
            <w:r>
              <w:rPr>
                <w:color w:val="auto"/>
              </w:rPr>
              <w:t>原辅材料</w:t>
            </w:r>
          </w:p>
        </w:tc>
        <w:tc>
          <w:tcPr>
            <w:tcW w:w="2550" w:type="dxa"/>
            <w:tcBorders>
              <w:left w:val="single" w:color="auto" w:sz="2" w:space="0"/>
            </w:tcBorders>
            <w:vAlign w:val="center"/>
          </w:tcPr>
          <w:p>
            <w:pPr>
              <w:pStyle w:val="41"/>
              <w:rPr>
                <w:color w:val="auto"/>
              </w:rPr>
            </w:pPr>
            <w:r>
              <w:rPr>
                <w:color w:val="auto"/>
              </w:rPr>
              <w:t>工业硫酸</w:t>
            </w:r>
          </w:p>
        </w:tc>
        <w:tc>
          <w:tcPr>
            <w:tcW w:w="1762" w:type="dxa"/>
            <w:vAlign w:val="center"/>
          </w:tcPr>
          <w:p>
            <w:pPr>
              <w:pStyle w:val="41"/>
              <w:rPr>
                <w:color w:val="auto"/>
              </w:rPr>
            </w:pPr>
            <w:r>
              <w:rPr>
                <w:color w:val="auto"/>
              </w:rPr>
              <w:t>26.25t/a</w:t>
            </w:r>
          </w:p>
        </w:tc>
        <w:tc>
          <w:tcPr>
            <w:tcW w:w="1959" w:type="dxa"/>
            <w:vAlign w:val="center"/>
          </w:tcPr>
          <w:p>
            <w:pPr>
              <w:pStyle w:val="41"/>
              <w:rPr>
                <w:color w:val="auto"/>
              </w:rPr>
            </w:pPr>
            <w:r>
              <w:rPr>
                <w:rFonts w:hint="eastAsia"/>
                <w:color w:val="auto"/>
              </w:rPr>
              <w:t>100kg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SF-301 钢铁化学除油粉</w:t>
            </w:r>
          </w:p>
        </w:tc>
        <w:tc>
          <w:tcPr>
            <w:tcW w:w="1762" w:type="dxa"/>
            <w:vAlign w:val="center"/>
          </w:tcPr>
          <w:p>
            <w:pPr>
              <w:pStyle w:val="41"/>
              <w:rPr>
                <w:color w:val="auto"/>
              </w:rPr>
            </w:pPr>
            <w:r>
              <w:rPr>
                <w:rFonts w:hint="eastAsia"/>
                <w:color w:val="auto"/>
              </w:rPr>
              <w:t>2.4</w:t>
            </w:r>
            <w:r>
              <w:rPr>
                <w:color w:val="auto"/>
              </w:rPr>
              <w:t>t/a</w:t>
            </w:r>
          </w:p>
        </w:tc>
        <w:tc>
          <w:tcPr>
            <w:tcW w:w="1959" w:type="dxa"/>
            <w:vAlign w:val="center"/>
          </w:tcPr>
          <w:p>
            <w:pPr>
              <w:pStyle w:val="41"/>
              <w:rPr>
                <w:color w:val="auto"/>
              </w:rPr>
            </w:pPr>
            <w:r>
              <w:rPr>
                <w:rFonts w:hint="eastAsia"/>
                <w:color w:val="auto"/>
              </w:rPr>
              <w:t>200kg</w:t>
            </w:r>
          </w:p>
        </w:tc>
        <w:tc>
          <w:tcPr>
            <w:tcW w:w="1722" w:type="dxa"/>
            <w:vAlign w:val="center"/>
          </w:tcPr>
          <w:p>
            <w:pPr>
              <w:pStyle w:val="41"/>
              <w:rPr>
                <w:color w:val="auto"/>
              </w:rPr>
            </w:pPr>
            <w:r>
              <w:rPr>
                <w:rFonts w:hint="eastAsia"/>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铬酸</w:t>
            </w:r>
            <w:r>
              <w:rPr>
                <w:rFonts w:hint="eastAsia"/>
                <w:color w:val="auto"/>
              </w:rPr>
              <w:t>酐</w:t>
            </w:r>
            <w:r>
              <w:rPr>
                <w:color w:val="auto"/>
              </w:rPr>
              <w:t>（99.8%）</w:t>
            </w:r>
          </w:p>
        </w:tc>
        <w:tc>
          <w:tcPr>
            <w:tcW w:w="1762" w:type="dxa"/>
            <w:vAlign w:val="center"/>
          </w:tcPr>
          <w:p>
            <w:pPr>
              <w:pStyle w:val="41"/>
              <w:rPr>
                <w:color w:val="auto"/>
              </w:rPr>
            </w:pPr>
            <w:r>
              <w:rPr>
                <w:rFonts w:hint="eastAsia"/>
                <w:color w:val="auto"/>
              </w:rPr>
              <w:t>0.</w:t>
            </w:r>
            <w:r>
              <w:rPr>
                <w:color w:val="auto"/>
              </w:rPr>
              <w:t>5t/a</w:t>
            </w:r>
          </w:p>
        </w:tc>
        <w:tc>
          <w:tcPr>
            <w:tcW w:w="1959" w:type="dxa"/>
            <w:vAlign w:val="center"/>
          </w:tcPr>
          <w:p>
            <w:pPr>
              <w:pStyle w:val="41"/>
              <w:rPr>
                <w:color w:val="auto"/>
              </w:rPr>
            </w:pPr>
            <w:r>
              <w:rPr>
                <w:rFonts w:hint="eastAsia"/>
                <w:color w:val="auto"/>
              </w:rPr>
              <w:t>50kg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氢氧化钠</w:t>
            </w:r>
          </w:p>
        </w:tc>
        <w:tc>
          <w:tcPr>
            <w:tcW w:w="1762" w:type="dxa"/>
            <w:vAlign w:val="center"/>
          </w:tcPr>
          <w:p>
            <w:pPr>
              <w:pStyle w:val="41"/>
              <w:rPr>
                <w:color w:val="auto"/>
              </w:rPr>
            </w:pPr>
            <w:r>
              <w:rPr>
                <w:color w:val="auto"/>
              </w:rPr>
              <w:t>7.5t/a</w:t>
            </w:r>
          </w:p>
        </w:tc>
        <w:tc>
          <w:tcPr>
            <w:tcW w:w="1959" w:type="dxa"/>
            <w:vAlign w:val="center"/>
          </w:tcPr>
          <w:p>
            <w:pPr>
              <w:pStyle w:val="41"/>
              <w:rPr>
                <w:color w:val="auto"/>
              </w:rPr>
            </w:pPr>
            <w:r>
              <w:rPr>
                <w:color w:val="auto"/>
              </w:rPr>
              <w:t>500kg</w:t>
            </w:r>
          </w:p>
        </w:tc>
        <w:tc>
          <w:tcPr>
            <w:tcW w:w="1722" w:type="dxa"/>
            <w:vAlign w:val="center"/>
          </w:tcPr>
          <w:p>
            <w:pPr>
              <w:pStyle w:val="41"/>
              <w:rPr>
                <w:color w:val="auto"/>
              </w:rPr>
            </w:pPr>
            <w:r>
              <w:rPr>
                <w:color w:val="auto"/>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防蚀剂</w:t>
            </w:r>
          </w:p>
        </w:tc>
        <w:tc>
          <w:tcPr>
            <w:tcW w:w="1762" w:type="dxa"/>
            <w:vAlign w:val="center"/>
          </w:tcPr>
          <w:p>
            <w:pPr>
              <w:pStyle w:val="41"/>
              <w:rPr>
                <w:color w:val="auto"/>
              </w:rPr>
            </w:pPr>
            <w:r>
              <w:rPr>
                <w:rFonts w:hint="eastAsia"/>
                <w:color w:val="auto"/>
              </w:rPr>
              <w:t>1.2</w:t>
            </w:r>
            <w:r>
              <w:rPr>
                <w:color w:val="auto"/>
              </w:rPr>
              <w:t>t/a</w:t>
            </w:r>
          </w:p>
        </w:tc>
        <w:tc>
          <w:tcPr>
            <w:tcW w:w="1959" w:type="dxa"/>
            <w:vAlign w:val="center"/>
          </w:tcPr>
          <w:p>
            <w:pPr>
              <w:pStyle w:val="41"/>
              <w:rPr>
                <w:color w:val="auto"/>
              </w:rPr>
            </w:pPr>
            <w:r>
              <w:rPr>
                <w:rFonts w:hint="eastAsia"/>
                <w:color w:val="auto"/>
              </w:rPr>
              <w:t>2</w:t>
            </w:r>
            <w:r>
              <w:rPr>
                <w:color w:val="auto"/>
              </w:rPr>
              <w:t>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氢氟酸</w:t>
            </w:r>
          </w:p>
        </w:tc>
        <w:tc>
          <w:tcPr>
            <w:tcW w:w="1762" w:type="dxa"/>
            <w:vAlign w:val="center"/>
          </w:tcPr>
          <w:p>
            <w:pPr>
              <w:pStyle w:val="41"/>
              <w:rPr>
                <w:color w:val="auto"/>
              </w:rPr>
            </w:pPr>
            <w:r>
              <w:rPr>
                <w:rFonts w:hint="eastAsia"/>
                <w:color w:val="auto"/>
              </w:rPr>
              <w:t>1.2</w:t>
            </w:r>
            <w:r>
              <w:rPr>
                <w:color w:val="auto"/>
              </w:rPr>
              <w:t>t/a</w:t>
            </w:r>
          </w:p>
        </w:tc>
        <w:tc>
          <w:tcPr>
            <w:tcW w:w="1959" w:type="dxa"/>
            <w:vAlign w:val="center"/>
          </w:tcPr>
          <w:p>
            <w:pPr>
              <w:pStyle w:val="41"/>
              <w:rPr>
                <w:color w:val="auto"/>
              </w:rPr>
            </w:pPr>
            <w:r>
              <w:rPr>
                <w:rFonts w:hint="eastAsia"/>
                <w:color w:val="auto"/>
              </w:rPr>
              <w:t>100kg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硝酸</w:t>
            </w:r>
          </w:p>
        </w:tc>
        <w:tc>
          <w:tcPr>
            <w:tcW w:w="1762" w:type="dxa"/>
            <w:vAlign w:val="center"/>
          </w:tcPr>
          <w:p>
            <w:pPr>
              <w:pStyle w:val="41"/>
              <w:rPr>
                <w:color w:val="auto"/>
              </w:rPr>
            </w:pPr>
            <w:r>
              <w:rPr>
                <w:rFonts w:hint="eastAsia"/>
                <w:color w:val="auto"/>
              </w:rPr>
              <w:t>1.8</w:t>
            </w:r>
            <w:r>
              <w:rPr>
                <w:color w:val="auto"/>
              </w:rPr>
              <w:t>t/a</w:t>
            </w:r>
          </w:p>
        </w:tc>
        <w:tc>
          <w:tcPr>
            <w:tcW w:w="1959" w:type="dxa"/>
            <w:vAlign w:val="center"/>
          </w:tcPr>
          <w:p>
            <w:pPr>
              <w:pStyle w:val="41"/>
              <w:rPr>
                <w:color w:val="auto"/>
              </w:rPr>
            </w:pPr>
            <w:r>
              <w:rPr>
                <w:rFonts w:hint="eastAsia"/>
                <w:color w:val="auto"/>
              </w:rPr>
              <w:t>100kg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草酸</w:t>
            </w:r>
          </w:p>
        </w:tc>
        <w:tc>
          <w:tcPr>
            <w:tcW w:w="1762" w:type="dxa"/>
            <w:vAlign w:val="center"/>
          </w:tcPr>
          <w:p>
            <w:pPr>
              <w:pStyle w:val="41"/>
              <w:rPr>
                <w:color w:val="auto"/>
              </w:rPr>
            </w:pPr>
            <w:r>
              <w:rPr>
                <w:rFonts w:hint="eastAsia"/>
                <w:color w:val="auto"/>
              </w:rPr>
              <w:t>1.5</w:t>
            </w:r>
            <w:r>
              <w:rPr>
                <w:color w:val="auto"/>
              </w:rPr>
              <w:t>t/a</w:t>
            </w:r>
          </w:p>
        </w:tc>
        <w:tc>
          <w:tcPr>
            <w:tcW w:w="1959" w:type="dxa"/>
            <w:vAlign w:val="center"/>
          </w:tcPr>
          <w:p>
            <w:pPr>
              <w:pStyle w:val="41"/>
              <w:rPr>
                <w:color w:val="auto"/>
              </w:rPr>
            </w:pPr>
            <w:r>
              <w:rPr>
                <w:rFonts w:hint="eastAsia"/>
                <w:color w:val="auto"/>
              </w:rPr>
              <w:t>100kg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表调剂</w:t>
            </w:r>
          </w:p>
        </w:tc>
        <w:tc>
          <w:tcPr>
            <w:tcW w:w="1762" w:type="dxa"/>
            <w:vAlign w:val="center"/>
          </w:tcPr>
          <w:p>
            <w:pPr>
              <w:pStyle w:val="41"/>
              <w:rPr>
                <w:color w:val="auto"/>
              </w:rPr>
            </w:pPr>
            <w:r>
              <w:rPr>
                <w:rFonts w:hint="eastAsia"/>
                <w:color w:val="auto"/>
              </w:rPr>
              <w:t>1.0</w:t>
            </w:r>
            <w:r>
              <w:rPr>
                <w:color w:val="auto"/>
              </w:rPr>
              <w:t>t/a</w:t>
            </w:r>
          </w:p>
        </w:tc>
        <w:tc>
          <w:tcPr>
            <w:tcW w:w="1959" w:type="dxa"/>
            <w:vAlign w:val="center"/>
          </w:tcPr>
          <w:p>
            <w:pPr>
              <w:pStyle w:val="41"/>
              <w:rPr>
                <w:color w:val="auto"/>
              </w:rPr>
            </w:pPr>
            <w:r>
              <w:rPr>
                <w:rFonts w:hint="eastAsia"/>
                <w:color w:val="auto"/>
              </w:rPr>
              <w:t>100kg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三价铬蓝白钝化剂</w:t>
            </w:r>
          </w:p>
        </w:tc>
        <w:tc>
          <w:tcPr>
            <w:tcW w:w="1762" w:type="dxa"/>
            <w:vAlign w:val="center"/>
          </w:tcPr>
          <w:p>
            <w:pPr>
              <w:pStyle w:val="41"/>
              <w:rPr>
                <w:color w:val="auto"/>
              </w:rPr>
            </w:pPr>
            <w:r>
              <w:rPr>
                <w:rFonts w:hint="eastAsia"/>
                <w:color w:val="auto"/>
              </w:rPr>
              <w:t>4.8t/a</w:t>
            </w:r>
          </w:p>
        </w:tc>
        <w:tc>
          <w:tcPr>
            <w:tcW w:w="1959" w:type="dxa"/>
            <w:vAlign w:val="center"/>
          </w:tcPr>
          <w:p>
            <w:pPr>
              <w:pStyle w:val="41"/>
              <w:rPr>
                <w:color w:val="auto"/>
              </w:rPr>
            </w:pPr>
            <w:r>
              <w:rPr>
                <w:rFonts w:hint="eastAsia"/>
                <w:color w:val="auto"/>
              </w:rPr>
              <w:t>100kg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硫酸铜</w:t>
            </w:r>
          </w:p>
        </w:tc>
        <w:tc>
          <w:tcPr>
            <w:tcW w:w="1762" w:type="dxa"/>
            <w:vAlign w:val="center"/>
          </w:tcPr>
          <w:p>
            <w:pPr>
              <w:pStyle w:val="41"/>
              <w:rPr>
                <w:color w:val="auto"/>
              </w:rPr>
            </w:pPr>
            <w:r>
              <w:rPr>
                <w:color w:val="auto"/>
              </w:rPr>
              <w:t>7.5t/a</w:t>
            </w:r>
          </w:p>
        </w:tc>
        <w:tc>
          <w:tcPr>
            <w:tcW w:w="1959" w:type="dxa"/>
            <w:vAlign w:val="center"/>
          </w:tcPr>
          <w:p>
            <w:pPr>
              <w:pStyle w:val="41"/>
              <w:rPr>
                <w:color w:val="auto"/>
              </w:rPr>
            </w:pPr>
            <w:r>
              <w:rPr>
                <w:color w:val="auto"/>
              </w:rPr>
              <w:t>500kg</w:t>
            </w:r>
          </w:p>
        </w:tc>
        <w:tc>
          <w:tcPr>
            <w:tcW w:w="1722" w:type="dxa"/>
            <w:vAlign w:val="center"/>
          </w:tcPr>
          <w:p>
            <w:pPr>
              <w:pStyle w:val="41"/>
              <w:rPr>
                <w:color w:val="auto"/>
              </w:rPr>
            </w:pPr>
            <w:r>
              <w:rPr>
                <w:color w:val="auto"/>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酒石</w:t>
            </w:r>
          </w:p>
        </w:tc>
        <w:tc>
          <w:tcPr>
            <w:tcW w:w="1762" w:type="dxa"/>
            <w:vAlign w:val="center"/>
          </w:tcPr>
          <w:p>
            <w:pPr>
              <w:pStyle w:val="41"/>
              <w:rPr>
                <w:color w:val="auto"/>
              </w:rPr>
            </w:pPr>
            <w:r>
              <w:rPr>
                <w:color w:val="auto"/>
              </w:rPr>
              <w:t>3.6t/a</w:t>
            </w:r>
          </w:p>
        </w:tc>
        <w:tc>
          <w:tcPr>
            <w:tcW w:w="1959" w:type="dxa"/>
            <w:vAlign w:val="center"/>
          </w:tcPr>
          <w:p>
            <w:pPr>
              <w:pStyle w:val="41"/>
              <w:rPr>
                <w:color w:val="auto"/>
              </w:rPr>
            </w:pPr>
            <w:r>
              <w:rPr>
                <w:color w:val="auto"/>
              </w:rPr>
              <w:t>500kg</w:t>
            </w:r>
          </w:p>
        </w:tc>
        <w:tc>
          <w:tcPr>
            <w:tcW w:w="1722" w:type="dxa"/>
            <w:vAlign w:val="center"/>
          </w:tcPr>
          <w:p>
            <w:pPr>
              <w:pStyle w:val="41"/>
              <w:rPr>
                <w:color w:val="auto"/>
              </w:rPr>
            </w:pPr>
            <w:r>
              <w:rPr>
                <w:color w:val="auto"/>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盐酸</w:t>
            </w:r>
          </w:p>
        </w:tc>
        <w:tc>
          <w:tcPr>
            <w:tcW w:w="1762" w:type="dxa"/>
            <w:vAlign w:val="center"/>
          </w:tcPr>
          <w:p>
            <w:pPr>
              <w:pStyle w:val="41"/>
              <w:rPr>
                <w:color w:val="auto"/>
              </w:rPr>
            </w:pPr>
            <w:r>
              <w:rPr>
                <w:color w:val="auto"/>
              </w:rPr>
              <w:t>1.2t/a</w:t>
            </w:r>
          </w:p>
        </w:tc>
        <w:tc>
          <w:tcPr>
            <w:tcW w:w="1959" w:type="dxa"/>
            <w:vAlign w:val="center"/>
          </w:tcPr>
          <w:p>
            <w:pPr>
              <w:pStyle w:val="41"/>
              <w:rPr>
                <w:color w:val="auto"/>
              </w:rPr>
            </w:pPr>
            <w:r>
              <w:rPr>
                <w:rFonts w:hint="eastAsia"/>
                <w:color w:val="auto"/>
              </w:rPr>
              <w:t>50</w:t>
            </w:r>
            <w:r>
              <w:rPr>
                <w:color w:val="auto"/>
              </w:rPr>
              <w:t>kg</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光亮添加剂</w:t>
            </w:r>
          </w:p>
        </w:tc>
        <w:tc>
          <w:tcPr>
            <w:tcW w:w="1762" w:type="dxa"/>
            <w:vAlign w:val="center"/>
          </w:tcPr>
          <w:p>
            <w:pPr>
              <w:pStyle w:val="41"/>
              <w:rPr>
                <w:color w:val="auto"/>
              </w:rPr>
            </w:pPr>
            <w:r>
              <w:rPr>
                <w:color w:val="auto"/>
              </w:rPr>
              <w:t>11.25t/a</w:t>
            </w:r>
          </w:p>
        </w:tc>
        <w:tc>
          <w:tcPr>
            <w:tcW w:w="1959" w:type="dxa"/>
            <w:vAlign w:val="center"/>
          </w:tcPr>
          <w:p>
            <w:pPr>
              <w:pStyle w:val="41"/>
              <w:rPr>
                <w:color w:val="auto"/>
              </w:rPr>
            </w:pPr>
            <w:r>
              <w:rPr>
                <w:color w:val="auto"/>
              </w:rPr>
              <w:t>1t</w:t>
            </w:r>
          </w:p>
        </w:tc>
        <w:tc>
          <w:tcPr>
            <w:tcW w:w="1722" w:type="dxa"/>
            <w:vAlign w:val="center"/>
          </w:tcPr>
          <w:p>
            <w:pPr>
              <w:pStyle w:val="41"/>
              <w:rPr>
                <w:color w:val="auto"/>
              </w:rPr>
            </w:pPr>
            <w:r>
              <w:rPr>
                <w:color w:val="auto"/>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氰化亚铜</w:t>
            </w:r>
          </w:p>
        </w:tc>
        <w:tc>
          <w:tcPr>
            <w:tcW w:w="1762" w:type="dxa"/>
            <w:vAlign w:val="center"/>
          </w:tcPr>
          <w:p>
            <w:pPr>
              <w:pStyle w:val="41"/>
              <w:rPr>
                <w:color w:val="auto"/>
              </w:rPr>
            </w:pPr>
            <w:r>
              <w:rPr>
                <w:rFonts w:hint="eastAsia"/>
                <w:color w:val="auto"/>
              </w:rPr>
              <w:t>0.6</w:t>
            </w:r>
            <w:r>
              <w:rPr>
                <w:color w:val="auto"/>
              </w:rPr>
              <w:t>t/a</w:t>
            </w:r>
          </w:p>
        </w:tc>
        <w:tc>
          <w:tcPr>
            <w:tcW w:w="1959" w:type="dxa"/>
            <w:vAlign w:val="center"/>
          </w:tcPr>
          <w:p>
            <w:pPr>
              <w:pStyle w:val="41"/>
              <w:rPr>
                <w:color w:val="auto"/>
              </w:rPr>
            </w:pPr>
            <w:r>
              <w:rPr>
                <w:rFonts w:hint="eastAsia"/>
                <w:color w:val="auto"/>
              </w:rPr>
              <w:t>1</w:t>
            </w:r>
            <w:r>
              <w:rPr>
                <w:color w:val="auto"/>
              </w:rPr>
              <w:t>00kg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rFonts w:hint="eastAsia"/>
                <w:color w:val="auto"/>
              </w:rPr>
              <w:t>氰化钠</w:t>
            </w:r>
          </w:p>
        </w:tc>
        <w:tc>
          <w:tcPr>
            <w:tcW w:w="1762" w:type="dxa"/>
            <w:vAlign w:val="center"/>
          </w:tcPr>
          <w:p>
            <w:pPr>
              <w:pStyle w:val="41"/>
              <w:rPr>
                <w:color w:val="auto"/>
              </w:rPr>
            </w:pPr>
            <w:r>
              <w:rPr>
                <w:rFonts w:hint="eastAsia"/>
                <w:color w:val="auto"/>
              </w:rPr>
              <w:t>0.6</w:t>
            </w:r>
            <w:r>
              <w:rPr>
                <w:color w:val="auto"/>
              </w:rPr>
              <w:t>t/a</w:t>
            </w:r>
          </w:p>
        </w:tc>
        <w:tc>
          <w:tcPr>
            <w:tcW w:w="1959" w:type="dxa"/>
            <w:vAlign w:val="center"/>
          </w:tcPr>
          <w:p>
            <w:pPr>
              <w:pStyle w:val="41"/>
              <w:rPr>
                <w:color w:val="auto"/>
              </w:rPr>
            </w:pPr>
            <w:r>
              <w:rPr>
                <w:rFonts w:hint="eastAsia"/>
                <w:color w:val="auto"/>
              </w:rPr>
              <w:t>3</w:t>
            </w:r>
            <w:r>
              <w:rPr>
                <w:color w:val="auto"/>
              </w:rPr>
              <w:t>0kg</w:t>
            </w:r>
          </w:p>
        </w:tc>
        <w:tc>
          <w:tcPr>
            <w:tcW w:w="1722" w:type="dxa"/>
            <w:vAlign w:val="center"/>
          </w:tcPr>
          <w:p>
            <w:pPr>
              <w:pStyle w:val="41"/>
              <w:rPr>
                <w:color w:val="auto"/>
              </w:rPr>
            </w:pPr>
            <w:r>
              <w:rPr>
                <w:rFonts w:hint="eastAsia"/>
                <w:color w:val="auto"/>
              </w:rPr>
              <w:t>铁桶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氯化镍</w:t>
            </w:r>
          </w:p>
        </w:tc>
        <w:tc>
          <w:tcPr>
            <w:tcW w:w="1762" w:type="dxa"/>
            <w:vAlign w:val="center"/>
          </w:tcPr>
          <w:p>
            <w:pPr>
              <w:pStyle w:val="41"/>
              <w:rPr>
                <w:color w:val="auto"/>
              </w:rPr>
            </w:pPr>
            <w:r>
              <w:rPr>
                <w:rFonts w:hint="eastAsia"/>
                <w:color w:val="auto"/>
              </w:rPr>
              <w:t>1.8</w:t>
            </w:r>
            <w:r>
              <w:rPr>
                <w:color w:val="auto"/>
              </w:rPr>
              <w:t>t/a</w:t>
            </w:r>
          </w:p>
        </w:tc>
        <w:tc>
          <w:tcPr>
            <w:tcW w:w="1959" w:type="dxa"/>
            <w:vAlign w:val="center"/>
          </w:tcPr>
          <w:p>
            <w:pPr>
              <w:pStyle w:val="41"/>
              <w:rPr>
                <w:color w:val="auto"/>
              </w:rPr>
            </w:pPr>
            <w:r>
              <w:rPr>
                <w:rFonts w:hint="eastAsia"/>
                <w:color w:val="auto"/>
              </w:rPr>
              <w:t>3</w:t>
            </w:r>
            <w:r>
              <w:rPr>
                <w:color w:val="auto"/>
              </w:rPr>
              <w:t>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硼酸</w:t>
            </w:r>
          </w:p>
        </w:tc>
        <w:tc>
          <w:tcPr>
            <w:tcW w:w="1762" w:type="dxa"/>
            <w:vAlign w:val="center"/>
          </w:tcPr>
          <w:p>
            <w:pPr>
              <w:pStyle w:val="41"/>
              <w:rPr>
                <w:color w:val="auto"/>
              </w:rPr>
            </w:pPr>
            <w:r>
              <w:rPr>
                <w:color w:val="auto"/>
              </w:rPr>
              <w:t>3.6t/a</w:t>
            </w:r>
          </w:p>
        </w:tc>
        <w:tc>
          <w:tcPr>
            <w:tcW w:w="1959" w:type="dxa"/>
            <w:vAlign w:val="center"/>
          </w:tcPr>
          <w:p>
            <w:pPr>
              <w:pStyle w:val="41"/>
              <w:rPr>
                <w:color w:val="auto"/>
              </w:rPr>
            </w:pPr>
            <w:r>
              <w:rPr>
                <w:rFonts w:hint="eastAsia"/>
                <w:color w:val="auto"/>
              </w:rPr>
              <w:t>1</w:t>
            </w:r>
            <w:r>
              <w:rPr>
                <w:color w:val="auto"/>
              </w:rPr>
              <w:t>00kg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硫酸镍</w:t>
            </w:r>
          </w:p>
        </w:tc>
        <w:tc>
          <w:tcPr>
            <w:tcW w:w="1762" w:type="dxa"/>
            <w:vAlign w:val="center"/>
          </w:tcPr>
          <w:p>
            <w:pPr>
              <w:pStyle w:val="41"/>
              <w:rPr>
                <w:color w:val="auto"/>
              </w:rPr>
            </w:pPr>
            <w:r>
              <w:rPr>
                <w:rFonts w:hint="eastAsia"/>
                <w:color w:val="auto"/>
              </w:rPr>
              <w:t>1.8</w:t>
            </w:r>
            <w:r>
              <w:rPr>
                <w:color w:val="auto"/>
              </w:rPr>
              <w:t>t/a</w:t>
            </w:r>
          </w:p>
        </w:tc>
        <w:tc>
          <w:tcPr>
            <w:tcW w:w="1959" w:type="dxa"/>
            <w:vAlign w:val="center"/>
          </w:tcPr>
          <w:p>
            <w:pPr>
              <w:pStyle w:val="41"/>
              <w:rPr>
                <w:color w:val="auto"/>
              </w:rPr>
            </w:pPr>
            <w:r>
              <w:rPr>
                <w:rFonts w:hint="eastAsia"/>
                <w:color w:val="auto"/>
              </w:rPr>
              <w:t>3</w:t>
            </w:r>
            <w:r>
              <w:rPr>
                <w:color w:val="auto"/>
              </w:rPr>
              <w:t>0kg</w:t>
            </w:r>
          </w:p>
        </w:tc>
        <w:tc>
          <w:tcPr>
            <w:tcW w:w="1722" w:type="dxa"/>
            <w:vAlign w:val="center"/>
          </w:tcPr>
          <w:p>
            <w:pPr>
              <w:pStyle w:val="41"/>
              <w:rPr>
                <w:color w:val="auto"/>
              </w:rPr>
            </w:pPr>
            <w:r>
              <w:rPr>
                <w:rFonts w:hint="eastAsia"/>
                <w:color w:val="auto"/>
              </w:rPr>
              <w:t>塑料真空包装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restart"/>
            <w:tcBorders>
              <w:right w:val="single" w:color="auto" w:sz="2" w:space="0"/>
            </w:tcBorders>
            <w:vAlign w:val="center"/>
          </w:tcPr>
          <w:p>
            <w:pPr>
              <w:pStyle w:val="41"/>
              <w:rPr>
                <w:color w:val="auto"/>
              </w:rPr>
            </w:pPr>
            <w:r>
              <w:rPr>
                <w:color w:val="auto"/>
              </w:rPr>
              <w:t>能源</w:t>
            </w:r>
          </w:p>
        </w:tc>
        <w:tc>
          <w:tcPr>
            <w:tcW w:w="2550" w:type="dxa"/>
            <w:tcBorders>
              <w:left w:val="single" w:color="auto" w:sz="2" w:space="0"/>
            </w:tcBorders>
            <w:vAlign w:val="center"/>
          </w:tcPr>
          <w:p>
            <w:pPr>
              <w:pStyle w:val="41"/>
              <w:rPr>
                <w:color w:val="auto"/>
              </w:rPr>
            </w:pPr>
            <w:r>
              <w:rPr>
                <w:color w:val="auto"/>
              </w:rPr>
              <w:t>水</w:t>
            </w:r>
          </w:p>
        </w:tc>
        <w:tc>
          <w:tcPr>
            <w:tcW w:w="1762" w:type="dxa"/>
            <w:vAlign w:val="center"/>
          </w:tcPr>
          <w:p>
            <w:pPr>
              <w:pStyle w:val="41"/>
              <w:rPr>
                <w:color w:val="auto"/>
              </w:rPr>
            </w:pPr>
            <w:r>
              <w:rPr>
                <w:rFonts w:hint="eastAsia"/>
                <w:color w:val="auto"/>
              </w:rPr>
              <w:t>9067</w:t>
            </w:r>
            <w:r>
              <w:rPr>
                <w:color w:val="auto"/>
              </w:rPr>
              <w:t>t/a</w:t>
            </w:r>
          </w:p>
        </w:tc>
        <w:tc>
          <w:tcPr>
            <w:tcW w:w="1959" w:type="dxa"/>
            <w:vAlign w:val="center"/>
          </w:tcPr>
          <w:p>
            <w:pPr>
              <w:pStyle w:val="41"/>
              <w:rPr>
                <w:color w:val="auto"/>
              </w:rPr>
            </w:pPr>
            <w:r>
              <w:rPr>
                <w:color w:val="auto"/>
              </w:rPr>
              <w:t>-</w:t>
            </w:r>
          </w:p>
        </w:tc>
        <w:tc>
          <w:tcPr>
            <w:tcW w:w="1722" w:type="dxa"/>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3" w:type="dxa"/>
            <w:vMerge w:val="continue"/>
            <w:tcBorders>
              <w:right w:val="single" w:color="auto" w:sz="2" w:space="0"/>
            </w:tcBorders>
            <w:vAlign w:val="center"/>
          </w:tcPr>
          <w:p>
            <w:pPr>
              <w:pStyle w:val="41"/>
              <w:rPr>
                <w:color w:val="auto"/>
              </w:rPr>
            </w:pPr>
          </w:p>
        </w:tc>
        <w:tc>
          <w:tcPr>
            <w:tcW w:w="2550" w:type="dxa"/>
            <w:tcBorders>
              <w:left w:val="single" w:color="auto" w:sz="2" w:space="0"/>
            </w:tcBorders>
            <w:vAlign w:val="center"/>
          </w:tcPr>
          <w:p>
            <w:pPr>
              <w:pStyle w:val="41"/>
              <w:rPr>
                <w:color w:val="auto"/>
              </w:rPr>
            </w:pPr>
            <w:r>
              <w:rPr>
                <w:color w:val="auto"/>
              </w:rPr>
              <w:t>电</w:t>
            </w:r>
          </w:p>
        </w:tc>
        <w:tc>
          <w:tcPr>
            <w:tcW w:w="1762" w:type="dxa"/>
            <w:vAlign w:val="center"/>
          </w:tcPr>
          <w:p>
            <w:pPr>
              <w:pStyle w:val="41"/>
              <w:rPr>
                <w:color w:val="auto"/>
              </w:rPr>
            </w:pPr>
            <w:r>
              <w:rPr>
                <w:rFonts w:hint="eastAsia"/>
                <w:color w:val="auto"/>
              </w:rPr>
              <w:t>5</w:t>
            </w:r>
            <w:r>
              <w:rPr>
                <w:color w:val="auto"/>
              </w:rPr>
              <w:t>0</w:t>
            </w:r>
            <w:r>
              <w:rPr>
                <w:rFonts w:hint="eastAsia"/>
                <w:color w:val="auto"/>
              </w:rPr>
              <w:t>万</w:t>
            </w:r>
            <w:r>
              <w:rPr>
                <w:color w:val="auto"/>
              </w:rPr>
              <w:t>kwh/a</w:t>
            </w:r>
          </w:p>
        </w:tc>
        <w:tc>
          <w:tcPr>
            <w:tcW w:w="1959" w:type="dxa"/>
            <w:vAlign w:val="center"/>
          </w:tcPr>
          <w:p>
            <w:pPr>
              <w:pStyle w:val="41"/>
              <w:rPr>
                <w:color w:val="auto"/>
              </w:rPr>
            </w:pPr>
            <w:r>
              <w:rPr>
                <w:color w:val="auto"/>
              </w:rPr>
              <w:t>-</w:t>
            </w:r>
          </w:p>
        </w:tc>
        <w:tc>
          <w:tcPr>
            <w:tcW w:w="1722" w:type="dxa"/>
            <w:vAlign w:val="center"/>
          </w:tcPr>
          <w:p>
            <w:pPr>
              <w:pStyle w:val="41"/>
              <w:rPr>
                <w:color w:val="auto"/>
              </w:rPr>
            </w:pPr>
          </w:p>
        </w:tc>
      </w:tr>
    </w:tbl>
    <w:p>
      <w:pPr>
        <w:spacing w:line="360" w:lineRule="auto"/>
        <w:rPr>
          <w:color w:val="auto"/>
        </w:rPr>
      </w:pPr>
    </w:p>
    <w:p>
      <w:pPr>
        <w:spacing w:line="360" w:lineRule="auto"/>
        <w:rPr>
          <w:b/>
          <w:color w:val="auto"/>
          <w:sz w:val="24"/>
        </w:rPr>
      </w:pPr>
      <w:r>
        <w:rPr>
          <w:b/>
          <w:color w:val="auto"/>
          <w:sz w:val="24"/>
        </w:rPr>
        <w:t>5.</w:t>
      </w:r>
      <w:r>
        <w:rPr>
          <w:rFonts w:hint="eastAsia"/>
          <w:b/>
          <w:color w:val="auto"/>
          <w:sz w:val="24"/>
        </w:rPr>
        <w:t>2</w:t>
      </w:r>
      <w:r>
        <w:rPr>
          <w:b/>
          <w:color w:val="auto"/>
          <w:sz w:val="24"/>
        </w:rPr>
        <w:t>.</w:t>
      </w:r>
      <w:r>
        <w:rPr>
          <w:rFonts w:hint="eastAsia"/>
          <w:b/>
          <w:color w:val="auto"/>
          <w:sz w:val="24"/>
        </w:rPr>
        <w:t>4生产工艺流程及产污</w:t>
      </w:r>
      <w:r>
        <w:rPr>
          <w:b/>
          <w:color w:val="auto"/>
          <w:sz w:val="24"/>
        </w:rPr>
        <w:t>环节</w:t>
      </w:r>
    </w:p>
    <w:p>
      <w:pPr>
        <w:spacing w:line="360" w:lineRule="auto"/>
        <w:ind w:firstLine="480" w:firstLineChars="200"/>
        <w:rPr>
          <w:rFonts w:hAnsi="宋体"/>
          <w:color w:val="auto"/>
          <w:sz w:val="24"/>
        </w:rPr>
      </w:pPr>
      <w:r>
        <w:rPr>
          <w:rFonts w:hint="eastAsia" w:hAnsi="宋体"/>
          <w:color w:val="auto"/>
          <w:sz w:val="24"/>
        </w:rPr>
        <w:t>（1）生产工艺流程</w:t>
      </w:r>
    </w:p>
    <w:p>
      <w:pPr>
        <w:spacing w:line="360" w:lineRule="auto"/>
        <w:ind w:firstLine="480" w:firstLineChars="200"/>
        <w:rPr>
          <w:rFonts w:hAnsi="宋体"/>
          <w:color w:val="auto"/>
          <w:sz w:val="24"/>
        </w:rPr>
        <w:sectPr>
          <w:pgSz w:w="11906" w:h="16838"/>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r>
        <w:rPr>
          <w:rFonts w:hint="eastAsia" w:hAnsi="宋体"/>
          <w:color w:val="auto"/>
          <w:sz w:val="24"/>
        </w:rPr>
        <w:t>拟建工程共设置4条生产线，分别为龙门挂锌合金钝化</w:t>
      </w:r>
      <w:r>
        <w:rPr>
          <w:rFonts w:hAnsi="宋体"/>
          <w:color w:val="auto"/>
          <w:sz w:val="24"/>
        </w:rPr>
        <w:t>生产</w:t>
      </w:r>
      <w:r>
        <w:rPr>
          <w:rFonts w:hint="eastAsia" w:hAnsi="宋体"/>
          <w:color w:val="auto"/>
          <w:sz w:val="24"/>
        </w:rPr>
        <w:t>线、龙门挂铝合金氧化</w:t>
      </w:r>
      <w:r>
        <w:rPr>
          <w:rFonts w:hAnsi="宋体"/>
          <w:color w:val="auto"/>
          <w:sz w:val="24"/>
        </w:rPr>
        <w:t>生产</w:t>
      </w:r>
      <w:r>
        <w:rPr>
          <w:rFonts w:hint="eastAsia" w:hAnsi="宋体"/>
          <w:color w:val="auto"/>
          <w:sz w:val="24"/>
        </w:rPr>
        <w:t>线、半自动滚镀铜、镍生产线和手动锌合金钝化线，各条生产线</w:t>
      </w:r>
      <w:r>
        <w:rPr>
          <w:rFonts w:hAnsi="宋体"/>
          <w:color w:val="auto"/>
          <w:sz w:val="24"/>
        </w:rPr>
        <w:t>生产工艺流程图如下</w:t>
      </w:r>
      <w:r>
        <w:rPr>
          <w:rFonts w:hint="eastAsia" w:hAnsi="宋体"/>
          <w:color w:val="auto"/>
          <w:sz w:val="24"/>
        </w:rPr>
        <w:t>：</w:t>
      </w:r>
    </w:p>
    <w:p>
      <w:pPr>
        <w:spacing w:line="360" w:lineRule="auto"/>
        <w:ind w:firstLine="482" w:firstLineChars="200"/>
        <w:rPr>
          <w:rFonts w:hAnsi="宋体"/>
          <w:b/>
          <w:color w:val="auto"/>
          <w:sz w:val="24"/>
        </w:rPr>
      </w:pPr>
      <w:r>
        <w:rPr>
          <w:rFonts w:hint="eastAsia" w:ascii="宋体" w:hAnsi="宋体" w:cs="宋体"/>
          <w:b/>
          <w:color w:val="auto"/>
          <w:sz w:val="24"/>
        </w:rPr>
        <w:t xml:space="preserve">① </w:t>
      </w:r>
      <w:r>
        <w:rPr>
          <w:rFonts w:hint="eastAsia" w:hAnsi="宋体"/>
          <w:b/>
          <w:color w:val="auto"/>
          <w:sz w:val="24"/>
        </w:rPr>
        <w:t>龙门挂锌合金钝化</w:t>
      </w:r>
      <w:r>
        <w:rPr>
          <w:rFonts w:hAnsi="宋体"/>
          <w:b/>
          <w:color w:val="auto"/>
          <w:sz w:val="24"/>
        </w:rPr>
        <w:t>生产</w:t>
      </w:r>
      <w:r>
        <w:rPr>
          <w:rFonts w:hint="eastAsia" w:hAnsi="宋体"/>
          <w:b/>
          <w:color w:val="auto"/>
          <w:sz w:val="24"/>
        </w:rPr>
        <w:t>线</w:t>
      </w:r>
    </w:p>
    <w:p>
      <w:pPr>
        <w:spacing w:line="360" w:lineRule="auto"/>
        <w:jc w:val="center"/>
        <w:rPr>
          <w:color w:val="auto"/>
        </w:rPr>
      </w:pPr>
      <w:r>
        <w:rPr>
          <w:color w:val="auto"/>
        </w:rPr>
        <w:object>
          <v:shape id="_x0000_i1029" o:spt="75" type="#_x0000_t75" style="height:219.5pt;width:641.4pt;" o:ole="t" filled="f" o:preferrelative="t" stroked="f" coordsize="21600,21600">
            <v:path/>
            <v:fill on="f" focussize="0,0"/>
            <v:stroke on="f"/>
            <v:imagedata r:id="rId33" o:title=""/>
            <o:lock v:ext="edit" aspectratio="t"/>
            <w10:wrap type="none"/>
            <w10:anchorlock/>
          </v:shape>
          <o:OLEObject Type="Embed" ProgID="Visio.Drawing.11" ShapeID="_x0000_i1029" DrawAspect="Content" ObjectID="_1468075729" r:id="rId32">
            <o:LockedField>false</o:LockedField>
          </o:OLEObject>
        </w:object>
      </w:r>
    </w:p>
    <w:p>
      <w:pPr>
        <w:jc w:val="center"/>
        <w:rPr>
          <w:color w:val="auto"/>
          <w:sz w:val="24"/>
        </w:rPr>
      </w:pPr>
      <w:r>
        <w:rPr>
          <w:rFonts w:hAnsi="宋体"/>
          <w:b/>
          <w:color w:val="auto"/>
          <w:sz w:val="24"/>
        </w:rPr>
        <w:t>图</w:t>
      </w:r>
      <w:r>
        <w:rPr>
          <w:b/>
          <w:color w:val="auto"/>
          <w:sz w:val="24"/>
        </w:rPr>
        <w:t>5.</w:t>
      </w:r>
      <w:r>
        <w:rPr>
          <w:rFonts w:hint="eastAsia"/>
          <w:b/>
          <w:color w:val="auto"/>
          <w:sz w:val="24"/>
        </w:rPr>
        <w:t>2</w:t>
      </w:r>
      <w:r>
        <w:rPr>
          <w:b/>
          <w:color w:val="auto"/>
          <w:sz w:val="24"/>
        </w:rPr>
        <w:t xml:space="preserve">-1 </w:t>
      </w:r>
      <w:r>
        <w:rPr>
          <w:rFonts w:hint="eastAsia" w:hAnsi="宋体"/>
          <w:b/>
          <w:color w:val="auto"/>
          <w:sz w:val="24"/>
        </w:rPr>
        <w:t>龙门挂锌合金钝化</w:t>
      </w:r>
      <w:r>
        <w:rPr>
          <w:rFonts w:hAnsi="宋体"/>
          <w:b/>
          <w:color w:val="auto"/>
          <w:sz w:val="24"/>
        </w:rPr>
        <w:t>生产</w:t>
      </w:r>
      <w:r>
        <w:rPr>
          <w:rFonts w:hint="eastAsia" w:hAnsi="宋体"/>
          <w:b/>
          <w:color w:val="auto"/>
          <w:sz w:val="24"/>
        </w:rPr>
        <w:t>线</w:t>
      </w:r>
      <w:r>
        <w:rPr>
          <w:rFonts w:hAnsi="宋体"/>
          <w:b/>
          <w:color w:val="auto"/>
          <w:sz w:val="24"/>
        </w:rPr>
        <w:t>工艺流程图</w:t>
      </w:r>
    </w:p>
    <w:p>
      <w:pPr>
        <w:pStyle w:val="2"/>
        <w:ind w:firstLine="480" w:firstLineChars="200"/>
        <w:rPr>
          <w:rFonts w:ascii="宋体" w:hAnsi="宋体"/>
          <w:color w:val="auto"/>
          <w:sz w:val="24"/>
        </w:rPr>
      </w:pPr>
      <w:r>
        <w:rPr>
          <w:rFonts w:hint="eastAsia" w:hAnsi="宋体"/>
          <w:color w:val="auto"/>
          <w:sz w:val="24"/>
        </w:rPr>
        <w:t>主要工艺简介：</w:t>
      </w:r>
    </w:p>
    <w:p>
      <w:pPr>
        <w:spacing w:line="360" w:lineRule="auto"/>
        <w:ind w:firstLine="480" w:firstLineChars="200"/>
        <w:rPr>
          <w:rFonts w:ascii="宋体" w:hAnsi="宋体"/>
          <w:color w:val="auto"/>
          <w:sz w:val="24"/>
        </w:rPr>
      </w:pPr>
      <w:r>
        <w:rPr>
          <w:rFonts w:hint="eastAsia" w:ascii="宋体" w:hAnsi="宋体"/>
          <w:color w:val="auto"/>
          <w:sz w:val="24"/>
        </w:rPr>
        <w:t>①</w:t>
      </w:r>
      <w:r>
        <w:rPr>
          <w:rFonts w:hint="eastAsia" w:hAnsi="宋体"/>
          <w:color w:val="auto"/>
          <w:sz w:val="24"/>
        </w:rPr>
        <w:t>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添加</w:t>
      </w:r>
      <w:r>
        <w:rPr>
          <w:rFonts w:hint="eastAsia" w:hAnsi="宋体"/>
          <w:color w:val="auto"/>
          <w:sz w:val="24"/>
        </w:rPr>
        <w:t>SF-301钢</w:t>
      </w:r>
      <w:r>
        <w:rPr>
          <w:rFonts w:hint="eastAsia" w:ascii="微软雅黑" w:hAnsi="微软雅黑"/>
          <w:color w:val="auto"/>
          <w:sz w:val="24"/>
        </w:rPr>
        <w:t>铁化学除油粉作为除油剂，</w:t>
      </w:r>
      <w:r>
        <w:rPr>
          <w:rFonts w:ascii="微软雅黑" w:hAnsi="微软雅黑"/>
          <w:color w:val="auto"/>
          <w:sz w:val="24"/>
        </w:rPr>
        <w:t>将待除油工件浸渍</w:t>
      </w:r>
      <w:r>
        <w:rPr>
          <w:rFonts w:hint="eastAsia" w:hAnsi="宋体"/>
          <w:color w:val="auto"/>
          <w:sz w:val="24"/>
        </w:rPr>
        <w:t>10</w:t>
      </w:r>
      <w:r>
        <w:rPr>
          <w:rFonts w:hint="eastAsia" w:ascii="微软雅黑" w:hAnsi="微软雅黑"/>
          <w:color w:val="auto"/>
          <w:sz w:val="24"/>
        </w:rPr>
        <w:t>分钟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hAnsi="宋体"/>
          <w:color w:val="auto"/>
          <w:sz w:val="24"/>
        </w:rPr>
        <w:t>。</w:t>
      </w:r>
      <w:r>
        <w:rPr>
          <w:rFonts w:hint="eastAsia" w:hAnsi="宋体"/>
          <w:color w:val="auto"/>
          <w:sz w:val="24"/>
          <w:lang w:eastAsia="zh-CN"/>
        </w:rPr>
        <w:t>该过程产生含油废水。</w:t>
      </w:r>
    </w:p>
    <w:p>
      <w:pPr>
        <w:spacing w:line="360" w:lineRule="auto"/>
        <w:ind w:firstLine="480" w:firstLineChars="200"/>
        <w:rPr>
          <w:rFonts w:hint="eastAsia" w:ascii="宋体" w:hAnsi="宋体" w:eastAsia="宋体"/>
          <w:color w:val="auto"/>
          <w:sz w:val="24"/>
          <w:lang w:eastAsia="zh-CN"/>
        </w:rPr>
      </w:pPr>
      <w:r>
        <w:rPr>
          <w:rFonts w:hint="eastAsia" w:ascii="宋体" w:hAnsi="宋体"/>
          <w:color w:val="auto"/>
          <w:sz w:val="24"/>
        </w:rPr>
        <w:t>②</w:t>
      </w:r>
      <w:r>
        <w:rPr>
          <w:rFonts w:hint="eastAsia" w:hAnsi="宋体"/>
          <w:color w:val="auto"/>
          <w:sz w:val="24"/>
        </w:rPr>
        <w:t>出光：</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Ansi="宋体"/>
          <w:color w:val="auto"/>
          <w:sz w:val="24"/>
        </w:rPr>
        <w:t>镀锌</w:t>
      </w:r>
      <w:r>
        <w:rPr>
          <w:rFonts w:hAnsi="宋体"/>
          <w:color w:val="auto"/>
          <w:sz w:val="24"/>
        </w:rPr>
        <w:fldChar w:fldCharType="end"/>
      </w:r>
      <w:r>
        <w:rPr>
          <w:rFonts w:hAnsi="宋体"/>
          <w:color w:val="auto"/>
          <w:sz w:val="24"/>
        </w:rPr>
        <w:t>水洗后用</w:t>
      </w:r>
      <w:r>
        <w:rPr>
          <w:color w:val="auto"/>
        </w:rPr>
        <w:fldChar w:fldCharType="begin"/>
      </w:r>
      <w:r>
        <w:rPr>
          <w:color w:val="auto"/>
        </w:rPr>
        <w:instrText xml:space="preserve"> HYPERLINK "http://www.baidu.com/s?wd=%E7%A8%80%E7%A1%9D%E9%85%B8&amp;hl_tag=textlink&amp;tn=SE_hldp01350_v6v6zkg6" \t "_blank" </w:instrText>
      </w:r>
      <w:r>
        <w:rPr>
          <w:color w:val="auto"/>
        </w:rPr>
        <w:fldChar w:fldCharType="separate"/>
      </w:r>
      <w:r>
        <w:rPr>
          <w:rFonts w:hAnsi="宋体"/>
          <w:color w:val="auto"/>
          <w:sz w:val="24"/>
        </w:rPr>
        <w:t>稀硝酸</w:t>
      </w:r>
      <w:r>
        <w:rPr>
          <w:rFonts w:hAnsi="宋体"/>
          <w:color w:val="auto"/>
          <w:sz w:val="24"/>
        </w:rPr>
        <w:fldChar w:fldCharType="end"/>
      </w:r>
      <w:r>
        <w:rPr>
          <w:rFonts w:hAnsi="宋体"/>
          <w:color w:val="auto"/>
          <w:sz w:val="24"/>
        </w:rPr>
        <w:t>5-10%溶液出光，使表面更加光亮，在碱性</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Ansi="宋体"/>
          <w:color w:val="auto"/>
          <w:sz w:val="24"/>
        </w:rPr>
        <w:t>镀锌</w:t>
      </w:r>
      <w:r>
        <w:rPr>
          <w:rFonts w:hAnsi="宋体"/>
          <w:color w:val="auto"/>
          <w:sz w:val="24"/>
        </w:rPr>
        <w:fldChar w:fldCharType="end"/>
      </w:r>
      <w:r>
        <w:rPr>
          <w:rFonts w:hAnsi="宋体"/>
          <w:color w:val="auto"/>
          <w:sz w:val="24"/>
        </w:rPr>
        <w:t>中更不可少，它不仅可以增加锌层亮度，更可以中和零件凹孔内未清洗干净的碱液，利于后面</w:t>
      </w:r>
      <w:r>
        <w:rPr>
          <w:color w:val="auto"/>
        </w:rPr>
        <w:fldChar w:fldCharType="begin"/>
      </w:r>
      <w:r>
        <w:rPr>
          <w:color w:val="auto"/>
        </w:rPr>
        <w:instrText xml:space="preserve"> HYPERLINK "http://www.baidu.com/s?wd=%E9%92%9D%E5%8C%96%E6%B6%B2&amp;hl_tag=textlink&amp;tn=SE_hldp01350_v6v6zkg6" \t "_blank" </w:instrText>
      </w:r>
      <w:r>
        <w:rPr>
          <w:color w:val="auto"/>
        </w:rPr>
        <w:fldChar w:fldCharType="separate"/>
      </w:r>
      <w:r>
        <w:rPr>
          <w:rFonts w:hAnsi="宋体"/>
          <w:color w:val="auto"/>
          <w:sz w:val="24"/>
        </w:rPr>
        <w:t>钝化液</w:t>
      </w:r>
      <w:r>
        <w:rPr>
          <w:rFonts w:hAnsi="宋体"/>
          <w:color w:val="auto"/>
          <w:sz w:val="24"/>
        </w:rPr>
        <w:fldChar w:fldCharType="end"/>
      </w:r>
      <w:r>
        <w:rPr>
          <w:rFonts w:hAnsi="宋体"/>
          <w:color w:val="auto"/>
          <w:sz w:val="24"/>
        </w:rPr>
        <w:t>的稳定</w:t>
      </w:r>
      <w:r>
        <w:rPr>
          <w:rFonts w:hint="eastAsia" w:hAnsi="宋体"/>
          <w:color w:val="auto"/>
          <w:sz w:val="24"/>
        </w:rPr>
        <w:t>。</w:t>
      </w:r>
      <w:r>
        <w:rPr>
          <w:rFonts w:hint="eastAsia" w:hAnsi="宋体"/>
          <w:color w:val="auto"/>
          <w:sz w:val="24"/>
          <w:lang w:eastAsia="zh-CN"/>
        </w:rPr>
        <w:t>该过程产生酸雾废气、老化液、废槽渣。</w:t>
      </w:r>
    </w:p>
    <w:p>
      <w:pPr>
        <w:pStyle w:val="2"/>
        <w:ind w:firstLine="480" w:firstLineChars="200"/>
        <w:rPr>
          <w:color w:val="auto"/>
        </w:rPr>
      </w:pPr>
      <w:r>
        <w:rPr>
          <w:rFonts w:hint="eastAsia" w:ascii="宋体" w:hAnsi="宋体"/>
          <w:color w:val="auto"/>
        </w:rPr>
        <w:t>③</w:t>
      </w:r>
      <w:r>
        <w:rPr>
          <w:rFonts w:hint="eastAsia" w:hAnsi="宋体"/>
          <w:color w:val="auto"/>
        </w:rPr>
        <w:t>钝化：</w:t>
      </w:r>
      <w:r>
        <w:rPr>
          <w:rFonts w:hAnsi="宋体"/>
          <w:color w:val="auto"/>
        </w:rPr>
        <w:t>对</w:t>
      </w:r>
      <w:r>
        <w:rPr>
          <w:color w:val="auto"/>
        </w:rPr>
        <w:fldChar w:fldCharType="begin"/>
      </w:r>
      <w:r>
        <w:rPr>
          <w:color w:val="auto"/>
        </w:rPr>
        <w:instrText xml:space="preserve"> HYPERLINK "http://baike.baidu.com/view/24779.htm" \t "_blank" </w:instrText>
      </w:r>
      <w:r>
        <w:rPr>
          <w:color w:val="auto"/>
        </w:rPr>
        <w:fldChar w:fldCharType="separate"/>
      </w:r>
      <w:r>
        <w:rPr>
          <w:rFonts w:hAnsi="宋体"/>
          <w:color w:val="auto"/>
        </w:rPr>
        <w:t>不锈钢</w:t>
      </w:r>
      <w:r>
        <w:rPr>
          <w:rFonts w:hAnsi="宋体"/>
          <w:color w:val="auto"/>
        </w:rPr>
        <w:fldChar w:fldCharType="end"/>
      </w:r>
      <w:r>
        <w:rPr>
          <w:rFonts w:hAnsi="宋体"/>
          <w:color w:val="auto"/>
        </w:rPr>
        <w:t>全面酸洗钝化处理，清除各类油污、锈、氧化皮、焊斑等污垢，处理后表面变成均匀银白色，大大提高不锈钢抗腐蚀性能，</w:t>
      </w:r>
      <w:r>
        <w:rPr>
          <w:rFonts w:hint="eastAsia" w:hAnsi="宋体"/>
          <w:color w:val="auto"/>
        </w:rPr>
        <w:t>本项目使用三价铬蓝白钝化剂进行钝化，溶液浓度为3</w:t>
      </w:r>
      <w:r>
        <w:rPr>
          <w:rFonts w:hAnsi="宋体"/>
          <w:color w:val="auto"/>
        </w:rPr>
        <w:t>0</w:t>
      </w:r>
      <w:r>
        <w:rPr>
          <w:rFonts w:hint="eastAsia" w:hAnsi="宋体"/>
          <w:color w:val="auto"/>
        </w:rPr>
        <w:t>-40</w:t>
      </w:r>
      <w:r>
        <w:rPr>
          <w:rFonts w:hAnsi="宋体"/>
          <w:color w:val="auto"/>
        </w:rPr>
        <w:t>g/L</w:t>
      </w:r>
      <w:r>
        <w:rPr>
          <w:rFonts w:hint="eastAsia" w:hAnsi="宋体"/>
          <w:color w:val="auto"/>
        </w:rPr>
        <w:t>，三价铬盐1-20%。钝化温度2</w:t>
      </w:r>
      <w:r>
        <w:rPr>
          <w:rFonts w:hAnsi="宋体"/>
          <w:color w:val="auto"/>
        </w:rPr>
        <w:t>0~</w:t>
      </w:r>
      <w:r>
        <w:rPr>
          <w:rFonts w:hint="eastAsia" w:hAnsi="宋体"/>
          <w:color w:val="auto"/>
        </w:rPr>
        <w:t>3</w:t>
      </w:r>
      <w:r>
        <w:rPr>
          <w:rFonts w:hAnsi="宋体"/>
          <w:color w:val="auto"/>
        </w:rPr>
        <w:t>0</w:t>
      </w:r>
      <w:r>
        <w:rPr>
          <w:rFonts w:hint="eastAsia" w:hAnsi="宋体"/>
          <w:color w:val="auto"/>
        </w:rPr>
        <w:t>℃。使用三价铬盐，常温钝化，无铬酸雾产生。</w:t>
      </w:r>
    </w:p>
    <w:p>
      <w:pPr>
        <w:pStyle w:val="2"/>
        <w:ind w:firstLine="480" w:firstLineChars="200"/>
        <w:rPr>
          <w:rFonts w:hint="eastAsia" w:hAnsi="宋体"/>
          <w:color w:val="auto"/>
          <w:sz w:val="24"/>
          <w:lang w:eastAsia="zh-CN"/>
        </w:rPr>
      </w:pPr>
      <w:r>
        <w:rPr>
          <w:rFonts w:hint="eastAsia" w:ascii="宋体" w:hAnsi="宋体" w:eastAsia="宋体" w:cs="宋体"/>
          <w:color w:val="auto"/>
          <w:highlight w:val="none"/>
        </w:rPr>
        <w:t>④</w:t>
      </w:r>
      <w:r>
        <w:rPr>
          <w:rFonts w:hint="eastAsia" w:ascii="宋体" w:hAnsi="宋体" w:cs="宋体"/>
          <w:color w:val="auto"/>
          <w:highlight w:val="none"/>
          <w:lang w:eastAsia="zh-CN"/>
        </w:rPr>
        <w:t>退白：</w:t>
      </w:r>
      <w:r>
        <w:rPr>
          <w:rFonts w:hint="eastAsia" w:hAnsi="宋体"/>
          <w:color w:val="auto"/>
          <w:sz w:val="24"/>
          <w:highlight w:val="none"/>
        </w:rPr>
        <w:t>将</w:t>
      </w:r>
      <w:r>
        <w:rPr>
          <w:rFonts w:hint="eastAsia" w:hAnsi="宋体"/>
          <w:color w:val="auto"/>
          <w:sz w:val="24"/>
        </w:rPr>
        <w:t>工件浸入氢氟酸溶液中，去除去金属件表面的污垢的过程。采用1%的氢氟酸溶液。</w:t>
      </w:r>
      <w:r>
        <w:rPr>
          <w:rFonts w:hint="eastAsia" w:hAnsi="宋体"/>
          <w:color w:val="auto"/>
          <w:sz w:val="24"/>
          <w:lang w:eastAsia="zh-CN"/>
        </w:rPr>
        <w:t>该过程产生氟化氢。</w:t>
      </w:r>
    </w:p>
    <w:p>
      <w:pPr>
        <w:spacing w:line="360" w:lineRule="auto"/>
        <w:ind w:firstLine="482" w:firstLineChars="200"/>
        <w:rPr>
          <w:rFonts w:hint="eastAsia" w:ascii="宋体" w:hAnsi="宋体" w:cs="宋体"/>
          <w:b/>
          <w:color w:val="auto"/>
          <w:sz w:val="24"/>
        </w:rPr>
      </w:pPr>
    </w:p>
    <w:p>
      <w:pPr>
        <w:spacing w:line="360" w:lineRule="auto"/>
        <w:ind w:firstLine="482" w:firstLineChars="200"/>
        <w:rPr>
          <w:rFonts w:hAnsi="宋体"/>
          <w:b/>
          <w:color w:val="auto"/>
          <w:sz w:val="24"/>
        </w:rPr>
      </w:pPr>
      <w:r>
        <w:rPr>
          <w:rFonts w:hint="eastAsia" w:ascii="宋体" w:hAnsi="宋体" w:cs="宋体"/>
          <w:b/>
          <w:color w:val="auto"/>
          <w:sz w:val="24"/>
        </w:rPr>
        <w:t xml:space="preserve">② </w:t>
      </w:r>
      <w:r>
        <w:rPr>
          <w:rFonts w:hint="eastAsia" w:hAnsi="宋体"/>
          <w:b/>
          <w:color w:val="auto"/>
          <w:sz w:val="24"/>
        </w:rPr>
        <w:t>龙门挂铝合金氧化</w:t>
      </w:r>
      <w:r>
        <w:rPr>
          <w:rFonts w:hAnsi="宋体"/>
          <w:b/>
          <w:color w:val="auto"/>
          <w:sz w:val="24"/>
        </w:rPr>
        <w:t>生产</w:t>
      </w:r>
      <w:r>
        <w:rPr>
          <w:rFonts w:hint="eastAsia" w:hAnsi="宋体"/>
          <w:b/>
          <w:color w:val="auto"/>
          <w:sz w:val="24"/>
        </w:rPr>
        <w:t>线</w:t>
      </w:r>
    </w:p>
    <w:p>
      <w:pPr>
        <w:spacing w:line="360" w:lineRule="auto"/>
        <w:jc w:val="center"/>
        <w:rPr>
          <w:color w:val="auto"/>
          <w:highlight w:val="yellow"/>
        </w:rPr>
      </w:pPr>
      <w:r>
        <w:rPr>
          <w:color w:val="auto"/>
        </w:rPr>
        <w:object>
          <v:shape id="_x0000_i1030" o:spt="75" type="#_x0000_t75" style="height:191.75pt;width:675.4pt;" o:ole="t" filled="f" o:preferrelative="t" stroked="f" coordsize="21600,21600">
            <v:path/>
            <v:fill on="f" focussize="0,0"/>
            <v:stroke on="f"/>
            <v:imagedata r:id="rId35" o:title=""/>
            <o:lock v:ext="edit" aspectratio="t"/>
            <w10:wrap type="none"/>
            <w10:anchorlock/>
          </v:shape>
          <o:OLEObject Type="Embed" ProgID="Visio.Drawing.11" ShapeID="_x0000_i1030" DrawAspect="Content" ObjectID="_1468075730" r:id="rId34">
            <o:LockedField>false</o:LockedField>
          </o:OLEObject>
        </w:object>
      </w:r>
    </w:p>
    <w:p>
      <w:pPr>
        <w:spacing w:line="360" w:lineRule="auto"/>
        <w:jc w:val="center"/>
        <w:rPr>
          <w:rFonts w:hAnsi="宋体"/>
          <w:b/>
          <w:color w:val="auto"/>
          <w:sz w:val="24"/>
        </w:rPr>
      </w:pPr>
    </w:p>
    <w:p>
      <w:pPr>
        <w:spacing w:line="360" w:lineRule="auto"/>
        <w:jc w:val="center"/>
        <w:rPr>
          <w:rFonts w:hAnsi="宋体"/>
          <w:color w:val="auto"/>
          <w:sz w:val="24"/>
        </w:rPr>
      </w:pPr>
      <w:r>
        <w:rPr>
          <w:rFonts w:hAnsi="宋体"/>
          <w:b/>
          <w:color w:val="auto"/>
          <w:sz w:val="24"/>
        </w:rPr>
        <w:t>图</w:t>
      </w:r>
      <w:r>
        <w:rPr>
          <w:b/>
          <w:color w:val="auto"/>
          <w:sz w:val="24"/>
        </w:rPr>
        <w:t>5.</w:t>
      </w:r>
      <w:r>
        <w:rPr>
          <w:rFonts w:hint="eastAsia"/>
          <w:b/>
          <w:color w:val="auto"/>
          <w:sz w:val="24"/>
        </w:rPr>
        <w:t>2</w:t>
      </w:r>
      <w:r>
        <w:rPr>
          <w:b/>
          <w:color w:val="auto"/>
          <w:sz w:val="24"/>
        </w:rPr>
        <w:t>-</w:t>
      </w:r>
      <w:r>
        <w:rPr>
          <w:rFonts w:hint="eastAsia"/>
          <w:b/>
          <w:color w:val="auto"/>
          <w:sz w:val="24"/>
        </w:rPr>
        <w:t>2</w:t>
      </w:r>
      <w:r>
        <w:rPr>
          <w:b/>
          <w:color w:val="auto"/>
          <w:sz w:val="24"/>
        </w:rPr>
        <w:t xml:space="preserve"> </w:t>
      </w:r>
      <w:r>
        <w:rPr>
          <w:rFonts w:hint="eastAsia" w:hAnsi="宋体"/>
          <w:b/>
          <w:color w:val="auto"/>
          <w:sz w:val="24"/>
        </w:rPr>
        <w:t>龙门挂镀铝合金氧化</w:t>
      </w:r>
      <w:r>
        <w:rPr>
          <w:rFonts w:hAnsi="宋体"/>
          <w:b/>
          <w:color w:val="auto"/>
          <w:sz w:val="24"/>
        </w:rPr>
        <w:t>生产</w:t>
      </w:r>
      <w:r>
        <w:rPr>
          <w:rFonts w:hint="eastAsia" w:hAnsi="宋体"/>
          <w:b/>
          <w:color w:val="auto"/>
          <w:sz w:val="24"/>
        </w:rPr>
        <w:t>线</w:t>
      </w:r>
      <w:r>
        <w:rPr>
          <w:rFonts w:hAnsi="宋体"/>
          <w:b/>
          <w:color w:val="auto"/>
          <w:sz w:val="24"/>
        </w:rPr>
        <w:t>工艺流程图</w:t>
      </w:r>
    </w:p>
    <w:p>
      <w:pPr>
        <w:spacing w:line="360" w:lineRule="auto"/>
        <w:ind w:firstLine="480" w:firstLineChars="200"/>
        <w:rPr>
          <w:rFonts w:ascii="宋体" w:hAnsi="宋体"/>
          <w:color w:val="auto"/>
          <w:sz w:val="24"/>
        </w:rPr>
      </w:pPr>
      <w:r>
        <w:rPr>
          <w:rFonts w:hint="eastAsia" w:ascii="宋体" w:hAnsi="宋体"/>
          <w:color w:val="auto"/>
          <w:sz w:val="24"/>
        </w:rPr>
        <w:t>主要工艺简介：</w:t>
      </w:r>
    </w:p>
    <w:p>
      <w:pPr>
        <w:spacing w:line="360" w:lineRule="auto"/>
        <w:ind w:firstLine="480" w:firstLineChars="200"/>
        <w:rPr>
          <w:rFonts w:hAnsi="宋体"/>
          <w:color w:val="auto"/>
          <w:sz w:val="24"/>
        </w:rPr>
      </w:pPr>
      <w:r>
        <w:rPr>
          <w:rFonts w:hint="eastAsia" w:ascii="宋体" w:hAnsi="宋体"/>
          <w:color w:val="auto"/>
          <w:sz w:val="24"/>
        </w:rPr>
        <w:t>①</w:t>
      </w:r>
      <w:r>
        <w:rPr>
          <w:rFonts w:hint="eastAsia" w:hAnsi="宋体"/>
          <w:color w:val="auto"/>
          <w:sz w:val="24"/>
        </w:rPr>
        <w:t xml:space="preserve"> 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添加</w:t>
      </w:r>
      <w:r>
        <w:rPr>
          <w:rFonts w:hint="eastAsia" w:hAnsi="宋体"/>
          <w:color w:val="auto"/>
          <w:sz w:val="24"/>
        </w:rPr>
        <w:t>SF-301钢</w:t>
      </w:r>
      <w:r>
        <w:rPr>
          <w:rFonts w:hint="eastAsia" w:ascii="微软雅黑" w:hAnsi="微软雅黑"/>
          <w:color w:val="auto"/>
          <w:sz w:val="24"/>
        </w:rPr>
        <w:t>铁化学除油粉作为除油剂，</w:t>
      </w:r>
      <w:r>
        <w:rPr>
          <w:rFonts w:ascii="微软雅黑" w:hAnsi="微软雅黑"/>
          <w:color w:val="auto"/>
          <w:sz w:val="24"/>
        </w:rPr>
        <w:t>将待除油工件浸</w:t>
      </w:r>
      <w:r>
        <w:rPr>
          <w:rFonts w:hAnsi="宋体"/>
          <w:color w:val="auto"/>
          <w:sz w:val="24"/>
        </w:rPr>
        <w:t>渍</w:t>
      </w:r>
      <w:r>
        <w:rPr>
          <w:rFonts w:hint="eastAsia" w:hAnsi="宋体"/>
          <w:color w:val="auto"/>
          <w:sz w:val="24"/>
        </w:rPr>
        <w:t>10分</w:t>
      </w:r>
      <w:r>
        <w:rPr>
          <w:rFonts w:hint="eastAsia" w:ascii="微软雅黑" w:hAnsi="微软雅黑"/>
          <w:color w:val="auto"/>
          <w:sz w:val="24"/>
        </w:rPr>
        <w:t>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hAnsi="宋体"/>
          <w:color w:val="auto"/>
          <w:sz w:val="24"/>
        </w:rPr>
        <w:t>。</w:t>
      </w:r>
      <w:bookmarkStart w:id="12" w:name="OLE_LINK16"/>
      <w:r>
        <w:rPr>
          <w:rFonts w:hint="eastAsia" w:hAnsi="宋体"/>
          <w:color w:val="auto"/>
          <w:sz w:val="24"/>
          <w:lang w:eastAsia="zh-CN"/>
        </w:rPr>
        <w:t>该过程产生含油废水。</w:t>
      </w:r>
      <w:bookmarkEnd w:id="12"/>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②</w:t>
      </w:r>
      <w:r>
        <w:rPr>
          <w:rFonts w:hint="eastAsia" w:hAnsi="宋体"/>
          <w:color w:val="auto"/>
          <w:sz w:val="24"/>
        </w:rPr>
        <w:t xml:space="preserve"> 表调：将工件浸入酸溶液中，在氧化之前对镀件表面进行表面调整，添加表面调整剂主要成分为40-60%硫酸，控制温度为15</w:t>
      </w:r>
      <w:r>
        <w:rPr>
          <w:rFonts w:hAnsi="宋体"/>
          <w:color w:val="auto"/>
          <w:sz w:val="24"/>
        </w:rPr>
        <w:t>~</w:t>
      </w:r>
      <w:r>
        <w:rPr>
          <w:rFonts w:hint="eastAsia" w:hAnsi="宋体"/>
          <w:color w:val="auto"/>
          <w:sz w:val="24"/>
        </w:rPr>
        <w:t>25度左右。</w:t>
      </w:r>
      <w:r>
        <w:rPr>
          <w:rFonts w:hint="eastAsia" w:hAnsi="宋体"/>
          <w:color w:val="auto"/>
          <w:sz w:val="24"/>
          <w:lang w:eastAsia="zh-CN"/>
        </w:rPr>
        <w:t>该过程产生硫酸雾。</w:t>
      </w:r>
    </w:p>
    <w:p>
      <w:pPr>
        <w:pStyle w:val="2"/>
        <w:ind w:left="0" w:leftChars="0" w:firstLine="480" w:firstLineChars="200"/>
        <w:rPr>
          <w:rFonts w:hint="eastAsia" w:eastAsia="宋体"/>
          <w:color w:val="auto"/>
          <w:lang w:eastAsia="zh-CN"/>
        </w:rPr>
      </w:pPr>
      <w:r>
        <w:rPr>
          <w:rFonts w:hint="eastAsia" w:ascii="宋体" w:hAnsi="宋体"/>
          <w:color w:val="auto"/>
          <w:sz w:val="24"/>
        </w:rPr>
        <w:t>③</w:t>
      </w:r>
      <w:r>
        <w:rPr>
          <w:rFonts w:hint="eastAsia" w:hAnsi="宋体"/>
          <w:color w:val="auto"/>
          <w:sz w:val="24"/>
        </w:rPr>
        <w:t xml:space="preserve"> </w:t>
      </w:r>
      <w:r>
        <w:rPr>
          <w:rFonts w:hint="eastAsia" w:hAnsi="宋体"/>
          <w:color w:val="auto"/>
          <w:sz w:val="24"/>
          <w:lang w:eastAsia="zh-CN"/>
        </w:rPr>
        <w:t>活化</w:t>
      </w:r>
      <w:r>
        <w:rPr>
          <w:rFonts w:hint="eastAsia" w:hAnsi="宋体"/>
          <w:color w:val="auto"/>
          <w:sz w:val="24"/>
        </w:rPr>
        <w:t>：采用3%的盐酸溶液进行常温酸洗活化。</w:t>
      </w:r>
      <w:r>
        <w:rPr>
          <w:rFonts w:hint="eastAsia" w:hAnsi="宋体"/>
          <w:color w:val="auto"/>
          <w:sz w:val="24"/>
          <w:lang w:eastAsia="zh-CN"/>
        </w:rPr>
        <w:t>该过程产生氯化氢废气。</w:t>
      </w:r>
    </w:p>
    <w:p>
      <w:pPr>
        <w:spacing w:line="360" w:lineRule="auto"/>
        <w:ind w:firstLine="480" w:firstLineChars="200"/>
        <w:rPr>
          <w:rFonts w:hint="eastAsia" w:hAnsi="宋体"/>
          <w:color w:val="auto"/>
          <w:sz w:val="24"/>
          <w:lang w:eastAsia="zh-CN"/>
        </w:rPr>
      </w:pPr>
      <w:r>
        <w:rPr>
          <w:rFonts w:hint="eastAsia" w:ascii="宋体" w:hAnsi="宋体"/>
          <w:color w:val="auto"/>
          <w:sz w:val="24"/>
        </w:rPr>
        <w:t>③</w:t>
      </w:r>
      <w:r>
        <w:rPr>
          <w:rFonts w:hint="eastAsia" w:hAnsi="宋体"/>
          <w:color w:val="auto"/>
          <w:sz w:val="24"/>
        </w:rPr>
        <w:t xml:space="preserve"> 氧化：化学氧化是金属件在特定条件下的化学浸蚀，在浸蚀过程中，金属表面被溶液浸蚀和整平，从而获得比较光亮的表面。本项目采用氧化液为三价铬氧化剂，溶液浓度为3</w:t>
      </w:r>
      <w:r>
        <w:rPr>
          <w:rFonts w:hAnsi="宋体"/>
          <w:color w:val="auto"/>
          <w:sz w:val="24"/>
        </w:rPr>
        <w:t>0</w:t>
      </w:r>
      <w:r>
        <w:rPr>
          <w:rFonts w:hint="eastAsia" w:hAnsi="宋体"/>
          <w:color w:val="auto"/>
          <w:sz w:val="24"/>
        </w:rPr>
        <w:t>-40</w:t>
      </w:r>
      <w:r>
        <w:rPr>
          <w:rFonts w:hAnsi="宋体"/>
          <w:color w:val="auto"/>
          <w:sz w:val="24"/>
        </w:rPr>
        <w:t>g/L</w:t>
      </w:r>
      <w:r>
        <w:rPr>
          <w:rFonts w:hint="eastAsia" w:hAnsi="宋体"/>
          <w:color w:val="auto"/>
          <w:sz w:val="24"/>
        </w:rPr>
        <w:t>，控制温度为3</w:t>
      </w:r>
      <w:r>
        <w:rPr>
          <w:rFonts w:hAnsi="宋体"/>
          <w:color w:val="auto"/>
          <w:sz w:val="24"/>
        </w:rPr>
        <w:t>0~</w:t>
      </w:r>
      <w:r>
        <w:rPr>
          <w:rFonts w:hint="eastAsia" w:hAnsi="宋体"/>
          <w:color w:val="auto"/>
          <w:sz w:val="24"/>
        </w:rPr>
        <w:t>4</w:t>
      </w:r>
      <w:r>
        <w:rPr>
          <w:rFonts w:hAnsi="宋体"/>
          <w:color w:val="auto"/>
          <w:sz w:val="24"/>
        </w:rPr>
        <w:t>0</w:t>
      </w:r>
      <w:r>
        <w:rPr>
          <w:rFonts w:hint="eastAsia" w:hAnsi="宋体"/>
          <w:color w:val="auto"/>
          <w:sz w:val="24"/>
        </w:rPr>
        <w:t>度左右。</w:t>
      </w:r>
      <w:r>
        <w:rPr>
          <w:rFonts w:hint="eastAsia" w:hAnsi="宋体"/>
          <w:color w:val="auto"/>
          <w:sz w:val="24"/>
          <w:lang w:eastAsia="zh-CN"/>
        </w:rPr>
        <w:t>该过程老化液和废槽渣。</w:t>
      </w:r>
    </w:p>
    <w:p>
      <w:pPr>
        <w:pStyle w:val="2"/>
        <w:rPr>
          <w:rFonts w:hint="eastAsia"/>
          <w:color w:val="auto"/>
          <w:lang w:eastAsia="zh-CN"/>
        </w:rPr>
      </w:pPr>
    </w:p>
    <w:p>
      <w:pPr>
        <w:spacing w:line="360" w:lineRule="auto"/>
        <w:ind w:firstLine="482" w:firstLineChars="200"/>
        <w:rPr>
          <w:rFonts w:hAnsi="宋体"/>
          <w:b/>
          <w:color w:val="auto"/>
          <w:sz w:val="24"/>
        </w:rPr>
      </w:pPr>
      <w:r>
        <w:rPr>
          <w:rFonts w:hint="eastAsia" w:ascii="宋体" w:hAnsi="宋体" w:cs="宋体"/>
          <w:b/>
          <w:color w:val="auto"/>
          <w:sz w:val="24"/>
        </w:rPr>
        <w:t xml:space="preserve">③ </w:t>
      </w:r>
      <w:r>
        <w:rPr>
          <w:rFonts w:hint="eastAsia" w:hAnsi="宋体"/>
          <w:b/>
          <w:color w:val="auto"/>
          <w:sz w:val="24"/>
        </w:rPr>
        <w:t>半自动滚镀铜、镍</w:t>
      </w:r>
    </w:p>
    <w:p>
      <w:pPr>
        <w:spacing w:line="360" w:lineRule="auto"/>
        <w:jc w:val="center"/>
        <w:rPr>
          <w:rFonts w:hAnsi="宋体"/>
          <w:b/>
          <w:color w:val="auto"/>
          <w:sz w:val="24"/>
        </w:rPr>
      </w:pPr>
      <w:r>
        <w:rPr>
          <w:color w:val="auto"/>
        </w:rPr>
        <w:object>
          <v:shape id="_x0000_i1031" o:spt="75" type="#_x0000_t75" style="height:202.65pt;width:694pt;" o:ole="t" filled="f" o:preferrelative="t" stroked="f" coordsize="21600,21600">
            <v:path/>
            <v:fill on="f" focussize="0,0"/>
            <v:stroke on="f"/>
            <v:imagedata r:id="rId37" o:title=""/>
            <o:lock v:ext="edit" aspectratio="t"/>
            <w10:wrap type="none"/>
            <w10:anchorlock/>
          </v:shape>
          <o:OLEObject Type="Embed" ProgID="Visio.Drawing.11" ShapeID="_x0000_i1031" DrawAspect="Content" ObjectID="_1468075731" r:id="rId36">
            <o:LockedField>false</o:LockedField>
          </o:OLEObject>
        </w:object>
      </w:r>
    </w:p>
    <w:p>
      <w:pPr>
        <w:spacing w:line="360" w:lineRule="auto"/>
        <w:jc w:val="center"/>
        <w:rPr>
          <w:color w:val="auto"/>
          <w:sz w:val="24"/>
        </w:rPr>
      </w:pPr>
      <w:r>
        <w:rPr>
          <w:rFonts w:hAnsi="宋体"/>
          <w:b/>
          <w:color w:val="auto"/>
          <w:sz w:val="24"/>
        </w:rPr>
        <w:t>图</w:t>
      </w:r>
      <w:r>
        <w:rPr>
          <w:b/>
          <w:color w:val="auto"/>
          <w:sz w:val="24"/>
        </w:rPr>
        <w:t>5.</w:t>
      </w:r>
      <w:r>
        <w:rPr>
          <w:rFonts w:hint="eastAsia"/>
          <w:b/>
          <w:color w:val="auto"/>
          <w:sz w:val="24"/>
        </w:rPr>
        <w:t>2-3</w:t>
      </w:r>
      <w:r>
        <w:rPr>
          <w:b/>
          <w:color w:val="auto"/>
          <w:sz w:val="24"/>
        </w:rPr>
        <w:t xml:space="preserve"> </w:t>
      </w:r>
      <w:r>
        <w:rPr>
          <w:rFonts w:hint="eastAsia"/>
          <w:b/>
          <w:color w:val="auto"/>
          <w:sz w:val="24"/>
        </w:rPr>
        <w:t xml:space="preserve"> 半自动</w:t>
      </w:r>
      <w:r>
        <w:rPr>
          <w:rFonts w:hint="eastAsia" w:hAnsi="宋体"/>
          <w:b/>
          <w:color w:val="auto"/>
          <w:sz w:val="24"/>
        </w:rPr>
        <w:t>滚镀铜、镍生产线</w:t>
      </w:r>
      <w:r>
        <w:rPr>
          <w:rFonts w:hAnsi="宋体"/>
          <w:b/>
          <w:color w:val="auto"/>
          <w:sz w:val="24"/>
        </w:rPr>
        <w:t>工艺流程图</w:t>
      </w:r>
    </w:p>
    <w:p>
      <w:pPr>
        <w:spacing w:line="360" w:lineRule="auto"/>
        <w:ind w:firstLine="480" w:firstLineChars="200"/>
        <w:rPr>
          <w:rFonts w:hAnsi="宋体"/>
          <w:color w:val="auto"/>
          <w:sz w:val="24"/>
        </w:rPr>
      </w:pPr>
      <w:r>
        <w:rPr>
          <w:rFonts w:hint="eastAsia" w:hAnsi="宋体"/>
          <w:color w:val="auto"/>
          <w:sz w:val="24"/>
        </w:rPr>
        <w:t>主要工艺简介：</w:t>
      </w:r>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①</w:t>
      </w:r>
      <w:r>
        <w:rPr>
          <w:rFonts w:hint="eastAsia" w:hAnsi="宋体"/>
          <w:color w:val="auto"/>
          <w:sz w:val="24"/>
        </w:rPr>
        <w:t xml:space="preserve"> 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w:t>
      </w:r>
      <w:r>
        <w:rPr>
          <w:rFonts w:hint="eastAsia" w:hAnsi="宋体"/>
          <w:color w:val="auto"/>
          <w:sz w:val="24"/>
        </w:rPr>
        <w:t>加SF-301钢</w:t>
      </w:r>
      <w:r>
        <w:rPr>
          <w:rFonts w:hint="eastAsia" w:ascii="微软雅黑" w:hAnsi="微软雅黑"/>
          <w:color w:val="auto"/>
          <w:sz w:val="24"/>
        </w:rPr>
        <w:t>铁化学除油粉作为除油剂，</w:t>
      </w:r>
      <w:r>
        <w:rPr>
          <w:rFonts w:ascii="微软雅黑" w:hAnsi="微软雅黑"/>
          <w:color w:val="auto"/>
          <w:sz w:val="24"/>
        </w:rPr>
        <w:t>将待除油工件浸</w:t>
      </w:r>
      <w:r>
        <w:rPr>
          <w:rFonts w:hAnsi="宋体"/>
          <w:color w:val="auto"/>
          <w:sz w:val="24"/>
        </w:rPr>
        <w:t>渍</w:t>
      </w:r>
      <w:r>
        <w:rPr>
          <w:rFonts w:hint="eastAsia" w:hAnsi="宋体"/>
          <w:color w:val="auto"/>
          <w:sz w:val="24"/>
        </w:rPr>
        <w:t>10</w:t>
      </w:r>
      <w:r>
        <w:rPr>
          <w:rFonts w:hint="eastAsia" w:ascii="微软雅黑" w:hAnsi="微软雅黑"/>
          <w:color w:val="auto"/>
          <w:sz w:val="24"/>
        </w:rPr>
        <w:t>分钟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ascii="微软雅黑" w:hAnsi="微软雅黑"/>
          <w:color w:val="auto"/>
          <w:sz w:val="24"/>
          <w:lang w:eastAsia="zh-CN"/>
        </w:rPr>
        <w:t>，</w:t>
      </w:r>
      <w:bookmarkStart w:id="13" w:name="OLE_LINK15"/>
      <w:r>
        <w:rPr>
          <w:rFonts w:hint="eastAsia" w:hAnsi="宋体"/>
          <w:color w:val="auto"/>
          <w:sz w:val="24"/>
          <w:lang w:eastAsia="zh-CN"/>
        </w:rPr>
        <w:t>该过程产生含油废水。</w:t>
      </w:r>
      <w:bookmarkEnd w:id="13"/>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②</w:t>
      </w:r>
      <w:r>
        <w:rPr>
          <w:rFonts w:hint="eastAsia" w:hAnsi="宋体"/>
          <w:color w:val="auto"/>
          <w:sz w:val="24"/>
        </w:rPr>
        <w:t xml:space="preserve"> 酸洗：酸洗是将工件浸入酸洗溶液中，除去金属表面的锈蚀物及氧化的过程。采用3%的盐酸溶液进行常温酸洗活化。</w:t>
      </w:r>
      <w:r>
        <w:rPr>
          <w:rFonts w:hint="eastAsia" w:hAnsi="宋体"/>
          <w:color w:val="auto"/>
          <w:sz w:val="24"/>
          <w:lang w:eastAsia="zh-CN"/>
        </w:rPr>
        <w:t>该过程产生酸碱综合废水。</w:t>
      </w:r>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③</w:t>
      </w:r>
      <w:r>
        <w:rPr>
          <w:rFonts w:hint="eastAsia" w:hAnsi="宋体"/>
          <w:color w:val="auto"/>
          <w:sz w:val="24"/>
        </w:rPr>
        <w:t xml:space="preserve"> 镀铜：</w:t>
      </w:r>
      <w:r>
        <w:rPr>
          <w:rFonts w:hAnsi="宋体"/>
          <w:color w:val="auto"/>
          <w:sz w:val="24"/>
        </w:rPr>
        <w:t>氰化镀铜主要是以铜氰络离子在阴极上放电得到镀铜层的。其中主盐氰化亚铜与氰化钠发生络合反应时被完全溶解，并形成铜氰络合物</w:t>
      </w:r>
      <w:r>
        <w:rPr>
          <w:rFonts w:hint="eastAsia" w:hAnsi="宋体"/>
          <w:color w:val="auto"/>
          <w:sz w:val="24"/>
        </w:rPr>
        <w:t>。</w:t>
      </w:r>
      <w:r>
        <w:rPr>
          <w:rFonts w:hint="eastAsia" w:hAnsi="宋体"/>
          <w:color w:val="auto"/>
          <w:sz w:val="24"/>
          <w:lang w:eastAsia="zh-CN"/>
        </w:rPr>
        <w:t>该过成产生氰化氢废气。</w:t>
      </w:r>
    </w:p>
    <w:p>
      <w:pPr>
        <w:spacing w:line="360" w:lineRule="auto"/>
        <w:ind w:firstLine="480" w:firstLineChars="200"/>
        <w:rPr>
          <w:rFonts w:hAnsi="宋体"/>
          <w:color w:val="auto"/>
          <w:sz w:val="24"/>
        </w:rPr>
      </w:pPr>
      <w:bookmarkStart w:id="14" w:name="OLE_LINK13"/>
      <w:r>
        <w:rPr>
          <w:rFonts w:hint="eastAsia" w:ascii="宋体" w:hAnsi="宋体"/>
          <w:color w:val="auto"/>
          <w:sz w:val="24"/>
        </w:rPr>
        <w:t>④</w:t>
      </w:r>
      <w:bookmarkEnd w:id="14"/>
      <w:r>
        <w:rPr>
          <w:rFonts w:hint="eastAsia" w:hAnsi="宋体"/>
          <w:color w:val="auto"/>
          <w:sz w:val="24"/>
        </w:rPr>
        <w:t xml:space="preserve"> 镀镍：</w:t>
      </w:r>
      <w:r>
        <w:rPr>
          <w:rFonts w:hAnsi="宋体"/>
          <w:color w:val="auto"/>
          <w:sz w:val="24"/>
        </w:rPr>
        <w:t>本项目镀镍以镍板为阳极，以硫酸镍为主盐，氯化镍为阳极活化剂，硼酸为缓冲剂，加入光亮剂，可直接镀出光亮镀层，电镀过程中会有氯化氢</w:t>
      </w:r>
      <w:r>
        <w:rPr>
          <w:rFonts w:hint="eastAsia" w:hAnsi="宋体"/>
          <w:color w:val="auto"/>
          <w:sz w:val="24"/>
        </w:rPr>
        <w:t>、硫酸雾</w:t>
      </w:r>
      <w:r>
        <w:rPr>
          <w:rFonts w:hAnsi="宋体"/>
          <w:color w:val="auto"/>
          <w:sz w:val="24"/>
        </w:rPr>
        <w:t>废气产生</w:t>
      </w:r>
      <w:r>
        <w:rPr>
          <w:rFonts w:hint="eastAsia" w:hAnsi="宋体"/>
          <w:color w:val="auto"/>
          <w:sz w:val="24"/>
        </w:rPr>
        <w:t>。</w:t>
      </w:r>
    </w:p>
    <w:p>
      <w:pPr>
        <w:spacing w:line="360" w:lineRule="auto"/>
        <w:ind w:firstLine="480" w:firstLineChars="200"/>
        <w:rPr>
          <w:rFonts w:hint="eastAsia" w:hAnsi="宋体"/>
          <w:color w:val="auto"/>
          <w:sz w:val="24"/>
          <w:lang w:eastAsia="zh-CN"/>
        </w:rPr>
      </w:pPr>
      <w:r>
        <w:rPr>
          <w:rFonts w:hint="eastAsia" w:ascii="宋体" w:hAnsi="宋体"/>
          <w:color w:val="auto"/>
          <w:sz w:val="24"/>
        </w:rPr>
        <w:t>⑤</w:t>
      </w:r>
      <w:r>
        <w:rPr>
          <w:rFonts w:hint="eastAsia" w:hAnsi="宋体"/>
          <w:color w:val="auto"/>
          <w:sz w:val="24"/>
        </w:rPr>
        <w:t xml:space="preserve"> 钝化：</w:t>
      </w:r>
      <w:r>
        <w:rPr>
          <w:rFonts w:hAnsi="宋体"/>
          <w:color w:val="auto"/>
          <w:sz w:val="24"/>
        </w:rPr>
        <w:t>对</w:t>
      </w:r>
      <w:r>
        <w:rPr>
          <w:color w:val="auto"/>
        </w:rPr>
        <w:fldChar w:fldCharType="begin"/>
      </w:r>
      <w:r>
        <w:rPr>
          <w:color w:val="auto"/>
        </w:rPr>
        <w:instrText xml:space="preserve"> HYPERLINK "http://baike.baidu.com/view/24779.htm" \t "_blank" </w:instrText>
      </w:r>
      <w:r>
        <w:rPr>
          <w:color w:val="auto"/>
        </w:rPr>
        <w:fldChar w:fldCharType="separate"/>
      </w:r>
      <w:r>
        <w:rPr>
          <w:rFonts w:hAnsi="宋体"/>
          <w:color w:val="auto"/>
          <w:sz w:val="24"/>
        </w:rPr>
        <w:t>不锈钢</w:t>
      </w:r>
      <w:r>
        <w:rPr>
          <w:rFonts w:hAnsi="宋体"/>
          <w:color w:val="auto"/>
          <w:sz w:val="24"/>
        </w:rPr>
        <w:fldChar w:fldCharType="end"/>
      </w:r>
      <w:r>
        <w:rPr>
          <w:rFonts w:hAnsi="宋体"/>
          <w:color w:val="auto"/>
          <w:sz w:val="24"/>
        </w:rPr>
        <w:t>全面酸洗钝化处理，清除各类油污、锈、氧化皮、焊斑等污垢，处理后表面变成均匀银白色，大大提高不锈钢抗腐蚀性能，</w:t>
      </w:r>
      <w:r>
        <w:rPr>
          <w:rFonts w:hint="eastAsia" w:hAnsi="宋体"/>
          <w:color w:val="auto"/>
          <w:sz w:val="24"/>
        </w:rPr>
        <w:t>本项目使用六价铬酸酐进行钝化，以H</w:t>
      </w:r>
      <w:r>
        <w:rPr>
          <w:rFonts w:hint="eastAsia" w:hAnsi="宋体"/>
          <w:color w:val="auto"/>
          <w:sz w:val="24"/>
          <w:vertAlign w:val="subscript"/>
        </w:rPr>
        <w:t>2</w:t>
      </w:r>
      <w:r>
        <w:rPr>
          <w:rFonts w:hint="eastAsia" w:hAnsi="宋体"/>
          <w:color w:val="auto"/>
          <w:sz w:val="24"/>
        </w:rPr>
        <w:t>SO</w:t>
      </w:r>
      <w:r>
        <w:rPr>
          <w:rFonts w:hint="eastAsia" w:hAnsi="宋体"/>
          <w:color w:val="auto"/>
          <w:sz w:val="24"/>
          <w:vertAlign w:val="subscript"/>
        </w:rPr>
        <w:t>4</w:t>
      </w:r>
      <w:r>
        <w:rPr>
          <w:rFonts w:hint="eastAsia" w:hAnsi="宋体"/>
          <w:color w:val="auto"/>
          <w:sz w:val="24"/>
        </w:rPr>
        <w:t>为催化剂，工作温度为1</w:t>
      </w:r>
      <w:r>
        <w:rPr>
          <w:rFonts w:hAnsi="宋体"/>
          <w:color w:val="auto"/>
          <w:sz w:val="24"/>
        </w:rPr>
        <w:t>0~</w:t>
      </w:r>
      <w:r>
        <w:rPr>
          <w:rFonts w:hint="eastAsia" w:hAnsi="宋体"/>
          <w:color w:val="auto"/>
          <w:sz w:val="24"/>
        </w:rPr>
        <w:t>2</w:t>
      </w:r>
      <w:r>
        <w:rPr>
          <w:rFonts w:hAnsi="宋体"/>
          <w:color w:val="auto"/>
          <w:sz w:val="24"/>
        </w:rPr>
        <w:t>0</w:t>
      </w:r>
      <w:r>
        <w:rPr>
          <w:rFonts w:hint="eastAsia" w:hAnsi="宋体"/>
          <w:color w:val="auto"/>
          <w:sz w:val="24"/>
        </w:rPr>
        <w:t>度左右。</w:t>
      </w:r>
      <w:r>
        <w:rPr>
          <w:rFonts w:hint="eastAsia" w:hAnsi="宋体"/>
          <w:color w:val="auto"/>
          <w:sz w:val="24"/>
          <w:lang w:eastAsia="zh-CN"/>
        </w:rPr>
        <w:t>该过程产生铬酸雾。</w:t>
      </w:r>
    </w:p>
    <w:p>
      <w:pPr>
        <w:pStyle w:val="2"/>
        <w:rPr>
          <w:rFonts w:hint="eastAsia" w:hAnsi="宋体"/>
          <w:color w:val="auto"/>
          <w:sz w:val="24"/>
          <w:lang w:eastAsia="zh-CN"/>
        </w:rPr>
      </w:pPr>
    </w:p>
    <w:p>
      <w:pPr>
        <w:spacing w:line="360" w:lineRule="auto"/>
        <w:ind w:firstLine="482" w:firstLineChars="200"/>
        <w:rPr>
          <w:rFonts w:hAnsi="宋体"/>
          <w:b/>
          <w:color w:val="auto"/>
          <w:sz w:val="24"/>
        </w:rPr>
      </w:pPr>
      <w:r>
        <w:rPr>
          <w:rFonts w:hint="eastAsia" w:ascii="宋体" w:hAnsi="宋体" w:cs="宋体"/>
          <w:b/>
          <w:color w:val="auto"/>
          <w:sz w:val="24"/>
        </w:rPr>
        <w:t>④</w:t>
      </w:r>
      <w:r>
        <w:rPr>
          <w:rFonts w:hint="eastAsia" w:hAnsi="宋体"/>
          <w:b/>
          <w:color w:val="auto"/>
          <w:sz w:val="24"/>
        </w:rPr>
        <w:t xml:space="preserve"> 手工锌合金钝化</w:t>
      </w:r>
    </w:p>
    <w:p>
      <w:pPr>
        <w:spacing w:line="360" w:lineRule="auto"/>
        <w:jc w:val="center"/>
        <w:rPr>
          <w:color w:val="auto"/>
        </w:rPr>
      </w:pPr>
      <w:r>
        <w:rPr>
          <w:color w:val="auto"/>
        </w:rPr>
        <w:object>
          <v:shape id="_x0000_i1032" o:spt="75" type="#_x0000_t75" style="height:188.25pt;width:691.5pt;" o:ole="t" filled="f" o:preferrelative="t" stroked="f" coordsize="21600,21600">
            <v:path/>
            <v:fill on="f" focussize="0,0"/>
            <v:stroke on="f"/>
            <v:imagedata r:id="rId39" o:title=""/>
            <o:lock v:ext="edit" aspectratio="t"/>
            <w10:wrap type="none"/>
            <w10:anchorlock/>
          </v:shape>
          <o:OLEObject Type="Embed" ProgID="Visio.Drawing.11" ShapeID="_x0000_i1032" DrawAspect="Content" ObjectID="_1468075732" r:id="rId38">
            <o:LockedField>false</o:LockedField>
          </o:OLEObject>
        </w:object>
      </w:r>
    </w:p>
    <w:p>
      <w:pPr>
        <w:spacing w:line="360" w:lineRule="auto"/>
        <w:jc w:val="center"/>
        <w:rPr>
          <w:color w:val="auto"/>
          <w:sz w:val="24"/>
        </w:rPr>
      </w:pPr>
      <w:r>
        <w:rPr>
          <w:rFonts w:hAnsi="宋体"/>
          <w:b/>
          <w:color w:val="auto"/>
          <w:sz w:val="24"/>
        </w:rPr>
        <w:t>图</w:t>
      </w:r>
      <w:r>
        <w:rPr>
          <w:b/>
          <w:color w:val="auto"/>
          <w:sz w:val="24"/>
        </w:rPr>
        <w:t>5.</w:t>
      </w:r>
      <w:r>
        <w:rPr>
          <w:rFonts w:hint="eastAsia"/>
          <w:b/>
          <w:color w:val="auto"/>
          <w:sz w:val="24"/>
        </w:rPr>
        <w:t>2-4</w:t>
      </w:r>
      <w:r>
        <w:rPr>
          <w:b/>
          <w:color w:val="auto"/>
          <w:sz w:val="24"/>
        </w:rPr>
        <w:t xml:space="preserve"> </w:t>
      </w:r>
      <w:r>
        <w:rPr>
          <w:rFonts w:hint="eastAsia"/>
          <w:b/>
          <w:color w:val="auto"/>
          <w:sz w:val="24"/>
        </w:rPr>
        <w:t xml:space="preserve"> </w:t>
      </w:r>
      <w:bookmarkStart w:id="15" w:name="OLE_LINK2"/>
      <w:r>
        <w:rPr>
          <w:rFonts w:hint="eastAsia"/>
          <w:b/>
          <w:color w:val="auto"/>
          <w:sz w:val="24"/>
        </w:rPr>
        <w:t>手工锌合金钝化</w:t>
      </w:r>
      <w:bookmarkEnd w:id="15"/>
      <w:r>
        <w:rPr>
          <w:rFonts w:hint="eastAsia"/>
          <w:b/>
          <w:color w:val="auto"/>
          <w:sz w:val="24"/>
        </w:rPr>
        <w:t>生产线</w:t>
      </w:r>
      <w:r>
        <w:rPr>
          <w:rFonts w:hAnsi="宋体"/>
          <w:b/>
          <w:color w:val="auto"/>
          <w:sz w:val="24"/>
        </w:rPr>
        <w:t>工艺流程图</w:t>
      </w:r>
    </w:p>
    <w:p>
      <w:pPr>
        <w:spacing w:line="360" w:lineRule="auto"/>
        <w:ind w:firstLine="480" w:firstLineChars="200"/>
        <w:rPr>
          <w:rFonts w:hAnsi="宋体"/>
          <w:color w:val="auto"/>
          <w:sz w:val="24"/>
        </w:rPr>
      </w:pPr>
      <w:r>
        <w:rPr>
          <w:rFonts w:hint="eastAsia" w:hAnsi="宋体"/>
          <w:color w:val="auto"/>
          <w:sz w:val="24"/>
        </w:rPr>
        <w:t>主要工艺简介：</w:t>
      </w:r>
    </w:p>
    <w:p>
      <w:pPr>
        <w:spacing w:line="360" w:lineRule="auto"/>
        <w:ind w:firstLine="480" w:firstLineChars="200"/>
        <w:rPr>
          <w:rFonts w:hint="eastAsia" w:hAnsi="宋体" w:eastAsia="宋体"/>
          <w:color w:val="auto"/>
          <w:sz w:val="24"/>
          <w:lang w:val="en-US" w:eastAsia="zh-CN"/>
        </w:rPr>
      </w:pPr>
      <w:r>
        <w:rPr>
          <w:rFonts w:hint="eastAsia" w:ascii="宋体" w:hAnsi="宋体"/>
          <w:color w:val="auto"/>
          <w:sz w:val="24"/>
        </w:rPr>
        <w:t xml:space="preserve">① </w:t>
      </w:r>
      <w:r>
        <w:rPr>
          <w:rFonts w:hint="eastAsia" w:hAnsi="宋体"/>
          <w:color w:val="auto"/>
          <w:sz w:val="24"/>
        </w:rPr>
        <w:t>除油：</w:t>
      </w:r>
      <w:r>
        <w:rPr>
          <w:rFonts w:hint="eastAsia" w:ascii="微软雅黑" w:hAnsi="微软雅黑"/>
          <w:color w:val="auto"/>
          <w:sz w:val="24"/>
        </w:rPr>
        <w:t>在</w:t>
      </w:r>
      <w:r>
        <w:rPr>
          <w:rFonts w:ascii="微软雅黑" w:hAnsi="微软雅黑"/>
          <w:color w:val="auto"/>
          <w:sz w:val="24"/>
        </w:rPr>
        <w:t>除油槽中</w:t>
      </w:r>
      <w:r>
        <w:rPr>
          <w:rFonts w:hint="eastAsia" w:ascii="微软雅黑" w:hAnsi="微软雅黑"/>
          <w:color w:val="auto"/>
          <w:sz w:val="24"/>
        </w:rPr>
        <w:t>添</w:t>
      </w:r>
      <w:r>
        <w:rPr>
          <w:rFonts w:hint="eastAsia" w:hAnsi="宋体"/>
          <w:color w:val="auto"/>
          <w:sz w:val="24"/>
        </w:rPr>
        <w:t>加301除油</w:t>
      </w:r>
      <w:r>
        <w:rPr>
          <w:rFonts w:hint="eastAsia" w:ascii="微软雅黑" w:hAnsi="微软雅黑"/>
          <w:color w:val="auto"/>
          <w:sz w:val="24"/>
        </w:rPr>
        <w:t>粉作为除油剂，</w:t>
      </w:r>
      <w:r>
        <w:rPr>
          <w:rFonts w:ascii="微软雅黑" w:hAnsi="微软雅黑"/>
          <w:color w:val="auto"/>
          <w:sz w:val="24"/>
        </w:rPr>
        <w:t>将待除油工件浸</w:t>
      </w:r>
      <w:r>
        <w:rPr>
          <w:rFonts w:hAnsi="宋体"/>
          <w:color w:val="auto"/>
          <w:sz w:val="24"/>
        </w:rPr>
        <w:t>渍</w:t>
      </w:r>
      <w:r>
        <w:rPr>
          <w:rFonts w:hint="eastAsia" w:hAnsi="宋体"/>
          <w:color w:val="auto"/>
          <w:sz w:val="24"/>
        </w:rPr>
        <w:t>10分</w:t>
      </w:r>
      <w:r>
        <w:rPr>
          <w:rFonts w:hint="eastAsia" w:ascii="微软雅黑" w:hAnsi="微软雅黑"/>
          <w:color w:val="auto"/>
          <w:sz w:val="24"/>
        </w:rPr>
        <w:t>钟</w:t>
      </w:r>
      <w:r>
        <w:rPr>
          <w:rFonts w:ascii="微软雅黑" w:hAnsi="微软雅黑"/>
          <w:color w:val="auto"/>
          <w:sz w:val="24"/>
        </w:rPr>
        <w:t>后取出</w:t>
      </w:r>
      <w:r>
        <w:rPr>
          <w:rFonts w:hint="eastAsia" w:ascii="微软雅黑" w:hAnsi="微软雅黑"/>
          <w:color w:val="auto"/>
          <w:sz w:val="24"/>
        </w:rPr>
        <w:t>，确保镀件表面清洁不含油脂</w:t>
      </w:r>
      <w:r>
        <w:rPr>
          <w:rFonts w:hint="eastAsia" w:hAnsi="宋体"/>
          <w:color w:val="auto"/>
          <w:sz w:val="24"/>
        </w:rPr>
        <w:t>。</w:t>
      </w:r>
      <w:r>
        <w:rPr>
          <w:rFonts w:hint="eastAsia" w:hAnsi="宋体"/>
          <w:color w:val="auto"/>
          <w:sz w:val="24"/>
          <w:lang w:eastAsia="zh-CN"/>
        </w:rPr>
        <w:t>该过程产生含油废水。</w:t>
      </w:r>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②</w:t>
      </w:r>
      <w:r>
        <w:rPr>
          <w:rFonts w:hint="eastAsia" w:hAnsi="宋体"/>
          <w:color w:val="auto"/>
          <w:sz w:val="24"/>
        </w:rPr>
        <w:t xml:space="preserve"> 出光：</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int="eastAsia" w:hAnsi="宋体"/>
          <w:color w:val="auto"/>
          <w:sz w:val="24"/>
        </w:rPr>
        <w:t>铝合金镀件</w:t>
      </w:r>
      <w:r>
        <w:rPr>
          <w:rFonts w:hint="eastAsia" w:hAnsi="宋体"/>
          <w:color w:val="auto"/>
          <w:sz w:val="24"/>
        </w:rPr>
        <w:fldChar w:fldCharType="end"/>
      </w:r>
      <w:r>
        <w:rPr>
          <w:rFonts w:hAnsi="宋体"/>
          <w:color w:val="auto"/>
          <w:sz w:val="24"/>
        </w:rPr>
        <w:t>水洗后用</w:t>
      </w:r>
      <w:r>
        <w:rPr>
          <w:color w:val="auto"/>
        </w:rPr>
        <w:fldChar w:fldCharType="begin"/>
      </w:r>
      <w:r>
        <w:rPr>
          <w:color w:val="auto"/>
        </w:rPr>
        <w:instrText xml:space="preserve"> HYPERLINK "http://www.baidu.com/s?wd=%E7%A8%80%E7%A1%9D%E9%85%B8&amp;hl_tag=textlink&amp;tn=SE_hldp01350_v6v6zkg6" \t "_blank" </w:instrText>
      </w:r>
      <w:r>
        <w:rPr>
          <w:color w:val="auto"/>
        </w:rPr>
        <w:fldChar w:fldCharType="separate"/>
      </w:r>
      <w:r>
        <w:rPr>
          <w:rFonts w:hAnsi="宋体"/>
          <w:color w:val="auto"/>
          <w:sz w:val="24"/>
        </w:rPr>
        <w:t>稀硝酸</w:t>
      </w:r>
      <w:r>
        <w:rPr>
          <w:rFonts w:hAnsi="宋体"/>
          <w:color w:val="auto"/>
          <w:sz w:val="24"/>
        </w:rPr>
        <w:fldChar w:fldCharType="end"/>
      </w:r>
      <w:r>
        <w:rPr>
          <w:rFonts w:hAnsi="宋体"/>
          <w:color w:val="auto"/>
          <w:sz w:val="24"/>
        </w:rPr>
        <w:t>5-10%溶液出光，使表面更加光亮，在碱性</w:t>
      </w:r>
      <w:r>
        <w:rPr>
          <w:color w:val="auto"/>
        </w:rPr>
        <w:fldChar w:fldCharType="begin"/>
      </w:r>
      <w:r>
        <w:rPr>
          <w:color w:val="auto"/>
        </w:rPr>
        <w:instrText xml:space="preserve"> HYPERLINK "http://www.baidu.com/s?wd=%E9%95%80%E9%94%8C&amp;hl_tag=textlink&amp;tn=SE_hldp01350_v6v6zkg6" \t "_blank" </w:instrText>
      </w:r>
      <w:r>
        <w:rPr>
          <w:color w:val="auto"/>
        </w:rPr>
        <w:fldChar w:fldCharType="separate"/>
      </w:r>
      <w:r>
        <w:rPr>
          <w:rFonts w:hAnsi="宋体"/>
          <w:color w:val="auto"/>
          <w:sz w:val="24"/>
        </w:rPr>
        <w:t>镀锌</w:t>
      </w:r>
      <w:r>
        <w:rPr>
          <w:rFonts w:hAnsi="宋体"/>
          <w:color w:val="auto"/>
          <w:sz w:val="24"/>
        </w:rPr>
        <w:fldChar w:fldCharType="end"/>
      </w:r>
      <w:r>
        <w:rPr>
          <w:rFonts w:hAnsi="宋体"/>
          <w:color w:val="auto"/>
          <w:sz w:val="24"/>
        </w:rPr>
        <w:t>中更不可少，它不仅可以增加锌层亮度，更可以中和零件凹孔内未清洗干净的碱液，利于后面</w:t>
      </w:r>
      <w:r>
        <w:rPr>
          <w:color w:val="auto"/>
        </w:rPr>
        <w:fldChar w:fldCharType="begin"/>
      </w:r>
      <w:r>
        <w:rPr>
          <w:color w:val="auto"/>
        </w:rPr>
        <w:instrText xml:space="preserve"> HYPERLINK "http://www.baidu.com/s?wd=%E9%92%9D%E5%8C%96%E6%B6%B2&amp;hl_tag=textlink&amp;tn=SE_hldp01350_v6v6zkg6" \t "_blank" </w:instrText>
      </w:r>
      <w:r>
        <w:rPr>
          <w:color w:val="auto"/>
        </w:rPr>
        <w:fldChar w:fldCharType="separate"/>
      </w:r>
      <w:r>
        <w:rPr>
          <w:rFonts w:hAnsi="宋体"/>
          <w:color w:val="auto"/>
          <w:sz w:val="24"/>
        </w:rPr>
        <w:t>钝化液</w:t>
      </w:r>
      <w:r>
        <w:rPr>
          <w:rFonts w:hAnsi="宋体"/>
          <w:color w:val="auto"/>
          <w:sz w:val="24"/>
        </w:rPr>
        <w:fldChar w:fldCharType="end"/>
      </w:r>
      <w:r>
        <w:rPr>
          <w:rFonts w:hAnsi="宋体"/>
          <w:color w:val="auto"/>
          <w:sz w:val="24"/>
        </w:rPr>
        <w:t>的稳定</w:t>
      </w:r>
      <w:r>
        <w:rPr>
          <w:rFonts w:hint="eastAsia" w:hAnsi="宋体"/>
          <w:color w:val="auto"/>
          <w:sz w:val="24"/>
        </w:rPr>
        <w:t>。</w:t>
      </w:r>
      <w:r>
        <w:rPr>
          <w:rFonts w:hint="eastAsia" w:hAnsi="宋体"/>
          <w:color w:val="auto"/>
          <w:sz w:val="24"/>
          <w:lang w:eastAsia="zh-CN"/>
        </w:rPr>
        <w:t>该过程产生酸雾废气以及老化液。</w:t>
      </w:r>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③</w:t>
      </w:r>
      <w:r>
        <w:rPr>
          <w:rFonts w:hint="eastAsia" w:hAnsi="宋体"/>
          <w:color w:val="auto"/>
          <w:sz w:val="24"/>
        </w:rPr>
        <w:t xml:space="preserve"> 退白：将工件浸入碱性溶液中，去除去金属件表面的污垢的过程。本项目采用1%的氢氟酸溶液。</w:t>
      </w:r>
      <w:r>
        <w:rPr>
          <w:rFonts w:hint="eastAsia" w:hAnsi="宋体"/>
          <w:color w:val="auto"/>
          <w:sz w:val="24"/>
          <w:lang w:eastAsia="zh-CN"/>
        </w:rPr>
        <w:t>该过程产生氟化物。</w:t>
      </w:r>
    </w:p>
    <w:p>
      <w:pPr>
        <w:spacing w:line="360" w:lineRule="auto"/>
        <w:ind w:firstLine="480" w:firstLineChars="200"/>
        <w:rPr>
          <w:rFonts w:hint="eastAsia" w:hAnsi="宋体" w:eastAsia="宋体"/>
          <w:color w:val="auto"/>
          <w:sz w:val="24"/>
          <w:lang w:eastAsia="zh-CN"/>
        </w:rPr>
      </w:pPr>
      <w:r>
        <w:rPr>
          <w:rFonts w:hint="eastAsia" w:ascii="宋体" w:hAnsi="宋体"/>
          <w:color w:val="auto"/>
          <w:sz w:val="24"/>
        </w:rPr>
        <w:t>④</w:t>
      </w:r>
      <w:r>
        <w:rPr>
          <w:rFonts w:hint="eastAsia"/>
          <w:color w:val="auto"/>
          <w:sz w:val="24"/>
        </w:rPr>
        <w:t xml:space="preserve"> </w:t>
      </w:r>
      <w:r>
        <w:rPr>
          <w:color w:val="auto"/>
          <w:sz w:val="24"/>
        </w:rPr>
        <w:t>钝化：</w:t>
      </w:r>
      <w:r>
        <w:rPr>
          <w:rFonts w:hAnsi="宋体"/>
          <w:color w:val="auto"/>
          <w:sz w:val="24"/>
        </w:rPr>
        <w:t>对</w:t>
      </w:r>
      <w:r>
        <w:rPr>
          <w:color w:val="auto"/>
        </w:rPr>
        <w:fldChar w:fldCharType="begin"/>
      </w:r>
      <w:r>
        <w:rPr>
          <w:color w:val="auto"/>
        </w:rPr>
        <w:instrText xml:space="preserve"> HYPERLINK "http://baike.baidu.com/view/24779.htm" \t "_blank" </w:instrText>
      </w:r>
      <w:r>
        <w:rPr>
          <w:color w:val="auto"/>
        </w:rPr>
        <w:fldChar w:fldCharType="separate"/>
      </w:r>
      <w:r>
        <w:rPr>
          <w:rFonts w:hAnsi="宋体"/>
          <w:color w:val="auto"/>
          <w:sz w:val="24"/>
        </w:rPr>
        <w:t>不锈钢</w:t>
      </w:r>
      <w:r>
        <w:rPr>
          <w:rFonts w:hAnsi="宋体"/>
          <w:color w:val="auto"/>
          <w:sz w:val="24"/>
        </w:rPr>
        <w:fldChar w:fldCharType="end"/>
      </w:r>
      <w:r>
        <w:rPr>
          <w:rFonts w:hAnsi="宋体"/>
          <w:color w:val="auto"/>
          <w:sz w:val="24"/>
        </w:rPr>
        <w:t>全面酸洗钝化处理，清除各类油污、锈、氧化皮、焊斑等污垢，处理后表面变成均匀</w:t>
      </w:r>
      <w:r>
        <w:rPr>
          <w:rFonts w:hint="eastAsia" w:hAnsi="宋体"/>
          <w:color w:val="auto"/>
          <w:sz w:val="24"/>
        </w:rPr>
        <w:t>黄</w:t>
      </w:r>
      <w:r>
        <w:rPr>
          <w:rFonts w:hAnsi="宋体"/>
          <w:color w:val="auto"/>
          <w:sz w:val="24"/>
        </w:rPr>
        <w:t>色，大大提高不锈钢抗腐蚀性能，</w:t>
      </w:r>
      <w:r>
        <w:rPr>
          <w:rFonts w:hint="eastAsia" w:hAnsi="宋体"/>
          <w:color w:val="auto"/>
          <w:sz w:val="24"/>
        </w:rPr>
        <w:t>这部分使用六价铬酸酐进行钝化，以H</w:t>
      </w:r>
      <w:r>
        <w:rPr>
          <w:rFonts w:hint="eastAsia" w:hAnsi="宋体"/>
          <w:color w:val="auto"/>
          <w:sz w:val="24"/>
          <w:vertAlign w:val="subscript"/>
        </w:rPr>
        <w:t>2</w:t>
      </w:r>
      <w:r>
        <w:rPr>
          <w:rFonts w:hint="eastAsia" w:hAnsi="宋体"/>
          <w:color w:val="auto"/>
          <w:sz w:val="24"/>
        </w:rPr>
        <w:t>SO</w:t>
      </w:r>
      <w:r>
        <w:rPr>
          <w:rFonts w:hint="eastAsia" w:hAnsi="宋体"/>
          <w:color w:val="auto"/>
          <w:sz w:val="24"/>
          <w:vertAlign w:val="subscript"/>
        </w:rPr>
        <w:t>4</w:t>
      </w:r>
      <w:r>
        <w:rPr>
          <w:rFonts w:hint="eastAsia" w:hAnsi="宋体"/>
          <w:color w:val="auto"/>
          <w:sz w:val="24"/>
        </w:rPr>
        <w:t>为催化剂，工作温度为1</w:t>
      </w:r>
      <w:r>
        <w:rPr>
          <w:rFonts w:hAnsi="宋体"/>
          <w:color w:val="auto"/>
          <w:sz w:val="24"/>
        </w:rPr>
        <w:t>0~</w:t>
      </w:r>
      <w:r>
        <w:rPr>
          <w:rFonts w:hint="eastAsia" w:hAnsi="宋体"/>
          <w:color w:val="auto"/>
          <w:sz w:val="24"/>
        </w:rPr>
        <w:t>2</w:t>
      </w:r>
      <w:r>
        <w:rPr>
          <w:rFonts w:hAnsi="宋体"/>
          <w:color w:val="auto"/>
          <w:sz w:val="24"/>
        </w:rPr>
        <w:t>0</w:t>
      </w:r>
      <w:r>
        <w:rPr>
          <w:rFonts w:hint="eastAsia" w:hAnsi="宋体"/>
          <w:color w:val="auto"/>
          <w:sz w:val="24"/>
        </w:rPr>
        <w:t>度左右。</w:t>
      </w:r>
      <w:r>
        <w:rPr>
          <w:rFonts w:hint="eastAsia" w:hAnsi="宋体"/>
          <w:color w:val="auto"/>
          <w:sz w:val="24"/>
          <w:lang w:eastAsia="zh-CN"/>
        </w:rPr>
        <w:t>该过程产生铬酸雾、老化液及废槽渣。</w:t>
      </w:r>
    </w:p>
    <w:p>
      <w:pPr>
        <w:spacing w:line="360" w:lineRule="auto"/>
        <w:ind w:firstLine="480" w:firstLineChars="200"/>
        <w:rPr>
          <w:rFonts w:hint="eastAsia" w:eastAsia="宋体"/>
          <w:color w:val="auto"/>
          <w:lang w:eastAsia="zh-CN"/>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r>
        <w:rPr>
          <w:rFonts w:hint="eastAsia" w:ascii="宋体" w:hAnsi="宋体"/>
          <w:color w:val="auto"/>
          <w:sz w:val="24"/>
        </w:rPr>
        <w:t>⑤</w:t>
      </w:r>
      <w:r>
        <w:rPr>
          <w:rFonts w:hint="eastAsia" w:hAnsi="宋体"/>
          <w:color w:val="auto"/>
          <w:sz w:val="24"/>
        </w:rPr>
        <w:t xml:space="preserve"> 退黄：将工件浸入片碱溶液中，除去金属表面剩余的六价铬酸，采用1%的碱液溶液进行退黄。</w:t>
      </w:r>
      <w:r>
        <w:rPr>
          <w:rFonts w:hint="eastAsia" w:hAnsi="宋体"/>
          <w:color w:val="auto"/>
          <w:sz w:val="24"/>
          <w:lang w:eastAsia="zh-CN"/>
        </w:rPr>
        <w:t>该过程产生碱雾废气。</w:t>
      </w:r>
    </w:p>
    <w:p>
      <w:pPr>
        <w:snapToGrid w:val="0"/>
        <w:spacing w:line="360" w:lineRule="auto"/>
        <w:ind w:firstLine="480" w:firstLineChars="200"/>
        <w:rPr>
          <w:bCs/>
          <w:color w:val="auto"/>
          <w:sz w:val="24"/>
        </w:rPr>
      </w:pPr>
      <w:r>
        <w:rPr>
          <w:rFonts w:hint="eastAsia"/>
          <w:bCs/>
          <w:color w:val="auto"/>
          <w:sz w:val="24"/>
        </w:rPr>
        <w:t>（2</w:t>
      </w:r>
      <w:r>
        <w:rPr>
          <w:bCs/>
          <w:color w:val="auto"/>
          <w:sz w:val="24"/>
        </w:rPr>
        <w:t>）</w:t>
      </w:r>
      <w:r>
        <w:rPr>
          <w:rFonts w:hint="eastAsia"/>
          <w:bCs/>
          <w:color w:val="auto"/>
          <w:sz w:val="24"/>
        </w:rPr>
        <w:t>产污分析：</w:t>
      </w:r>
    </w:p>
    <w:p>
      <w:pPr>
        <w:spacing w:line="360" w:lineRule="auto"/>
        <w:ind w:firstLine="480" w:firstLineChars="200"/>
        <w:rPr>
          <w:rFonts w:hAnsi="宋体"/>
          <w:color w:val="auto"/>
          <w:sz w:val="24"/>
        </w:rPr>
      </w:pPr>
      <w:r>
        <w:rPr>
          <w:rFonts w:hint="eastAsia" w:hAnsi="宋体"/>
          <w:color w:val="auto"/>
          <w:sz w:val="24"/>
        </w:rPr>
        <w:t>①废水：各工序清洗产生的清洗废水、滤芯的清洗废水、废气处理产生的废水、地面清洗废水。</w:t>
      </w:r>
    </w:p>
    <w:p>
      <w:pPr>
        <w:spacing w:line="360" w:lineRule="auto"/>
        <w:ind w:firstLine="480" w:firstLineChars="200"/>
        <w:rPr>
          <w:rFonts w:hAnsi="宋体"/>
          <w:color w:val="auto"/>
          <w:sz w:val="24"/>
        </w:rPr>
      </w:pPr>
      <w:r>
        <w:rPr>
          <w:rFonts w:hint="eastAsia" w:hAnsi="宋体"/>
          <w:color w:val="auto"/>
          <w:sz w:val="24"/>
        </w:rPr>
        <w:t>②废气：表面处理过程产生的硫酸雾、铬酸雾、氰化氢、氯化氢，以及加碱过程产生的碱雾，加酸过程产生的酸雾等废气。</w:t>
      </w:r>
    </w:p>
    <w:p>
      <w:pPr>
        <w:spacing w:line="360" w:lineRule="auto"/>
        <w:ind w:firstLine="480" w:firstLineChars="200"/>
        <w:jc w:val="left"/>
        <w:rPr>
          <w:rFonts w:hAnsi="宋体"/>
          <w:color w:val="auto"/>
          <w:sz w:val="24"/>
        </w:rPr>
      </w:pPr>
      <w:r>
        <w:rPr>
          <w:rFonts w:hint="eastAsia" w:hAnsi="宋体"/>
          <w:color w:val="auto"/>
          <w:sz w:val="24"/>
        </w:rPr>
        <w:t>③固废：</w:t>
      </w:r>
      <w:r>
        <w:rPr>
          <w:rFonts w:hint="eastAsia"/>
          <w:color w:val="auto"/>
          <w:sz w:val="24"/>
        </w:rPr>
        <w:t>定期更换的老化液、</w:t>
      </w:r>
      <w:r>
        <w:rPr>
          <w:rFonts w:hint="eastAsia"/>
          <w:color w:val="auto"/>
          <w:sz w:val="24"/>
          <w:lang w:eastAsia="zh-CN"/>
        </w:rPr>
        <w:t>废槽渣、</w:t>
      </w:r>
      <w:r>
        <w:rPr>
          <w:rFonts w:hint="eastAsia"/>
          <w:color w:val="auto"/>
          <w:sz w:val="24"/>
        </w:rPr>
        <w:t>废包装材料、废过滤芯以及废</w:t>
      </w:r>
      <w:r>
        <w:rPr>
          <w:rFonts w:hint="eastAsia" w:hAnsi="宋体"/>
          <w:color w:val="auto"/>
          <w:sz w:val="24"/>
        </w:rPr>
        <w:t>化学品包装物等。</w:t>
      </w:r>
    </w:p>
    <w:p>
      <w:pPr>
        <w:snapToGrid w:val="0"/>
        <w:spacing w:line="360" w:lineRule="auto"/>
        <w:outlineLvl w:val="1"/>
        <w:rPr>
          <w:b/>
          <w:color w:val="auto"/>
          <w:sz w:val="28"/>
          <w:szCs w:val="28"/>
        </w:rPr>
      </w:pPr>
      <w:r>
        <w:rPr>
          <w:b/>
          <w:color w:val="auto"/>
          <w:sz w:val="28"/>
          <w:szCs w:val="28"/>
        </w:rPr>
        <w:t>5.2</w:t>
      </w:r>
      <w:r>
        <w:rPr>
          <w:rFonts w:hint="eastAsia"/>
          <w:b/>
          <w:color w:val="auto"/>
          <w:sz w:val="28"/>
          <w:szCs w:val="28"/>
        </w:rPr>
        <w:t>工程污染物源强分析</w:t>
      </w:r>
    </w:p>
    <w:p>
      <w:pPr>
        <w:snapToGrid w:val="0"/>
        <w:spacing w:before="120" w:beforeLines="50" w:line="360" w:lineRule="auto"/>
        <w:outlineLvl w:val="2"/>
        <w:rPr>
          <w:b/>
          <w:color w:val="auto"/>
          <w:sz w:val="24"/>
        </w:rPr>
      </w:pPr>
      <w:bookmarkStart w:id="16" w:name="OLE_LINK19"/>
      <w:r>
        <w:rPr>
          <w:b/>
          <w:color w:val="auto"/>
          <w:sz w:val="24"/>
        </w:rPr>
        <w:t>5.</w:t>
      </w:r>
      <w:r>
        <w:rPr>
          <w:rFonts w:hint="eastAsia"/>
          <w:b/>
          <w:color w:val="auto"/>
          <w:sz w:val="24"/>
        </w:rPr>
        <w:t>2.1水污染源强分析</w:t>
      </w:r>
    </w:p>
    <w:bookmarkEnd w:id="16"/>
    <w:p>
      <w:pPr>
        <w:spacing w:line="360" w:lineRule="auto"/>
        <w:ind w:firstLine="480" w:firstLineChars="200"/>
        <w:rPr>
          <w:snapToGrid w:val="0"/>
          <w:color w:val="auto"/>
          <w:sz w:val="24"/>
        </w:rPr>
      </w:pPr>
      <w:r>
        <w:rPr>
          <w:rFonts w:hAnsi="宋体"/>
          <w:snapToGrid w:val="0"/>
          <w:color w:val="auto"/>
          <w:sz w:val="24"/>
        </w:rPr>
        <w:t>项目产生的废水主要来自生活废水和生产废水。</w:t>
      </w:r>
    </w:p>
    <w:p>
      <w:pPr>
        <w:spacing w:line="360" w:lineRule="auto"/>
        <w:ind w:firstLine="240" w:firstLineChars="100"/>
        <w:rPr>
          <w:color w:val="auto"/>
          <w:sz w:val="24"/>
        </w:rPr>
      </w:pPr>
      <w:r>
        <w:rPr>
          <w:rFonts w:hint="eastAsia"/>
          <w:color w:val="auto"/>
          <w:sz w:val="24"/>
        </w:rPr>
        <w:t>（1）</w:t>
      </w:r>
      <w:r>
        <w:rPr>
          <w:color w:val="auto"/>
          <w:sz w:val="24"/>
        </w:rPr>
        <w:t>生活污水</w:t>
      </w:r>
    </w:p>
    <w:p>
      <w:pPr>
        <w:spacing w:line="360" w:lineRule="auto"/>
        <w:ind w:firstLine="480" w:firstLineChars="200"/>
        <w:rPr>
          <w:snapToGrid w:val="0"/>
          <w:color w:val="auto"/>
          <w:kern w:val="0"/>
          <w:sz w:val="24"/>
        </w:rPr>
      </w:pPr>
      <w:r>
        <w:rPr>
          <w:rFonts w:hAnsi="宋体"/>
          <w:color w:val="auto"/>
          <w:sz w:val="24"/>
        </w:rPr>
        <w:t>该项目职工约</w:t>
      </w:r>
      <w:r>
        <w:rPr>
          <w:rFonts w:hint="eastAsia"/>
          <w:color w:val="auto"/>
          <w:sz w:val="24"/>
        </w:rPr>
        <w:t>20</w:t>
      </w:r>
      <w:r>
        <w:rPr>
          <w:rFonts w:hAnsi="宋体"/>
          <w:color w:val="auto"/>
          <w:sz w:val="24"/>
        </w:rPr>
        <w:t>人，</w:t>
      </w:r>
      <w:r>
        <w:rPr>
          <w:rFonts w:hint="eastAsia" w:hAnsi="宋体"/>
          <w:color w:val="auto"/>
          <w:sz w:val="24"/>
        </w:rPr>
        <w:t>均不在</w:t>
      </w:r>
      <w:r>
        <w:rPr>
          <w:rFonts w:hAnsi="宋体"/>
          <w:color w:val="auto"/>
          <w:sz w:val="24"/>
        </w:rPr>
        <w:t>厂区</w:t>
      </w:r>
      <w:r>
        <w:rPr>
          <w:rFonts w:hint="eastAsia" w:hAnsi="宋体"/>
          <w:color w:val="auto"/>
          <w:sz w:val="24"/>
        </w:rPr>
        <w:t>内住宿，</w:t>
      </w:r>
      <w:r>
        <w:rPr>
          <w:rFonts w:hAnsi="宋体"/>
          <w:color w:val="auto"/>
          <w:sz w:val="24"/>
        </w:rPr>
        <w:t>员工用水量取</w:t>
      </w:r>
      <w:r>
        <w:rPr>
          <w:color w:val="auto"/>
          <w:sz w:val="24"/>
        </w:rPr>
        <w:t>50L/d•</w:t>
      </w:r>
      <w:r>
        <w:rPr>
          <w:rFonts w:hAnsi="宋体"/>
          <w:color w:val="auto"/>
          <w:sz w:val="24"/>
        </w:rPr>
        <w:t>人计，则年用水量约为</w:t>
      </w:r>
      <w:r>
        <w:rPr>
          <w:rFonts w:hint="eastAsia"/>
          <w:color w:val="auto"/>
          <w:sz w:val="24"/>
          <w:lang w:val="en-US" w:eastAsia="zh-CN"/>
        </w:rPr>
        <w:t>26</w:t>
      </w:r>
      <w:r>
        <w:rPr>
          <w:rFonts w:hint="eastAsia"/>
          <w:color w:val="auto"/>
          <w:sz w:val="24"/>
        </w:rPr>
        <w:t>0</w:t>
      </w:r>
      <w:r>
        <w:rPr>
          <w:color w:val="auto"/>
          <w:sz w:val="24"/>
        </w:rPr>
        <w:t>t/a</w:t>
      </w:r>
      <w:r>
        <w:rPr>
          <w:rFonts w:hAnsi="宋体"/>
          <w:color w:val="auto"/>
          <w:sz w:val="24"/>
        </w:rPr>
        <w:t>，污水排放量按用水量的</w:t>
      </w:r>
      <w:r>
        <w:rPr>
          <w:rFonts w:hint="eastAsia"/>
          <w:color w:val="auto"/>
          <w:sz w:val="24"/>
        </w:rPr>
        <w:t>9</w:t>
      </w:r>
      <w:r>
        <w:rPr>
          <w:color w:val="auto"/>
          <w:sz w:val="24"/>
        </w:rPr>
        <w:t>0%</w:t>
      </w:r>
      <w:r>
        <w:rPr>
          <w:rFonts w:hAnsi="宋体"/>
          <w:color w:val="auto"/>
          <w:sz w:val="24"/>
        </w:rPr>
        <w:t>计，则该项目年产生生活污水量为</w:t>
      </w:r>
      <w:r>
        <w:rPr>
          <w:rFonts w:hint="eastAsia"/>
          <w:color w:val="auto"/>
          <w:sz w:val="24"/>
        </w:rPr>
        <w:t>2</w:t>
      </w:r>
      <w:r>
        <w:rPr>
          <w:rFonts w:hint="eastAsia"/>
          <w:color w:val="auto"/>
          <w:sz w:val="24"/>
          <w:lang w:val="en-US" w:eastAsia="zh-CN"/>
        </w:rPr>
        <w:t>34</w:t>
      </w:r>
      <w:r>
        <w:rPr>
          <w:color w:val="auto"/>
          <w:sz w:val="24"/>
        </w:rPr>
        <w:t>t/a</w:t>
      </w:r>
      <w:r>
        <w:rPr>
          <w:rFonts w:hAnsi="宋体"/>
          <w:color w:val="auto"/>
          <w:sz w:val="24"/>
        </w:rPr>
        <w:t>。</w:t>
      </w:r>
      <w:r>
        <w:rPr>
          <w:rFonts w:hint="eastAsia" w:hAnsi="宋体"/>
          <w:color w:val="auto"/>
          <w:sz w:val="24"/>
        </w:rPr>
        <w:t>根据《给排水设计手册》（第五册城镇排水）</w:t>
      </w:r>
      <w:r>
        <w:rPr>
          <w:rFonts w:hAnsi="宋体"/>
          <w:color w:val="auto"/>
          <w:sz w:val="24"/>
        </w:rPr>
        <w:t>COD</w:t>
      </w:r>
      <w:r>
        <w:rPr>
          <w:rFonts w:hint="eastAsia" w:hAnsi="宋体"/>
          <w:color w:val="auto"/>
          <w:sz w:val="24"/>
        </w:rPr>
        <w:t xml:space="preserve"> </w:t>
      </w:r>
      <w:r>
        <w:rPr>
          <w:rFonts w:hAnsi="宋体"/>
          <w:color w:val="auto"/>
          <w:sz w:val="24"/>
        </w:rPr>
        <w:t>400mg/L、BOD</w:t>
      </w:r>
      <w:r>
        <w:rPr>
          <w:rFonts w:hAnsi="宋体"/>
          <w:color w:val="auto"/>
          <w:sz w:val="24"/>
          <w:vertAlign w:val="subscript"/>
        </w:rPr>
        <w:t>5</w:t>
      </w:r>
      <w:r>
        <w:rPr>
          <w:rFonts w:hAnsi="宋体"/>
          <w:color w:val="auto"/>
          <w:sz w:val="24"/>
        </w:rPr>
        <w:t xml:space="preserve"> 200mg/L、SS 220mg/L、</w:t>
      </w:r>
      <w:r>
        <w:rPr>
          <w:rFonts w:hint="eastAsia" w:hAnsi="宋体"/>
          <w:color w:val="auto"/>
          <w:sz w:val="24"/>
        </w:rPr>
        <w:t>氨氮</w:t>
      </w:r>
      <w:r>
        <w:rPr>
          <w:rFonts w:hAnsi="宋体"/>
          <w:color w:val="auto"/>
          <w:sz w:val="24"/>
        </w:rPr>
        <w:t>35mg/L</w:t>
      </w:r>
      <w:r>
        <w:rPr>
          <w:rFonts w:hint="eastAsia" w:hAnsi="宋体"/>
          <w:color w:val="auto"/>
          <w:sz w:val="24"/>
          <w:lang w:eastAsia="zh-CN"/>
        </w:rPr>
        <w:t>。</w:t>
      </w:r>
      <w:r>
        <w:rPr>
          <w:snapToGrid w:val="0"/>
          <w:color w:val="auto"/>
          <w:kern w:val="0"/>
          <w:sz w:val="24"/>
        </w:rPr>
        <w:t>生活污水水质及其污染物产生量见表</w:t>
      </w:r>
      <w:r>
        <w:rPr>
          <w:rFonts w:hint="eastAsia"/>
          <w:snapToGrid w:val="0"/>
          <w:color w:val="auto"/>
          <w:kern w:val="0"/>
          <w:sz w:val="24"/>
        </w:rPr>
        <w:t>5.2-1</w:t>
      </w:r>
      <w:r>
        <w:rPr>
          <w:snapToGrid w:val="0"/>
          <w:color w:val="auto"/>
          <w:kern w:val="0"/>
          <w:sz w:val="24"/>
        </w:rPr>
        <w:t>。</w:t>
      </w:r>
    </w:p>
    <w:p>
      <w:pPr>
        <w:spacing w:line="360" w:lineRule="auto"/>
        <w:jc w:val="center"/>
        <w:rPr>
          <w:b/>
          <w:color w:val="auto"/>
          <w:sz w:val="24"/>
        </w:rPr>
      </w:pPr>
      <w:r>
        <w:rPr>
          <w:rFonts w:hint="eastAsia"/>
          <w:b/>
          <w:color w:val="auto"/>
          <w:sz w:val="24"/>
        </w:rPr>
        <w:t>表5.2-1 项目生活污水</w:t>
      </w:r>
      <w:r>
        <w:rPr>
          <w:rFonts w:hint="eastAsia"/>
          <w:b/>
          <w:color w:val="auto"/>
          <w:sz w:val="24"/>
          <w:lang w:eastAsia="zh-CN"/>
        </w:rPr>
        <w:t>产排放</w:t>
      </w:r>
      <w:r>
        <w:rPr>
          <w:rFonts w:hint="eastAsia"/>
          <w:b/>
          <w:color w:val="auto"/>
          <w:sz w:val="24"/>
        </w:rPr>
        <w:t>量</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1192"/>
        <w:gridCol w:w="1426"/>
        <w:gridCol w:w="1302"/>
        <w:gridCol w:w="1181"/>
        <w:gridCol w:w="15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0" w:type="dxa"/>
            <w:vAlign w:val="center"/>
          </w:tcPr>
          <w:p>
            <w:pPr>
              <w:jc w:val="center"/>
              <w:rPr>
                <w:color w:val="auto"/>
                <w:szCs w:val="21"/>
              </w:rPr>
            </w:pPr>
            <w:r>
              <w:rPr>
                <w:rFonts w:hAnsi="宋体"/>
                <w:color w:val="auto"/>
                <w:szCs w:val="21"/>
              </w:rPr>
              <w:t>污染物</w:t>
            </w:r>
          </w:p>
        </w:tc>
        <w:tc>
          <w:tcPr>
            <w:tcW w:w="1192" w:type="dxa"/>
            <w:vAlign w:val="center"/>
          </w:tcPr>
          <w:p>
            <w:pPr>
              <w:jc w:val="center"/>
              <w:rPr>
                <w:color w:val="auto"/>
                <w:szCs w:val="21"/>
              </w:rPr>
            </w:pPr>
            <w:r>
              <w:rPr>
                <w:rFonts w:hAnsi="宋体"/>
                <w:color w:val="auto"/>
                <w:szCs w:val="21"/>
              </w:rPr>
              <w:t>废水量</w:t>
            </w:r>
          </w:p>
        </w:tc>
        <w:tc>
          <w:tcPr>
            <w:tcW w:w="1426" w:type="dxa"/>
            <w:vAlign w:val="center"/>
          </w:tcPr>
          <w:p>
            <w:pPr>
              <w:jc w:val="center"/>
              <w:rPr>
                <w:color w:val="auto"/>
                <w:szCs w:val="21"/>
              </w:rPr>
            </w:pPr>
            <w:r>
              <w:rPr>
                <w:color w:val="auto"/>
                <w:szCs w:val="21"/>
              </w:rPr>
              <w:t>COD</w:t>
            </w:r>
          </w:p>
        </w:tc>
        <w:tc>
          <w:tcPr>
            <w:tcW w:w="1302" w:type="dxa"/>
            <w:vAlign w:val="center"/>
          </w:tcPr>
          <w:p>
            <w:pPr>
              <w:jc w:val="center"/>
              <w:rPr>
                <w:color w:val="auto"/>
                <w:szCs w:val="21"/>
              </w:rPr>
            </w:pPr>
            <w:r>
              <w:rPr>
                <w:color w:val="auto"/>
                <w:szCs w:val="21"/>
              </w:rPr>
              <w:t>BOD</w:t>
            </w:r>
            <w:r>
              <w:rPr>
                <w:color w:val="auto"/>
                <w:szCs w:val="21"/>
                <w:vertAlign w:val="subscript"/>
              </w:rPr>
              <w:t>5</w:t>
            </w:r>
          </w:p>
        </w:tc>
        <w:tc>
          <w:tcPr>
            <w:tcW w:w="1181" w:type="dxa"/>
            <w:vAlign w:val="center"/>
          </w:tcPr>
          <w:p>
            <w:pPr>
              <w:jc w:val="center"/>
              <w:rPr>
                <w:color w:val="auto"/>
                <w:szCs w:val="21"/>
              </w:rPr>
            </w:pPr>
            <w:r>
              <w:rPr>
                <w:color w:val="auto"/>
                <w:szCs w:val="21"/>
              </w:rPr>
              <w:t>SS</w:t>
            </w:r>
          </w:p>
        </w:tc>
        <w:tc>
          <w:tcPr>
            <w:tcW w:w="1545" w:type="dxa"/>
            <w:vAlign w:val="center"/>
          </w:tcPr>
          <w:p>
            <w:pPr>
              <w:jc w:val="center"/>
              <w:rPr>
                <w:color w:val="auto"/>
                <w:szCs w:val="21"/>
              </w:rPr>
            </w:pPr>
            <w:r>
              <w:rPr>
                <w:color w:val="auto"/>
                <w:szCs w:val="21"/>
              </w:rPr>
              <w:t>NH</w:t>
            </w:r>
            <w:r>
              <w:rPr>
                <w:color w:val="auto"/>
                <w:szCs w:val="21"/>
                <w:vertAlign w:val="subscript"/>
              </w:rPr>
              <w:t>3</w:t>
            </w:r>
            <w:r>
              <w:rPr>
                <w:color w:val="auto"/>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0" w:type="dxa"/>
            <w:vAlign w:val="center"/>
          </w:tcPr>
          <w:p>
            <w:pPr>
              <w:jc w:val="center"/>
              <w:rPr>
                <w:color w:val="auto"/>
                <w:szCs w:val="21"/>
              </w:rPr>
            </w:pPr>
            <w:r>
              <w:rPr>
                <w:rFonts w:hAnsi="宋体"/>
                <w:color w:val="auto"/>
                <w:szCs w:val="21"/>
              </w:rPr>
              <w:t>产生浓度（</w:t>
            </w:r>
            <w:r>
              <w:rPr>
                <w:color w:val="auto"/>
                <w:szCs w:val="21"/>
              </w:rPr>
              <w:t>mg/L</w:t>
            </w:r>
            <w:r>
              <w:rPr>
                <w:rFonts w:hAnsi="宋体"/>
                <w:color w:val="auto"/>
                <w:szCs w:val="21"/>
              </w:rPr>
              <w:t>）</w:t>
            </w:r>
          </w:p>
        </w:tc>
        <w:tc>
          <w:tcPr>
            <w:tcW w:w="1192" w:type="dxa"/>
            <w:vMerge w:val="restart"/>
            <w:vAlign w:val="center"/>
          </w:tcPr>
          <w:p>
            <w:pPr>
              <w:jc w:val="center"/>
              <w:rPr>
                <w:color w:val="auto"/>
                <w:szCs w:val="21"/>
              </w:rPr>
            </w:pPr>
            <w:r>
              <w:rPr>
                <w:rFonts w:hint="eastAsia"/>
                <w:bCs/>
                <w:color w:val="auto"/>
                <w:szCs w:val="21"/>
              </w:rPr>
              <w:t>2</w:t>
            </w:r>
            <w:r>
              <w:rPr>
                <w:rFonts w:hint="eastAsia"/>
                <w:bCs/>
                <w:color w:val="auto"/>
                <w:szCs w:val="21"/>
                <w:lang w:val="en-US" w:eastAsia="zh-CN"/>
              </w:rPr>
              <w:t>34</w:t>
            </w:r>
            <w:r>
              <w:rPr>
                <w:bCs/>
                <w:color w:val="auto"/>
                <w:szCs w:val="21"/>
              </w:rPr>
              <w:t>t/a</w:t>
            </w:r>
          </w:p>
        </w:tc>
        <w:tc>
          <w:tcPr>
            <w:tcW w:w="1426" w:type="dxa"/>
            <w:vAlign w:val="center"/>
          </w:tcPr>
          <w:p>
            <w:pPr>
              <w:jc w:val="center"/>
              <w:rPr>
                <w:color w:val="auto"/>
                <w:szCs w:val="21"/>
              </w:rPr>
            </w:pPr>
            <w:r>
              <w:rPr>
                <w:color w:val="auto"/>
                <w:szCs w:val="21"/>
              </w:rPr>
              <w:t>400</w:t>
            </w:r>
          </w:p>
        </w:tc>
        <w:tc>
          <w:tcPr>
            <w:tcW w:w="1302" w:type="dxa"/>
            <w:vAlign w:val="center"/>
          </w:tcPr>
          <w:p>
            <w:pPr>
              <w:jc w:val="center"/>
              <w:rPr>
                <w:color w:val="auto"/>
                <w:szCs w:val="21"/>
              </w:rPr>
            </w:pPr>
            <w:r>
              <w:rPr>
                <w:color w:val="auto"/>
                <w:szCs w:val="21"/>
              </w:rPr>
              <w:t>2</w:t>
            </w:r>
            <w:r>
              <w:rPr>
                <w:rFonts w:hint="eastAsia"/>
                <w:color w:val="auto"/>
                <w:szCs w:val="21"/>
              </w:rPr>
              <w:t>5</w:t>
            </w:r>
            <w:r>
              <w:rPr>
                <w:color w:val="auto"/>
                <w:szCs w:val="21"/>
              </w:rPr>
              <w:t>0</w:t>
            </w:r>
          </w:p>
        </w:tc>
        <w:tc>
          <w:tcPr>
            <w:tcW w:w="1181" w:type="dxa"/>
            <w:vAlign w:val="center"/>
          </w:tcPr>
          <w:p>
            <w:pPr>
              <w:jc w:val="center"/>
              <w:rPr>
                <w:color w:val="auto"/>
                <w:szCs w:val="21"/>
              </w:rPr>
            </w:pPr>
            <w:r>
              <w:rPr>
                <w:color w:val="auto"/>
                <w:szCs w:val="21"/>
              </w:rPr>
              <w:t>220</w:t>
            </w:r>
          </w:p>
        </w:tc>
        <w:tc>
          <w:tcPr>
            <w:tcW w:w="1545" w:type="dxa"/>
            <w:vAlign w:val="center"/>
          </w:tcPr>
          <w:p>
            <w:pPr>
              <w:jc w:val="center"/>
              <w:rPr>
                <w:color w:val="auto"/>
                <w:szCs w:val="21"/>
              </w:rPr>
            </w:pPr>
            <w:r>
              <w:rPr>
                <w:color w:val="auto"/>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2640" w:type="dxa"/>
            <w:vAlign w:val="center"/>
          </w:tcPr>
          <w:p>
            <w:pPr>
              <w:jc w:val="center"/>
              <w:rPr>
                <w:color w:val="auto"/>
                <w:szCs w:val="21"/>
              </w:rPr>
            </w:pPr>
            <w:r>
              <w:rPr>
                <w:rFonts w:hAnsi="宋体"/>
                <w:color w:val="auto"/>
                <w:szCs w:val="21"/>
              </w:rPr>
              <w:t>产生量（</w:t>
            </w:r>
            <w:r>
              <w:rPr>
                <w:color w:val="auto"/>
                <w:szCs w:val="21"/>
              </w:rPr>
              <w:t>t/a</w:t>
            </w:r>
            <w:r>
              <w:rPr>
                <w:rFonts w:hAnsi="宋体"/>
                <w:color w:val="auto"/>
                <w:szCs w:val="21"/>
              </w:rPr>
              <w:t>）</w:t>
            </w:r>
          </w:p>
        </w:tc>
        <w:tc>
          <w:tcPr>
            <w:tcW w:w="1192" w:type="dxa"/>
            <w:vMerge w:val="continue"/>
            <w:vAlign w:val="center"/>
          </w:tcPr>
          <w:p>
            <w:pPr>
              <w:jc w:val="center"/>
              <w:rPr>
                <w:color w:val="auto"/>
                <w:szCs w:val="21"/>
              </w:rPr>
            </w:pPr>
          </w:p>
        </w:tc>
        <w:tc>
          <w:tcPr>
            <w:tcW w:w="1426" w:type="dxa"/>
            <w:vAlign w:val="center"/>
          </w:tcPr>
          <w:p>
            <w:pPr>
              <w:jc w:val="center"/>
              <w:rPr>
                <w:color w:val="auto"/>
                <w:szCs w:val="21"/>
              </w:rPr>
            </w:pPr>
            <w:r>
              <w:rPr>
                <w:rFonts w:hint="eastAsia"/>
                <w:color w:val="auto"/>
                <w:szCs w:val="21"/>
              </w:rPr>
              <w:t>0.108</w:t>
            </w:r>
          </w:p>
        </w:tc>
        <w:tc>
          <w:tcPr>
            <w:tcW w:w="1302" w:type="dxa"/>
            <w:vAlign w:val="center"/>
          </w:tcPr>
          <w:p>
            <w:pPr>
              <w:jc w:val="center"/>
              <w:rPr>
                <w:color w:val="auto"/>
                <w:szCs w:val="21"/>
              </w:rPr>
            </w:pPr>
            <w:r>
              <w:rPr>
                <w:rFonts w:hint="eastAsia"/>
                <w:color w:val="auto"/>
                <w:szCs w:val="21"/>
              </w:rPr>
              <w:t>0.068</w:t>
            </w:r>
          </w:p>
        </w:tc>
        <w:tc>
          <w:tcPr>
            <w:tcW w:w="1181" w:type="dxa"/>
            <w:vAlign w:val="center"/>
          </w:tcPr>
          <w:p>
            <w:pPr>
              <w:jc w:val="center"/>
              <w:rPr>
                <w:color w:val="auto"/>
                <w:szCs w:val="21"/>
              </w:rPr>
            </w:pPr>
            <w:r>
              <w:rPr>
                <w:rFonts w:hint="eastAsia"/>
                <w:color w:val="auto"/>
                <w:szCs w:val="21"/>
              </w:rPr>
              <w:t>0.058</w:t>
            </w:r>
          </w:p>
        </w:tc>
        <w:tc>
          <w:tcPr>
            <w:tcW w:w="1545" w:type="dxa"/>
            <w:vAlign w:val="center"/>
          </w:tcPr>
          <w:p>
            <w:pPr>
              <w:jc w:val="center"/>
              <w:rPr>
                <w:color w:val="auto"/>
                <w:szCs w:val="21"/>
              </w:rPr>
            </w:pPr>
            <w:r>
              <w:rPr>
                <w:rFonts w:hint="eastAsia"/>
                <w:color w:val="auto"/>
                <w:szCs w:val="21"/>
              </w:rPr>
              <w:t>0.01</w:t>
            </w:r>
          </w:p>
        </w:tc>
      </w:tr>
    </w:tbl>
    <w:p>
      <w:pPr>
        <w:spacing w:line="360" w:lineRule="auto"/>
        <w:ind w:firstLine="240" w:firstLineChars="100"/>
        <w:rPr>
          <w:color w:val="auto"/>
          <w:sz w:val="24"/>
        </w:rPr>
      </w:pPr>
    </w:p>
    <w:p>
      <w:pPr>
        <w:spacing w:line="360" w:lineRule="auto"/>
        <w:ind w:firstLine="240" w:firstLineChars="100"/>
        <w:rPr>
          <w:color w:val="auto"/>
          <w:sz w:val="24"/>
        </w:rPr>
      </w:pPr>
      <w:r>
        <w:rPr>
          <w:rFonts w:hint="eastAsia"/>
          <w:color w:val="auto"/>
          <w:sz w:val="24"/>
        </w:rPr>
        <w:t>（2）</w:t>
      </w:r>
      <w:r>
        <w:rPr>
          <w:color w:val="auto"/>
          <w:sz w:val="24"/>
        </w:rPr>
        <w:t>生产废水</w:t>
      </w:r>
    </w:p>
    <w:p>
      <w:pPr>
        <w:spacing w:line="360" w:lineRule="auto"/>
        <w:ind w:firstLine="480" w:firstLineChars="200"/>
        <w:rPr>
          <w:rFonts w:hint="eastAsia" w:hAnsi="宋体"/>
          <w:color w:val="auto"/>
          <w:sz w:val="24"/>
        </w:rPr>
      </w:pPr>
      <w:r>
        <w:rPr>
          <w:rFonts w:hAnsi="宋体"/>
          <w:color w:val="auto"/>
          <w:sz w:val="24"/>
        </w:rPr>
        <w:t>项目生产废水主要来自</w:t>
      </w:r>
      <w:r>
        <w:rPr>
          <w:rFonts w:hint="eastAsia" w:hAnsi="宋体"/>
          <w:color w:val="auto"/>
          <w:sz w:val="24"/>
        </w:rPr>
        <w:t>各工序清洗产生的清洗废水、</w:t>
      </w:r>
      <w:r>
        <w:rPr>
          <w:rFonts w:hAnsi="宋体"/>
          <w:color w:val="auto"/>
          <w:sz w:val="24"/>
        </w:rPr>
        <w:t>滤芯清洗废水</w:t>
      </w:r>
      <w:r>
        <w:rPr>
          <w:rFonts w:hint="eastAsia" w:hAnsi="宋体"/>
          <w:color w:val="auto"/>
          <w:sz w:val="24"/>
        </w:rPr>
        <w:t>、地面冲洗废水、废气处理过程中产生的废水。由于本项目原有工程已经运行多年，本次迁建不涉及产能新增以及生产工艺改变，因此拟建工程生产废水水质参考原有工程稳定运行后的验收监测数据进行分析。</w:t>
      </w:r>
    </w:p>
    <w:p>
      <w:pPr>
        <w:pStyle w:val="2"/>
        <w:ind w:firstLine="420"/>
        <w:rPr>
          <w:rFonts w:hint="eastAsia"/>
          <w:color w:val="auto"/>
        </w:rPr>
      </w:pPr>
      <w:r>
        <w:rPr>
          <w:rFonts w:hint="eastAsia"/>
          <w:color w:val="auto"/>
        </w:rPr>
        <w:t>根据《福鼎市质达金属表面处理有限公司各类金属元件表面处理项目竣工环境保护验收监测报告》鼎环保站验（2017）第12号报告中废水监测结果（监测期间企业正常生产，生产规模达到生产能力78%），</w:t>
      </w:r>
      <w:r>
        <w:rPr>
          <w:rFonts w:hint="eastAsia"/>
          <w:color w:val="auto"/>
          <w:lang w:eastAsia="zh-CN"/>
        </w:rPr>
        <w:t>企业各股废水水质监测数据</w:t>
      </w:r>
      <w:r>
        <w:rPr>
          <w:rFonts w:hint="eastAsia"/>
          <w:color w:val="auto"/>
        </w:rPr>
        <w:t>详见下表5.2-2。</w:t>
      </w:r>
    </w:p>
    <w:p>
      <w:pPr>
        <w:pStyle w:val="2"/>
        <w:ind w:firstLine="420"/>
        <w:rPr>
          <w:rFonts w:hint="eastAsia"/>
          <w:color w:val="auto"/>
        </w:rPr>
      </w:pPr>
    </w:p>
    <w:p>
      <w:pPr>
        <w:pStyle w:val="2"/>
        <w:ind w:firstLine="420"/>
        <w:rPr>
          <w:rFonts w:hint="eastAsia"/>
          <w:color w:val="auto"/>
        </w:rPr>
      </w:pPr>
    </w:p>
    <w:p>
      <w:pPr>
        <w:spacing w:line="360" w:lineRule="auto"/>
        <w:jc w:val="center"/>
        <w:rPr>
          <w:b/>
          <w:color w:val="auto"/>
          <w:sz w:val="24"/>
        </w:rPr>
      </w:pPr>
      <w:r>
        <w:rPr>
          <w:rFonts w:hint="eastAsia"/>
          <w:b/>
          <w:color w:val="auto"/>
          <w:sz w:val="24"/>
        </w:rPr>
        <w:t>表5.2-2 企业生产废水水质一览表</w:t>
      </w:r>
    </w:p>
    <w:tbl>
      <w:tblPr>
        <w:tblStyle w:val="23"/>
        <w:tblW w:w="92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1"/>
        <w:gridCol w:w="687"/>
        <w:gridCol w:w="735"/>
        <w:gridCol w:w="795"/>
        <w:gridCol w:w="900"/>
        <w:gridCol w:w="1165"/>
        <w:gridCol w:w="1172"/>
        <w:gridCol w:w="846"/>
        <w:gridCol w:w="941"/>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restart"/>
            <w:tcBorders>
              <w:tl2br w:val="nil"/>
              <w:tr2bl w:val="nil"/>
            </w:tcBorders>
            <w:vAlign w:val="center"/>
          </w:tcPr>
          <w:p>
            <w:pPr>
              <w:pStyle w:val="41"/>
              <w:rPr>
                <w:color w:val="auto"/>
              </w:rPr>
            </w:pPr>
            <w:r>
              <w:rPr>
                <w:rFonts w:hint="eastAsia"/>
                <w:color w:val="auto"/>
              </w:rPr>
              <w:t>监测</w:t>
            </w:r>
          </w:p>
          <w:p>
            <w:pPr>
              <w:pStyle w:val="41"/>
              <w:rPr>
                <w:color w:val="auto"/>
              </w:rPr>
            </w:pPr>
            <w:r>
              <w:rPr>
                <w:rFonts w:hint="eastAsia"/>
                <w:color w:val="auto"/>
              </w:rPr>
              <w:t>日期</w:t>
            </w:r>
          </w:p>
        </w:tc>
        <w:tc>
          <w:tcPr>
            <w:tcW w:w="687" w:type="dxa"/>
            <w:vMerge w:val="restart"/>
            <w:tcBorders>
              <w:tl2br w:val="nil"/>
              <w:tr2bl w:val="nil"/>
            </w:tcBorders>
            <w:vAlign w:val="center"/>
          </w:tcPr>
          <w:p>
            <w:pPr>
              <w:pStyle w:val="41"/>
              <w:rPr>
                <w:color w:val="auto"/>
              </w:rPr>
            </w:pPr>
            <w:r>
              <w:rPr>
                <w:rFonts w:hint="eastAsia"/>
                <w:color w:val="auto"/>
              </w:rPr>
              <w:t>监测</w:t>
            </w:r>
          </w:p>
          <w:p>
            <w:pPr>
              <w:pStyle w:val="41"/>
              <w:rPr>
                <w:color w:val="auto"/>
              </w:rPr>
            </w:pPr>
            <w:r>
              <w:rPr>
                <w:rFonts w:hint="eastAsia"/>
                <w:color w:val="auto"/>
              </w:rPr>
              <w:t>频次</w:t>
            </w:r>
          </w:p>
        </w:tc>
        <w:tc>
          <w:tcPr>
            <w:tcW w:w="7727" w:type="dxa"/>
            <w:gridSpan w:val="8"/>
            <w:tcBorders>
              <w:tl2br w:val="nil"/>
              <w:tr2bl w:val="nil"/>
            </w:tcBorders>
            <w:vAlign w:val="center"/>
          </w:tcPr>
          <w:p>
            <w:pPr>
              <w:pStyle w:val="41"/>
              <w:rPr>
                <w:color w:val="auto"/>
              </w:rPr>
            </w:pPr>
            <w:r>
              <w:rPr>
                <w:rFonts w:hint="eastAsia"/>
                <w:color w:val="auto"/>
              </w:rPr>
              <w:t>监测结果（mg/L，pH除外）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continue"/>
            <w:tcBorders>
              <w:tl2br w:val="nil"/>
              <w:tr2bl w:val="nil"/>
            </w:tcBorders>
            <w:vAlign w:val="center"/>
          </w:tcPr>
          <w:p>
            <w:pPr>
              <w:pStyle w:val="41"/>
              <w:rPr>
                <w:color w:val="auto"/>
              </w:rPr>
            </w:pPr>
          </w:p>
        </w:tc>
        <w:tc>
          <w:tcPr>
            <w:tcW w:w="687" w:type="dxa"/>
            <w:vMerge w:val="continue"/>
            <w:tcBorders>
              <w:tl2br w:val="nil"/>
              <w:tr2bl w:val="nil"/>
            </w:tcBorders>
            <w:vAlign w:val="center"/>
          </w:tcPr>
          <w:p>
            <w:pPr>
              <w:pStyle w:val="41"/>
              <w:rPr>
                <w:color w:val="auto"/>
              </w:rPr>
            </w:pPr>
          </w:p>
        </w:tc>
        <w:tc>
          <w:tcPr>
            <w:tcW w:w="2430" w:type="dxa"/>
            <w:gridSpan w:val="3"/>
            <w:tcBorders>
              <w:tl2br w:val="nil"/>
              <w:tr2bl w:val="nil"/>
            </w:tcBorders>
            <w:vAlign w:val="center"/>
          </w:tcPr>
          <w:p>
            <w:pPr>
              <w:pStyle w:val="41"/>
              <w:rPr>
                <w:color w:val="auto"/>
              </w:rPr>
            </w:pPr>
            <w:r>
              <w:rPr>
                <w:rFonts w:hint="eastAsia"/>
                <w:color w:val="auto"/>
              </w:rPr>
              <w:t>综合废水</w:t>
            </w:r>
          </w:p>
        </w:tc>
        <w:tc>
          <w:tcPr>
            <w:tcW w:w="1165" w:type="dxa"/>
            <w:tcBorders>
              <w:tl2br w:val="nil"/>
              <w:tr2bl w:val="nil"/>
            </w:tcBorders>
            <w:vAlign w:val="center"/>
          </w:tcPr>
          <w:p>
            <w:pPr>
              <w:pStyle w:val="41"/>
              <w:rPr>
                <w:color w:val="auto"/>
              </w:rPr>
            </w:pPr>
            <w:r>
              <w:rPr>
                <w:rFonts w:hint="eastAsia"/>
                <w:color w:val="auto"/>
              </w:rPr>
              <w:t>含镍废水</w:t>
            </w:r>
          </w:p>
        </w:tc>
        <w:tc>
          <w:tcPr>
            <w:tcW w:w="1172" w:type="dxa"/>
            <w:tcBorders>
              <w:tl2br w:val="nil"/>
              <w:tr2bl w:val="nil"/>
            </w:tcBorders>
            <w:vAlign w:val="center"/>
          </w:tcPr>
          <w:p>
            <w:pPr>
              <w:pStyle w:val="41"/>
              <w:rPr>
                <w:color w:val="auto"/>
              </w:rPr>
            </w:pPr>
            <w:r>
              <w:rPr>
                <w:rFonts w:hint="eastAsia"/>
                <w:color w:val="auto"/>
              </w:rPr>
              <w:t>含油废水</w:t>
            </w:r>
          </w:p>
        </w:tc>
        <w:tc>
          <w:tcPr>
            <w:tcW w:w="1787" w:type="dxa"/>
            <w:gridSpan w:val="2"/>
            <w:tcBorders>
              <w:tl2br w:val="nil"/>
              <w:tr2bl w:val="nil"/>
            </w:tcBorders>
            <w:vAlign w:val="center"/>
          </w:tcPr>
          <w:p>
            <w:pPr>
              <w:pStyle w:val="41"/>
              <w:rPr>
                <w:color w:val="auto"/>
              </w:rPr>
            </w:pPr>
            <w:r>
              <w:rPr>
                <w:rFonts w:hint="eastAsia"/>
                <w:color w:val="auto"/>
              </w:rPr>
              <w:t>含铬废水</w:t>
            </w:r>
          </w:p>
        </w:tc>
        <w:tc>
          <w:tcPr>
            <w:tcW w:w="1173" w:type="dxa"/>
            <w:tcBorders>
              <w:tl2br w:val="nil"/>
              <w:tr2bl w:val="nil"/>
            </w:tcBorders>
            <w:vAlign w:val="center"/>
          </w:tcPr>
          <w:p>
            <w:pPr>
              <w:pStyle w:val="41"/>
              <w:rPr>
                <w:color w:val="auto"/>
              </w:rPr>
            </w:pPr>
            <w:r>
              <w:rPr>
                <w:rFonts w:hint="eastAsia"/>
                <w:color w:val="auto"/>
              </w:rPr>
              <w:t>含氰废水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continue"/>
            <w:tcBorders>
              <w:tl2br w:val="nil"/>
              <w:tr2bl w:val="nil"/>
            </w:tcBorders>
            <w:vAlign w:val="center"/>
          </w:tcPr>
          <w:p>
            <w:pPr>
              <w:pStyle w:val="41"/>
              <w:rPr>
                <w:color w:val="auto"/>
              </w:rPr>
            </w:pPr>
          </w:p>
        </w:tc>
        <w:tc>
          <w:tcPr>
            <w:tcW w:w="687" w:type="dxa"/>
            <w:vMerge w:val="continue"/>
            <w:tcBorders>
              <w:tl2br w:val="nil"/>
              <w:tr2bl w:val="nil"/>
            </w:tcBorders>
            <w:vAlign w:val="center"/>
          </w:tcPr>
          <w:p>
            <w:pPr>
              <w:pStyle w:val="41"/>
              <w:rPr>
                <w:color w:val="auto"/>
              </w:rPr>
            </w:pPr>
          </w:p>
        </w:tc>
        <w:tc>
          <w:tcPr>
            <w:tcW w:w="735" w:type="dxa"/>
            <w:tcBorders>
              <w:tl2br w:val="nil"/>
              <w:tr2bl w:val="nil"/>
            </w:tcBorders>
            <w:vAlign w:val="center"/>
          </w:tcPr>
          <w:p>
            <w:pPr>
              <w:pStyle w:val="41"/>
              <w:rPr>
                <w:color w:val="auto"/>
              </w:rPr>
            </w:pPr>
            <w:r>
              <w:rPr>
                <w:rFonts w:hint="eastAsia"/>
                <w:color w:val="auto"/>
              </w:rPr>
              <w:t>pH</w:t>
            </w:r>
          </w:p>
        </w:tc>
        <w:tc>
          <w:tcPr>
            <w:tcW w:w="795" w:type="dxa"/>
            <w:tcBorders>
              <w:tl2br w:val="nil"/>
              <w:tr2bl w:val="nil"/>
            </w:tcBorders>
            <w:vAlign w:val="center"/>
          </w:tcPr>
          <w:p>
            <w:pPr>
              <w:pStyle w:val="41"/>
              <w:rPr>
                <w:color w:val="auto"/>
              </w:rPr>
            </w:pPr>
            <w:r>
              <w:rPr>
                <w:rFonts w:hint="eastAsia"/>
                <w:color w:val="auto"/>
              </w:rPr>
              <w:t>COD</w:t>
            </w:r>
          </w:p>
        </w:tc>
        <w:tc>
          <w:tcPr>
            <w:tcW w:w="900" w:type="dxa"/>
            <w:tcBorders>
              <w:tl2br w:val="nil"/>
              <w:tr2bl w:val="nil"/>
            </w:tcBorders>
            <w:vAlign w:val="center"/>
          </w:tcPr>
          <w:p>
            <w:pPr>
              <w:pStyle w:val="41"/>
              <w:rPr>
                <w:color w:val="auto"/>
              </w:rPr>
            </w:pPr>
            <w:r>
              <w:rPr>
                <w:rFonts w:hint="eastAsia"/>
                <w:color w:val="auto"/>
              </w:rPr>
              <w:t>氨氮</w:t>
            </w:r>
          </w:p>
        </w:tc>
        <w:tc>
          <w:tcPr>
            <w:tcW w:w="1165" w:type="dxa"/>
            <w:tcBorders>
              <w:tl2br w:val="nil"/>
              <w:tr2bl w:val="nil"/>
            </w:tcBorders>
            <w:vAlign w:val="center"/>
          </w:tcPr>
          <w:p>
            <w:pPr>
              <w:pStyle w:val="41"/>
              <w:rPr>
                <w:color w:val="auto"/>
              </w:rPr>
            </w:pPr>
            <w:r>
              <w:rPr>
                <w:rFonts w:hint="eastAsia"/>
                <w:color w:val="auto"/>
              </w:rPr>
              <w:t>总镍</w:t>
            </w:r>
          </w:p>
        </w:tc>
        <w:tc>
          <w:tcPr>
            <w:tcW w:w="1172" w:type="dxa"/>
            <w:tcBorders>
              <w:tl2br w:val="nil"/>
              <w:tr2bl w:val="nil"/>
            </w:tcBorders>
            <w:vAlign w:val="center"/>
          </w:tcPr>
          <w:p>
            <w:pPr>
              <w:pStyle w:val="41"/>
              <w:rPr>
                <w:color w:val="auto"/>
              </w:rPr>
            </w:pPr>
            <w:r>
              <w:rPr>
                <w:rFonts w:hint="eastAsia"/>
                <w:color w:val="auto"/>
              </w:rPr>
              <w:t>石油类</w:t>
            </w:r>
          </w:p>
        </w:tc>
        <w:tc>
          <w:tcPr>
            <w:tcW w:w="846" w:type="dxa"/>
            <w:tcBorders>
              <w:tl2br w:val="nil"/>
              <w:tr2bl w:val="nil"/>
            </w:tcBorders>
            <w:vAlign w:val="center"/>
          </w:tcPr>
          <w:p>
            <w:pPr>
              <w:pStyle w:val="41"/>
              <w:rPr>
                <w:color w:val="auto"/>
              </w:rPr>
            </w:pPr>
            <w:r>
              <w:rPr>
                <w:rFonts w:hint="eastAsia"/>
                <w:color w:val="auto"/>
              </w:rPr>
              <w:t>总铬</w:t>
            </w:r>
          </w:p>
        </w:tc>
        <w:tc>
          <w:tcPr>
            <w:tcW w:w="941" w:type="dxa"/>
            <w:tcBorders>
              <w:tl2br w:val="nil"/>
              <w:tr2bl w:val="nil"/>
            </w:tcBorders>
            <w:vAlign w:val="center"/>
          </w:tcPr>
          <w:p>
            <w:pPr>
              <w:pStyle w:val="41"/>
              <w:rPr>
                <w:color w:val="auto"/>
              </w:rPr>
            </w:pPr>
            <w:r>
              <w:rPr>
                <w:rFonts w:hint="eastAsia"/>
                <w:color w:val="auto"/>
              </w:rPr>
              <w:t>六价铬</w:t>
            </w:r>
          </w:p>
        </w:tc>
        <w:tc>
          <w:tcPr>
            <w:tcW w:w="1173" w:type="dxa"/>
            <w:tcBorders>
              <w:tl2br w:val="nil"/>
              <w:tr2bl w:val="nil"/>
            </w:tcBorders>
            <w:vAlign w:val="center"/>
          </w:tcPr>
          <w:p>
            <w:pPr>
              <w:pStyle w:val="41"/>
              <w:rPr>
                <w:color w:val="auto"/>
              </w:rPr>
            </w:pPr>
            <w:r>
              <w:rPr>
                <w:rFonts w:hint="eastAsia"/>
                <w:color w:val="auto"/>
              </w:rPr>
              <w:t>总氰化物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restart"/>
            <w:tcBorders>
              <w:tl2br w:val="nil"/>
              <w:tr2bl w:val="nil"/>
            </w:tcBorders>
            <w:vAlign w:val="center"/>
          </w:tcPr>
          <w:p>
            <w:pPr>
              <w:pStyle w:val="41"/>
              <w:rPr>
                <w:color w:val="auto"/>
              </w:rPr>
            </w:pPr>
            <w:r>
              <w:rPr>
                <w:rFonts w:hint="eastAsia"/>
                <w:color w:val="auto"/>
              </w:rPr>
              <w:t>2017.7.12</w:t>
            </w:r>
          </w:p>
        </w:tc>
        <w:tc>
          <w:tcPr>
            <w:tcW w:w="687" w:type="dxa"/>
            <w:tcBorders>
              <w:tl2br w:val="nil"/>
              <w:tr2bl w:val="nil"/>
            </w:tcBorders>
            <w:vAlign w:val="center"/>
          </w:tcPr>
          <w:p>
            <w:pPr>
              <w:pStyle w:val="41"/>
              <w:rPr>
                <w:color w:val="auto"/>
              </w:rPr>
            </w:pPr>
            <w:r>
              <w:rPr>
                <w:rFonts w:hint="eastAsia"/>
                <w:color w:val="auto"/>
              </w:rPr>
              <w:t>1</w:t>
            </w:r>
          </w:p>
        </w:tc>
        <w:tc>
          <w:tcPr>
            <w:tcW w:w="735" w:type="dxa"/>
            <w:tcBorders>
              <w:tl2br w:val="nil"/>
              <w:tr2bl w:val="nil"/>
            </w:tcBorders>
            <w:vAlign w:val="center"/>
          </w:tcPr>
          <w:p>
            <w:pPr>
              <w:pStyle w:val="41"/>
              <w:rPr>
                <w:color w:val="auto"/>
              </w:rPr>
            </w:pPr>
            <w:r>
              <w:rPr>
                <w:rFonts w:hint="eastAsia"/>
                <w:color w:val="auto"/>
              </w:rPr>
              <w:t>8.33</w:t>
            </w:r>
          </w:p>
        </w:tc>
        <w:tc>
          <w:tcPr>
            <w:tcW w:w="795" w:type="dxa"/>
            <w:tcBorders>
              <w:tl2br w:val="nil"/>
              <w:tr2bl w:val="nil"/>
            </w:tcBorders>
            <w:vAlign w:val="center"/>
          </w:tcPr>
          <w:p>
            <w:pPr>
              <w:pStyle w:val="41"/>
              <w:rPr>
                <w:color w:val="auto"/>
              </w:rPr>
            </w:pPr>
            <w:r>
              <w:rPr>
                <w:rFonts w:hint="eastAsia"/>
                <w:color w:val="auto"/>
              </w:rPr>
              <w:t>139</w:t>
            </w:r>
          </w:p>
        </w:tc>
        <w:tc>
          <w:tcPr>
            <w:tcW w:w="900" w:type="dxa"/>
            <w:tcBorders>
              <w:tl2br w:val="nil"/>
              <w:tr2bl w:val="nil"/>
            </w:tcBorders>
            <w:vAlign w:val="center"/>
          </w:tcPr>
          <w:p>
            <w:pPr>
              <w:pStyle w:val="41"/>
              <w:rPr>
                <w:color w:val="auto"/>
              </w:rPr>
            </w:pPr>
            <w:r>
              <w:rPr>
                <w:rFonts w:hint="eastAsia"/>
                <w:color w:val="auto"/>
              </w:rPr>
              <w:t>14.8</w:t>
            </w:r>
          </w:p>
        </w:tc>
        <w:tc>
          <w:tcPr>
            <w:tcW w:w="1165" w:type="dxa"/>
            <w:tcBorders>
              <w:tl2br w:val="nil"/>
              <w:tr2bl w:val="nil"/>
            </w:tcBorders>
            <w:vAlign w:val="center"/>
          </w:tcPr>
          <w:p>
            <w:pPr>
              <w:pStyle w:val="41"/>
              <w:rPr>
                <w:color w:val="auto"/>
              </w:rPr>
            </w:pPr>
            <w:r>
              <w:rPr>
                <w:rFonts w:hint="eastAsia"/>
                <w:color w:val="auto"/>
              </w:rPr>
              <w:t>70.5</w:t>
            </w:r>
          </w:p>
        </w:tc>
        <w:tc>
          <w:tcPr>
            <w:tcW w:w="1172" w:type="dxa"/>
            <w:tcBorders>
              <w:tl2br w:val="nil"/>
              <w:tr2bl w:val="nil"/>
            </w:tcBorders>
            <w:vAlign w:val="center"/>
          </w:tcPr>
          <w:p>
            <w:pPr>
              <w:pStyle w:val="41"/>
              <w:rPr>
                <w:color w:val="auto"/>
              </w:rPr>
            </w:pPr>
            <w:r>
              <w:rPr>
                <w:rFonts w:hint="eastAsia"/>
                <w:color w:val="auto"/>
              </w:rPr>
              <w:t>28.6</w:t>
            </w:r>
          </w:p>
        </w:tc>
        <w:tc>
          <w:tcPr>
            <w:tcW w:w="846" w:type="dxa"/>
            <w:tcBorders>
              <w:tl2br w:val="nil"/>
              <w:tr2bl w:val="nil"/>
            </w:tcBorders>
            <w:vAlign w:val="center"/>
          </w:tcPr>
          <w:p>
            <w:pPr>
              <w:pStyle w:val="41"/>
              <w:rPr>
                <w:color w:val="auto"/>
              </w:rPr>
            </w:pPr>
            <w:r>
              <w:rPr>
                <w:rFonts w:hint="eastAsia"/>
                <w:color w:val="auto"/>
              </w:rPr>
              <w:t>33.4</w:t>
            </w:r>
          </w:p>
        </w:tc>
        <w:tc>
          <w:tcPr>
            <w:tcW w:w="941" w:type="dxa"/>
            <w:tcBorders>
              <w:tl2br w:val="nil"/>
              <w:tr2bl w:val="nil"/>
            </w:tcBorders>
            <w:vAlign w:val="center"/>
          </w:tcPr>
          <w:p>
            <w:pPr>
              <w:pStyle w:val="41"/>
              <w:rPr>
                <w:color w:val="auto"/>
              </w:rPr>
            </w:pPr>
            <w:r>
              <w:rPr>
                <w:rFonts w:hint="eastAsia"/>
                <w:color w:val="auto"/>
              </w:rPr>
              <w:t>0.038</w:t>
            </w:r>
          </w:p>
        </w:tc>
        <w:tc>
          <w:tcPr>
            <w:tcW w:w="1173" w:type="dxa"/>
            <w:tcBorders>
              <w:tl2br w:val="nil"/>
              <w:tr2bl w:val="nil"/>
            </w:tcBorders>
            <w:vAlign w:val="center"/>
          </w:tcPr>
          <w:p>
            <w:pPr>
              <w:pStyle w:val="41"/>
              <w:rPr>
                <w:color w:val="auto"/>
              </w:rPr>
            </w:pPr>
            <w:r>
              <w:rPr>
                <w:rFonts w:hint="eastAsia"/>
                <w:color w:val="auto"/>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continue"/>
            <w:tcBorders>
              <w:tl2br w:val="nil"/>
              <w:tr2bl w:val="nil"/>
            </w:tcBorders>
            <w:vAlign w:val="center"/>
          </w:tcPr>
          <w:p>
            <w:pPr>
              <w:pStyle w:val="41"/>
              <w:rPr>
                <w:color w:val="auto"/>
              </w:rPr>
            </w:pPr>
          </w:p>
        </w:tc>
        <w:tc>
          <w:tcPr>
            <w:tcW w:w="687" w:type="dxa"/>
            <w:tcBorders>
              <w:tl2br w:val="nil"/>
              <w:tr2bl w:val="nil"/>
            </w:tcBorders>
            <w:vAlign w:val="center"/>
          </w:tcPr>
          <w:p>
            <w:pPr>
              <w:pStyle w:val="41"/>
              <w:rPr>
                <w:color w:val="auto"/>
              </w:rPr>
            </w:pPr>
            <w:r>
              <w:rPr>
                <w:rFonts w:hint="eastAsia"/>
                <w:color w:val="auto"/>
              </w:rPr>
              <w:t>2</w:t>
            </w:r>
          </w:p>
        </w:tc>
        <w:tc>
          <w:tcPr>
            <w:tcW w:w="735" w:type="dxa"/>
            <w:tcBorders>
              <w:tl2br w:val="nil"/>
              <w:tr2bl w:val="nil"/>
            </w:tcBorders>
            <w:vAlign w:val="center"/>
          </w:tcPr>
          <w:p>
            <w:pPr>
              <w:pStyle w:val="41"/>
              <w:rPr>
                <w:color w:val="auto"/>
              </w:rPr>
            </w:pPr>
            <w:r>
              <w:rPr>
                <w:rFonts w:hint="eastAsia"/>
                <w:color w:val="auto"/>
              </w:rPr>
              <w:t>8.57</w:t>
            </w:r>
          </w:p>
        </w:tc>
        <w:tc>
          <w:tcPr>
            <w:tcW w:w="795" w:type="dxa"/>
            <w:tcBorders>
              <w:tl2br w:val="nil"/>
              <w:tr2bl w:val="nil"/>
            </w:tcBorders>
            <w:vAlign w:val="center"/>
          </w:tcPr>
          <w:p>
            <w:pPr>
              <w:pStyle w:val="41"/>
              <w:rPr>
                <w:color w:val="auto"/>
              </w:rPr>
            </w:pPr>
            <w:r>
              <w:rPr>
                <w:rFonts w:hint="eastAsia"/>
                <w:color w:val="auto"/>
              </w:rPr>
              <w:t>110</w:t>
            </w:r>
          </w:p>
        </w:tc>
        <w:tc>
          <w:tcPr>
            <w:tcW w:w="900" w:type="dxa"/>
            <w:tcBorders>
              <w:tl2br w:val="nil"/>
              <w:tr2bl w:val="nil"/>
            </w:tcBorders>
            <w:vAlign w:val="center"/>
          </w:tcPr>
          <w:p>
            <w:pPr>
              <w:pStyle w:val="41"/>
              <w:rPr>
                <w:color w:val="auto"/>
              </w:rPr>
            </w:pPr>
            <w:r>
              <w:rPr>
                <w:rFonts w:hint="eastAsia"/>
                <w:color w:val="auto"/>
              </w:rPr>
              <w:t>16.9</w:t>
            </w:r>
          </w:p>
        </w:tc>
        <w:tc>
          <w:tcPr>
            <w:tcW w:w="1165" w:type="dxa"/>
            <w:tcBorders>
              <w:tl2br w:val="nil"/>
              <w:tr2bl w:val="nil"/>
            </w:tcBorders>
            <w:vAlign w:val="center"/>
          </w:tcPr>
          <w:p>
            <w:pPr>
              <w:pStyle w:val="41"/>
              <w:rPr>
                <w:color w:val="auto"/>
              </w:rPr>
            </w:pPr>
            <w:r>
              <w:rPr>
                <w:rFonts w:hint="eastAsia"/>
                <w:color w:val="auto"/>
              </w:rPr>
              <w:t>68</w:t>
            </w:r>
          </w:p>
        </w:tc>
        <w:tc>
          <w:tcPr>
            <w:tcW w:w="1172" w:type="dxa"/>
            <w:tcBorders>
              <w:tl2br w:val="nil"/>
              <w:tr2bl w:val="nil"/>
            </w:tcBorders>
            <w:vAlign w:val="center"/>
          </w:tcPr>
          <w:p>
            <w:pPr>
              <w:pStyle w:val="41"/>
              <w:rPr>
                <w:color w:val="auto"/>
              </w:rPr>
            </w:pPr>
            <w:r>
              <w:rPr>
                <w:rFonts w:hint="eastAsia"/>
                <w:color w:val="auto"/>
              </w:rPr>
              <w:t>30.1</w:t>
            </w:r>
          </w:p>
        </w:tc>
        <w:tc>
          <w:tcPr>
            <w:tcW w:w="846" w:type="dxa"/>
            <w:tcBorders>
              <w:tl2br w:val="nil"/>
              <w:tr2bl w:val="nil"/>
            </w:tcBorders>
            <w:vAlign w:val="center"/>
          </w:tcPr>
          <w:p>
            <w:pPr>
              <w:pStyle w:val="41"/>
              <w:rPr>
                <w:color w:val="auto"/>
              </w:rPr>
            </w:pPr>
            <w:r>
              <w:rPr>
                <w:rFonts w:hint="eastAsia"/>
                <w:color w:val="auto"/>
              </w:rPr>
              <w:t>37.2</w:t>
            </w:r>
          </w:p>
        </w:tc>
        <w:tc>
          <w:tcPr>
            <w:tcW w:w="941" w:type="dxa"/>
            <w:tcBorders>
              <w:tl2br w:val="nil"/>
              <w:tr2bl w:val="nil"/>
            </w:tcBorders>
            <w:vAlign w:val="center"/>
          </w:tcPr>
          <w:p>
            <w:pPr>
              <w:pStyle w:val="41"/>
              <w:rPr>
                <w:color w:val="auto"/>
              </w:rPr>
            </w:pPr>
            <w:r>
              <w:rPr>
                <w:rFonts w:hint="eastAsia"/>
                <w:color w:val="auto"/>
              </w:rPr>
              <w:t>0.034</w:t>
            </w:r>
          </w:p>
        </w:tc>
        <w:tc>
          <w:tcPr>
            <w:tcW w:w="1173" w:type="dxa"/>
            <w:tcBorders>
              <w:tl2br w:val="nil"/>
              <w:tr2bl w:val="nil"/>
            </w:tcBorders>
            <w:vAlign w:val="center"/>
          </w:tcPr>
          <w:p>
            <w:pPr>
              <w:pStyle w:val="41"/>
              <w:rPr>
                <w:color w:val="auto"/>
              </w:rPr>
            </w:pPr>
            <w:r>
              <w:rPr>
                <w:rFonts w:hint="eastAsia"/>
                <w:color w:val="auto"/>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restart"/>
            <w:tcBorders>
              <w:tl2br w:val="nil"/>
              <w:tr2bl w:val="nil"/>
            </w:tcBorders>
            <w:vAlign w:val="center"/>
          </w:tcPr>
          <w:p>
            <w:pPr>
              <w:pStyle w:val="41"/>
              <w:rPr>
                <w:color w:val="auto"/>
              </w:rPr>
            </w:pPr>
            <w:r>
              <w:rPr>
                <w:rFonts w:hint="eastAsia"/>
                <w:color w:val="auto"/>
              </w:rPr>
              <w:t>2017.7.13</w:t>
            </w:r>
          </w:p>
        </w:tc>
        <w:tc>
          <w:tcPr>
            <w:tcW w:w="687" w:type="dxa"/>
            <w:tcBorders>
              <w:tl2br w:val="nil"/>
              <w:tr2bl w:val="nil"/>
            </w:tcBorders>
            <w:vAlign w:val="center"/>
          </w:tcPr>
          <w:p>
            <w:pPr>
              <w:pStyle w:val="41"/>
              <w:rPr>
                <w:color w:val="auto"/>
              </w:rPr>
            </w:pPr>
            <w:r>
              <w:rPr>
                <w:rFonts w:hint="eastAsia"/>
                <w:color w:val="auto"/>
              </w:rPr>
              <w:t>1</w:t>
            </w:r>
          </w:p>
        </w:tc>
        <w:tc>
          <w:tcPr>
            <w:tcW w:w="735" w:type="dxa"/>
            <w:tcBorders>
              <w:tl2br w:val="nil"/>
              <w:tr2bl w:val="nil"/>
            </w:tcBorders>
            <w:vAlign w:val="center"/>
          </w:tcPr>
          <w:p>
            <w:pPr>
              <w:pStyle w:val="41"/>
              <w:rPr>
                <w:color w:val="auto"/>
              </w:rPr>
            </w:pPr>
            <w:r>
              <w:rPr>
                <w:rFonts w:hint="eastAsia"/>
                <w:color w:val="auto"/>
              </w:rPr>
              <w:t>8.61</w:t>
            </w:r>
          </w:p>
        </w:tc>
        <w:tc>
          <w:tcPr>
            <w:tcW w:w="795" w:type="dxa"/>
            <w:tcBorders>
              <w:tl2br w:val="nil"/>
              <w:tr2bl w:val="nil"/>
            </w:tcBorders>
            <w:vAlign w:val="center"/>
          </w:tcPr>
          <w:p>
            <w:pPr>
              <w:pStyle w:val="41"/>
              <w:rPr>
                <w:color w:val="auto"/>
              </w:rPr>
            </w:pPr>
            <w:r>
              <w:rPr>
                <w:rFonts w:hint="eastAsia"/>
                <w:color w:val="auto"/>
              </w:rPr>
              <w:t>129</w:t>
            </w:r>
          </w:p>
        </w:tc>
        <w:tc>
          <w:tcPr>
            <w:tcW w:w="900" w:type="dxa"/>
            <w:tcBorders>
              <w:tl2br w:val="nil"/>
              <w:tr2bl w:val="nil"/>
            </w:tcBorders>
            <w:vAlign w:val="center"/>
          </w:tcPr>
          <w:p>
            <w:pPr>
              <w:pStyle w:val="41"/>
              <w:rPr>
                <w:color w:val="auto"/>
              </w:rPr>
            </w:pPr>
            <w:r>
              <w:rPr>
                <w:rFonts w:hint="eastAsia"/>
                <w:color w:val="auto"/>
              </w:rPr>
              <w:t>9.68</w:t>
            </w:r>
          </w:p>
        </w:tc>
        <w:tc>
          <w:tcPr>
            <w:tcW w:w="1165" w:type="dxa"/>
            <w:tcBorders>
              <w:tl2br w:val="nil"/>
              <w:tr2bl w:val="nil"/>
            </w:tcBorders>
            <w:vAlign w:val="center"/>
          </w:tcPr>
          <w:p>
            <w:pPr>
              <w:pStyle w:val="41"/>
              <w:rPr>
                <w:color w:val="auto"/>
              </w:rPr>
            </w:pPr>
            <w:r>
              <w:rPr>
                <w:rFonts w:hint="eastAsia"/>
                <w:color w:val="auto"/>
              </w:rPr>
              <w:t>75.6</w:t>
            </w:r>
          </w:p>
        </w:tc>
        <w:tc>
          <w:tcPr>
            <w:tcW w:w="1172" w:type="dxa"/>
            <w:tcBorders>
              <w:tl2br w:val="nil"/>
              <w:tr2bl w:val="nil"/>
            </w:tcBorders>
            <w:vAlign w:val="center"/>
          </w:tcPr>
          <w:p>
            <w:pPr>
              <w:pStyle w:val="41"/>
              <w:rPr>
                <w:color w:val="auto"/>
              </w:rPr>
            </w:pPr>
            <w:r>
              <w:rPr>
                <w:rFonts w:hint="eastAsia"/>
                <w:color w:val="auto"/>
              </w:rPr>
              <w:t>26.3</w:t>
            </w:r>
          </w:p>
        </w:tc>
        <w:tc>
          <w:tcPr>
            <w:tcW w:w="846" w:type="dxa"/>
            <w:tcBorders>
              <w:tl2br w:val="nil"/>
              <w:tr2bl w:val="nil"/>
            </w:tcBorders>
            <w:vAlign w:val="center"/>
          </w:tcPr>
          <w:p>
            <w:pPr>
              <w:pStyle w:val="41"/>
              <w:rPr>
                <w:color w:val="auto"/>
              </w:rPr>
            </w:pPr>
            <w:r>
              <w:rPr>
                <w:rFonts w:hint="eastAsia"/>
                <w:color w:val="auto"/>
              </w:rPr>
              <w:t>36.2</w:t>
            </w:r>
          </w:p>
        </w:tc>
        <w:tc>
          <w:tcPr>
            <w:tcW w:w="941" w:type="dxa"/>
            <w:tcBorders>
              <w:tl2br w:val="nil"/>
              <w:tr2bl w:val="nil"/>
            </w:tcBorders>
            <w:vAlign w:val="center"/>
          </w:tcPr>
          <w:p>
            <w:pPr>
              <w:pStyle w:val="41"/>
              <w:rPr>
                <w:color w:val="auto"/>
              </w:rPr>
            </w:pPr>
            <w:r>
              <w:rPr>
                <w:rFonts w:hint="eastAsia"/>
                <w:color w:val="auto"/>
              </w:rPr>
              <w:t>0.041</w:t>
            </w:r>
          </w:p>
        </w:tc>
        <w:tc>
          <w:tcPr>
            <w:tcW w:w="1173" w:type="dxa"/>
            <w:tcBorders>
              <w:tl2br w:val="nil"/>
              <w:tr2bl w:val="nil"/>
            </w:tcBorders>
            <w:vAlign w:val="center"/>
          </w:tcPr>
          <w:p>
            <w:pPr>
              <w:pStyle w:val="41"/>
              <w:rPr>
                <w:color w:val="auto"/>
              </w:rPr>
            </w:pPr>
            <w:r>
              <w:rPr>
                <w:rFonts w:hint="eastAsia"/>
                <w:color w:val="auto"/>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1" w:type="dxa"/>
            <w:vMerge w:val="continue"/>
            <w:tcBorders>
              <w:tl2br w:val="nil"/>
              <w:tr2bl w:val="nil"/>
            </w:tcBorders>
            <w:vAlign w:val="center"/>
          </w:tcPr>
          <w:p>
            <w:pPr>
              <w:pStyle w:val="41"/>
              <w:rPr>
                <w:color w:val="auto"/>
              </w:rPr>
            </w:pPr>
          </w:p>
        </w:tc>
        <w:tc>
          <w:tcPr>
            <w:tcW w:w="687" w:type="dxa"/>
            <w:tcBorders>
              <w:tl2br w:val="nil"/>
              <w:tr2bl w:val="nil"/>
            </w:tcBorders>
            <w:vAlign w:val="center"/>
          </w:tcPr>
          <w:p>
            <w:pPr>
              <w:pStyle w:val="41"/>
              <w:rPr>
                <w:color w:val="auto"/>
              </w:rPr>
            </w:pPr>
            <w:r>
              <w:rPr>
                <w:rFonts w:hint="eastAsia"/>
                <w:color w:val="auto"/>
              </w:rPr>
              <w:t>2</w:t>
            </w:r>
          </w:p>
        </w:tc>
        <w:tc>
          <w:tcPr>
            <w:tcW w:w="735" w:type="dxa"/>
            <w:tcBorders>
              <w:tl2br w:val="nil"/>
              <w:tr2bl w:val="nil"/>
            </w:tcBorders>
            <w:vAlign w:val="center"/>
          </w:tcPr>
          <w:p>
            <w:pPr>
              <w:pStyle w:val="41"/>
              <w:rPr>
                <w:color w:val="auto"/>
              </w:rPr>
            </w:pPr>
            <w:r>
              <w:rPr>
                <w:rFonts w:hint="eastAsia"/>
                <w:color w:val="auto"/>
              </w:rPr>
              <w:t>8.76</w:t>
            </w:r>
          </w:p>
        </w:tc>
        <w:tc>
          <w:tcPr>
            <w:tcW w:w="795" w:type="dxa"/>
            <w:tcBorders>
              <w:tl2br w:val="nil"/>
              <w:tr2bl w:val="nil"/>
            </w:tcBorders>
            <w:vAlign w:val="center"/>
          </w:tcPr>
          <w:p>
            <w:pPr>
              <w:pStyle w:val="41"/>
              <w:rPr>
                <w:color w:val="auto"/>
              </w:rPr>
            </w:pPr>
            <w:r>
              <w:rPr>
                <w:rFonts w:hint="eastAsia"/>
                <w:color w:val="auto"/>
              </w:rPr>
              <w:t>156</w:t>
            </w:r>
          </w:p>
        </w:tc>
        <w:tc>
          <w:tcPr>
            <w:tcW w:w="900" w:type="dxa"/>
            <w:tcBorders>
              <w:tl2br w:val="nil"/>
              <w:tr2bl w:val="nil"/>
            </w:tcBorders>
            <w:vAlign w:val="center"/>
          </w:tcPr>
          <w:p>
            <w:pPr>
              <w:pStyle w:val="41"/>
              <w:rPr>
                <w:color w:val="auto"/>
              </w:rPr>
            </w:pPr>
            <w:r>
              <w:rPr>
                <w:rFonts w:hint="eastAsia"/>
                <w:color w:val="auto"/>
              </w:rPr>
              <w:t>10.3</w:t>
            </w:r>
          </w:p>
        </w:tc>
        <w:tc>
          <w:tcPr>
            <w:tcW w:w="1165" w:type="dxa"/>
            <w:tcBorders>
              <w:tl2br w:val="nil"/>
              <w:tr2bl w:val="nil"/>
            </w:tcBorders>
            <w:vAlign w:val="center"/>
          </w:tcPr>
          <w:p>
            <w:pPr>
              <w:pStyle w:val="41"/>
              <w:rPr>
                <w:color w:val="auto"/>
              </w:rPr>
            </w:pPr>
            <w:r>
              <w:rPr>
                <w:rFonts w:hint="eastAsia"/>
                <w:color w:val="auto"/>
              </w:rPr>
              <w:t>67.9</w:t>
            </w:r>
          </w:p>
        </w:tc>
        <w:tc>
          <w:tcPr>
            <w:tcW w:w="1172" w:type="dxa"/>
            <w:tcBorders>
              <w:tl2br w:val="nil"/>
              <w:tr2bl w:val="nil"/>
            </w:tcBorders>
            <w:vAlign w:val="center"/>
          </w:tcPr>
          <w:p>
            <w:pPr>
              <w:pStyle w:val="41"/>
              <w:rPr>
                <w:color w:val="auto"/>
              </w:rPr>
            </w:pPr>
            <w:r>
              <w:rPr>
                <w:rFonts w:hint="eastAsia"/>
                <w:color w:val="auto"/>
              </w:rPr>
              <w:t>37.7</w:t>
            </w:r>
          </w:p>
        </w:tc>
        <w:tc>
          <w:tcPr>
            <w:tcW w:w="846" w:type="dxa"/>
            <w:tcBorders>
              <w:tl2br w:val="nil"/>
              <w:tr2bl w:val="nil"/>
            </w:tcBorders>
            <w:vAlign w:val="center"/>
          </w:tcPr>
          <w:p>
            <w:pPr>
              <w:pStyle w:val="41"/>
              <w:rPr>
                <w:color w:val="auto"/>
              </w:rPr>
            </w:pPr>
            <w:r>
              <w:rPr>
                <w:rFonts w:hint="eastAsia"/>
                <w:color w:val="auto"/>
              </w:rPr>
              <w:t>30.4</w:t>
            </w:r>
          </w:p>
        </w:tc>
        <w:tc>
          <w:tcPr>
            <w:tcW w:w="941" w:type="dxa"/>
            <w:tcBorders>
              <w:tl2br w:val="nil"/>
              <w:tr2bl w:val="nil"/>
            </w:tcBorders>
            <w:vAlign w:val="center"/>
          </w:tcPr>
          <w:p>
            <w:pPr>
              <w:pStyle w:val="41"/>
              <w:rPr>
                <w:color w:val="auto"/>
              </w:rPr>
            </w:pPr>
            <w:r>
              <w:rPr>
                <w:rFonts w:hint="eastAsia"/>
                <w:color w:val="auto"/>
              </w:rPr>
              <w:t>0.036</w:t>
            </w:r>
          </w:p>
        </w:tc>
        <w:tc>
          <w:tcPr>
            <w:tcW w:w="1173" w:type="dxa"/>
            <w:tcBorders>
              <w:tl2br w:val="nil"/>
              <w:tr2bl w:val="nil"/>
            </w:tcBorders>
            <w:vAlign w:val="center"/>
          </w:tcPr>
          <w:p>
            <w:pPr>
              <w:pStyle w:val="41"/>
              <w:rPr>
                <w:color w:val="auto"/>
              </w:rPr>
            </w:pPr>
            <w:r>
              <w:rPr>
                <w:rFonts w:hint="eastAsia"/>
                <w:color w:val="auto"/>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78" w:type="dxa"/>
            <w:gridSpan w:val="2"/>
            <w:tcBorders>
              <w:tl2br w:val="nil"/>
              <w:tr2bl w:val="nil"/>
            </w:tcBorders>
            <w:vAlign w:val="center"/>
          </w:tcPr>
          <w:p>
            <w:pPr>
              <w:pStyle w:val="41"/>
              <w:rPr>
                <w:color w:val="auto"/>
              </w:rPr>
            </w:pPr>
            <w:r>
              <w:rPr>
                <w:rFonts w:hint="eastAsia"/>
                <w:color w:val="auto"/>
              </w:rPr>
              <w:t>最大值</w:t>
            </w:r>
          </w:p>
        </w:tc>
        <w:tc>
          <w:tcPr>
            <w:tcW w:w="735" w:type="dxa"/>
            <w:tcBorders>
              <w:tl2br w:val="nil"/>
              <w:tr2bl w:val="nil"/>
            </w:tcBorders>
            <w:vAlign w:val="center"/>
          </w:tcPr>
          <w:p>
            <w:pPr>
              <w:pStyle w:val="41"/>
              <w:rPr>
                <w:color w:val="auto"/>
              </w:rPr>
            </w:pPr>
            <w:r>
              <w:rPr>
                <w:rFonts w:hint="eastAsia"/>
                <w:color w:val="auto"/>
              </w:rPr>
              <w:t>8.76</w:t>
            </w:r>
          </w:p>
        </w:tc>
        <w:tc>
          <w:tcPr>
            <w:tcW w:w="795" w:type="dxa"/>
            <w:tcBorders>
              <w:tl2br w:val="nil"/>
              <w:tr2bl w:val="nil"/>
            </w:tcBorders>
            <w:vAlign w:val="center"/>
          </w:tcPr>
          <w:p>
            <w:pPr>
              <w:pStyle w:val="41"/>
              <w:rPr>
                <w:color w:val="auto"/>
              </w:rPr>
            </w:pPr>
            <w:r>
              <w:rPr>
                <w:rFonts w:hint="eastAsia"/>
                <w:color w:val="auto"/>
              </w:rPr>
              <w:t>156</w:t>
            </w:r>
          </w:p>
        </w:tc>
        <w:tc>
          <w:tcPr>
            <w:tcW w:w="900" w:type="dxa"/>
            <w:tcBorders>
              <w:tl2br w:val="nil"/>
              <w:tr2bl w:val="nil"/>
            </w:tcBorders>
            <w:vAlign w:val="center"/>
          </w:tcPr>
          <w:p>
            <w:pPr>
              <w:pStyle w:val="41"/>
              <w:rPr>
                <w:color w:val="auto"/>
              </w:rPr>
            </w:pPr>
            <w:r>
              <w:rPr>
                <w:rFonts w:hint="eastAsia"/>
                <w:color w:val="auto"/>
              </w:rPr>
              <w:t>16.9</w:t>
            </w:r>
          </w:p>
        </w:tc>
        <w:tc>
          <w:tcPr>
            <w:tcW w:w="1165" w:type="dxa"/>
            <w:tcBorders>
              <w:right w:val="single" w:color="000000" w:sz="4" w:space="0"/>
              <w:tl2br w:val="nil"/>
              <w:tr2bl w:val="nil"/>
            </w:tcBorders>
            <w:vAlign w:val="center"/>
          </w:tcPr>
          <w:p>
            <w:pPr>
              <w:pStyle w:val="41"/>
              <w:rPr>
                <w:color w:val="auto"/>
              </w:rPr>
            </w:pPr>
            <w:r>
              <w:rPr>
                <w:rFonts w:hint="eastAsia"/>
                <w:color w:val="auto"/>
              </w:rPr>
              <w:t>75.6</w:t>
            </w:r>
          </w:p>
        </w:tc>
        <w:tc>
          <w:tcPr>
            <w:tcW w:w="1172" w:type="dxa"/>
            <w:tcBorders>
              <w:left w:val="single" w:color="000000" w:sz="4" w:space="0"/>
              <w:right w:val="single" w:color="000000" w:sz="4" w:space="0"/>
              <w:tl2br w:val="nil"/>
              <w:tr2bl w:val="nil"/>
            </w:tcBorders>
            <w:vAlign w:val="center"/>
          </w:tcPr>
          <w:p>
            <w:pPr>
              <w:pStyle w:val="41"/>
              <w:rPr>
                <w:color w:val="auto"/>
              </w:rPr>
            </w:pPr>
            <w:r>
              <w:rPr>
                <w:rFonts w:hint="eastAsia"/>
                <w:color w:val="auto"/>
              </w:rPr>
              <w:t>37.7</w:t>
            </w:r>
          </w:p>
        </w:tc>
        <w:tc>
          <w:tcPr>
            <w:tcW w:w="846" w:type="dxa"/>
            <w:tcBorders>
              <w:left w:val="single" w:color="000000" w:sz="4" w:space="0"/>
              <w:right w:val="single" w:color="000000" w:sz="4" w:space="0"/>
              <w:tl2br w:val="nil"/>
              <w:tr2bl w:val="nil"/>
            </w:tcBorders>
            <w:vAlign w:val="center"/>
          </w:tcPr>
          <w:p>
            <w:pPr>
              <w:pStyle w:val="41"/>
              <w:rPr>
                <w:color w:val="auto"/>
              </w:rPr>
            </w:pPr>
            <w:r>
              <w:rPr>
                <w:rFonts w:hint="eastAsia"/>
                <w:color w:val="auto"/>
              </w:rPr>
              <w:t>37.2</w:t>
            </w:r>
          </w:p>
        </w:tc>
        <w:tc>
          <w:tcPr>
            <w:tcW w:w="941" w:type="dxa"/>
            <w:tcBorders>
              <w:left w:val="single" w:color="000000" w:sz="4" w:space="0"/>
              <w:right w:val="single" w:color="000000" w:sz="4" w:space="0"/>
              <w:tl2br w:val="nil"/>
              <w:tr2bl w:val="nil"/>
            </w:tcBorders>
            <w:vAlign w:val="center"/>
          </w:tcPr>
          <w:p>
            <w:pPr>
              <w:pStyle w:val="41"/>
              <w:rPr>
                <w:color w:val="auto"/>
              </w:rPr>
            </w:pPr>
            <w:r>
              <w:rPr>
                <w:rFonts w:hint="eastAsia"/>
                <w:color w:val="auto"/>
              </w:rPr>
              <w:t>0.041</w:t>
            </w:r>
          </w:p>
        </w:tc>
        <w:tc>
          <w:tcPr>
            <w:tcW w:w="1173" w:type="dxa"/>
            <w:tcBorders>
              <w:left w:val="single" w:color="000000" w:sz="4" w:space="0"/>
              <w:tl2br w:val="nil"/>
              <w:tr2bl w:val="nil"/>
            </w:tcBorders>
            <w:vAlign w:val="center"/>
          </w:tcPr>
          <w:p>
            <w:pPr>
              <w:pStyle w:val="41"/>
              <w:rPr>
                <w:color w:val="auto"/>
              </w:rPr>
            </w:pPr>
            <w:r>
              <w:rPr>
                <w:rFonts w:hint="eastAsia"/>
                <w:color w:val="auto"/>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05" w:type="dxa"/>
            <w:gridSpan w:val="10"/>
            <w:tcBorders>
              <w:tl2br w:val="nil"/>
              <w:tr2bl w:val="nil"/>
            </w:tcBorders>
            <w:vAlign w:val="center"/>
          </w:tcPr>
          <w:p>
            <w:pPr>
              <w:pStyle w:val="41"/>
              <w:jc w:val="left"/>
              <w:rPr>
                <w:rFonts w:hint="eastAsia" w:eastAsia="宋体"/>
                <w:color w:val="auto"/>
                <w:lang w:eastAsia="zh-CN"/>
              </w:rPr>
            </w:pPr>
            <w:r>
              <w:rPr>
                <w:rFonts w:hint="eastAsia"/>
                <w:color w:val="auto"/>
                <w:lang w:eastAsia="zh-CN"/>
              </w:rPr>
              <w:t>注：企业生产废水取样位于废水收集罐，已考虑共用线不同工况生产产生的废水混合。</w:t>
            </w:r>
          </w:p>
        </w:tc>
      </w:tr>
    </w:tbl>
    <w:p>
      <w:pPr>
        <w:snapToGrid w:val="0"/>
        <w:spacing w:before="120" w:beforeLines="50" w:line="360" w:lineRule="auto"/>
        <w:ind w:firstLine="420" w:firstLineChars="0"/>
        <w:outlineLvl w:val="2"/>
        <w:rPr>
          <w:rFonts w:hint="eastAsia" w:hAnsi="宋体" w:cs="Times New Roman"/>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①</w:t>
      </w:r>
      <w:r>
        <w:rPr>
          <w:rFonts w:hint="eastAsia" w:hAnsi="宋体" w:cs="Times New Roman"/>
          <w:color w:val="auto"/>
          <w:kern w:val="0"/>
          <w:sz w:val="24"/>
          <w:szCs w:val="24"/>
          <w:lang w:val="en-US" w:eastAsia="zh-CN" w:bidi="ar-SA"/>
        </w:rPr>
        <w:t>清洗废水</w:t>
      </w:r>
    </w:p>
    <w:p>
      <w:pPr>
        <w:snapToGrid w:val="0"/>
        <w:spacing w:before="120" w:beforeLines="50" w:line="360" w:lineRule="auto"/>
        <w:ind w:firstLine="420" w:firstLineChars="0"/>
        <w:outlineLvl w:val="2"/>
        <w:rPr>
          <w:rFonts w:hint="eastAsia" w:hAnsi="宋体" w:cs="Times New Roman"/>
          <w:color w:val="auto"/>
          <w:kern w:val="0"/>
          <w:sz w:val="24"/>
          <w:szCs w:val="24"/>
          <w:lang w:val="en-US" w:eastAsia="zh-CN" w:bidi="ar-SA"/>
        </w:rPr>
      </w:pPr>
      <w:r>
        <w:rPr>
          <w:rFonts w:hint="eastAsia" w:hAnsi="宋体" w:cs="Times New Roman"/>
          <w:color w:val="auto"/>
          <w:kern w:val="0"/>
          <w:sz w:val="24"/>
          <w:szCs w:val="24"/>
          <w:lang w:val="en-US" w:eastAsia="zh-CN" w:bidi="ar-SA"/>
        </w:rPr>
        <w:t>由于验收监测期间共用线生产工况不明确，因此本项目废水排放量采用系数法，根据《污染源源强核算技术指南-电镀》中附录E进行计算。</w:t>
      </w:r>
    </w:p>
    <w:p>
      <w:pPr>
        <w:spacing w:line="360" w:lineRule="auto"/>
        <w:ind w:firstLine="480" w:firstLineChars="200"/>
        <w:rPr>
          <w:rFonts w:hAnsi="宋体"/>
          <w:color w:val="auto"/>
          <w:sz w:val="24"/>
        </w:rPr>
      </w:pPr>
      <w:r>
        <w:rPr>
          <w:rFonts w:hAnsi="宋体"/>
          <w:color w:val="auto"/>
          <w:sz w:val="24"/>
        </w:rPr>
        <w:t>A</w:t>
      </w:r>
      <w:r>
        <w:rPr>
          <w:rFonts w:hint="eastAsia" w:hAnsi="宋体"/>
          <w:color w:val="auto"/>
          <w:sz w:val="24"/>
        </w:rPr>
        <w:t>、</w:t>
      </w:r>
      <w:r>
        <w:rPr>
          <w:rFonts w:hAnsi="宋体"/>
          <w:color w:val="auto"/>
          <w:sz w:val="24"/>
        </w:rPr>
        <w:t>计算依据</w:t>
      </w:r>
    </w:p>
    <w:p>
      <w:pPr>
        <w:spacing w:line="360" w:lineRule="auto"/>
        <w:ind w:firstLine="500"/>
        <w:rPr>
          <w:rFonts w:ascii="宋体" w:hAnsi="宋体" w:cs="宋体"/>
          <w:color w:val="auto"/>
          <w:sz w:val="24"/>
          <w:szCs w:val="24"/>
        </w:rPr>
      </w:pPr>
      <w:r>
        <w:rPr>
          <w:rFonts w:ascii="宋体" w:hAnsi="宋体" w:cs="宋体"/>
          <w:color w:val="auto"/>
          <w:sz w:val="24"/>
          <w:szCs w:val="24"/>
        </w:rPr>
        <w:t>连续逆流清洗法的小时清洗水量按下式计算：</w:t>
      </w:r>
    </w:p>
    <w:p>
      <w:pPr>
        <w:spacing w:line="360" w:lineRule="auto"/>
        <w:ind w:firstLine="482"/>
        <w:jc w:val="center"/>
        <w:rPr>
          <w:rFonts w:hint="eastAsia"/>
          <w:color w:val="auto"/>
          <w:sz w:val="24"/>
          <w:szCs w:val="24"/>
        </w:rPr>
      </w:pPr>
      <w:r>
        <w:rPr>
          <w:color w:val="auto"/>
          <w:sz w:val="24"/>
          <w:szCs w:val="24"/>
        </w:rPr>
        <w:drawing>
          <wp:inline distT="0" distB="0" distL="114300" distR="114300">
            <wp:extent cx="850900" cy="482600"/>
            <wp:effectExtent l="0" t="0" r="6350" b="1333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40"/>
                    <a:stretch>
                      <a:fillRect/>
                    </a:stretch>
                  </pic:blipFill>
                  <pic:spPr>
                    <a:xfrm>
                      <a:off x="0" y="0"/>
                      <a:ext cx="850900" cy="482600"/>
                    </a:xfrm>
                    <a:prstGeom prst="rect">
                      <a:avLst/>
                    </a:prstGeom>
                    <a:noFill/>
                    <a:ln>
                      <a:noFill/>
                    </a:ln>
                  </pic:spPr>
                </pic:pic>
              </a:graphicData>
            </a:graphic>
          </wp:inline>
        </w:drawing>
      </w:r>
    </w:p>
    <w:p>
      <w:pPr>
        <w:spacing w:line="360" w:lineRule="auto"/>
        <w:ind w:firstLine="482"/>
        <w:jc w:val="center"/>
        <w:rPr>
          <w:rFonts w:hint="eastAsia"/>
          <w:color w:val="auto"/>
          <w:sz w:val="24"/>
          <w:szCs w:val="24"/>
        </w:rPr>
      </w:pPr>
      <w:r>
        <w:rPr>
          <w:color w:val="auto"/>
          <w:sz w:val="24"/>
          <w:szCs w:val="24"/>
        </w:rPr>
        <w:drawing>
          <wp:inline distT="0" distB="0" distL="114300" distR="114300">
            <wp:extent cx="723900" cy="228600"/>
            <wp:effectExtent l="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41"/>
                    <a:stretch>
                      <a:fillRect/>
                    </a:stretch>
                  </pic:blipFill>
                  <pic:spPr>
                    <a:xfrm>
                      <a:off x="0" y="0"/>
                      <a:ext cx="723900" cy="228600"/>
                    </a:xfrm>
                    <a:prstGeom prst="rect">
                      <a:avLst/>
                    </a:prstGeom>
                    <a:noFill/>
                    <a:ln>
                      <a:noFill/>
                    </a:ln>
                  </pic:spPr>
                </pic:pic>
              </a:graphicData>
            </a:graphic>
          </wp:inline>
        </w:drawing>
      </w:r>
    </w:p>
    <w:p>
      <w:pPr>
        <w:spacing w:line="360" w:lineRule="auto"/>
        <w:ind w:firstLine="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式中：q——小时清洗水量（L/h）；</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dt：单位时间镀液带出量（L/h）；</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n：清洗槽级数；</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：电镀槽镀液或末级回收槽中金属离子含量（g/L）；</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Cn：末级清洗槽废水中金属离子含量（mg/L）；</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：浓度修正系数；</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vertAlign w:val="subscript"/>
        </w:rPr>
        <w:t>总</w:t>
      </w:r>
      <w:r>
        <w:rPr>
          <w:rFonts w:hint="default" w:ascii="Times New Roman" w:hAnsi="Times New Roman" w:cs="Times New Roman"/>
          <w:color w:val="auto"/>
          <w:sz w:val="24"/>
          <w:szCs w:val="24"/>
        </w:rPr>
        <w:t>：单位时间进入工艺槽溶液的电镀表面积，m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/h；</w:t>
      </w:r>
    </w:p>
    <w:p>
      <w:pPr>
        <w:spacing w:line="360" w:lineRule="auto"/>
        <w:ind w:firstLine="1291" w:firstLineChars="538"/>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F：单位电镀面积镀液带出量。</w:t>
      </w:r>
    </w:p>
    <w:p>
      <w:pPr>
        <w:spacing w:line="360" w:lineRule="auto"/>
        <w:ind w:firstLine="500"/>
        <w:rPr>
          <w:rFonts w:hint="eastAsia"/>
          <w:b/>
          <w:color w:val="auto"/>
          <w:sz w:val="24"/>
        </w:rPr>
      </w:pPr>
      <w:r>
        <w:rPr>
          <w:rFonts w:hint="eastAsia"/>
          <w:b/>
          <w:color w:val="auto"/>
          <w:sz w:val="24"/>
        </w:rPr>
        <w:t>B、核算参数选取</w:t>
      </w:r>
    </w:p>
    <w:p>
      <w:pPr>
        <w:spacing w:line="360" w:lineRule="auto"/>
        <w:ind w:firstLine="480" w:firstLineChars="200"/>
        <w:rPr>
          <w:rFonts w:hint="eastAsia"/>
          <w:color w:val="auto"/>
          <w:sz w:val="24"/>
        </w:rPr>
      </w:pPr>
      <w:r>
        <w:rPr>
          <w:rFonts w:hint="eastAsia" w:ascii="仿宋" w:hAnsi="仿宋" w:eastAsia="仿宋"/>
          <w:color w:val="auto"/>
          <w:sz w:val="24"/>
        </w:rPr>
        <w:t>①</w:t>
      </w:r>
      <w:r>
        <w:rPr>
          <w:color w:val="auto"/>
          <w:sz w:val="24"/>
        </w:rPr>
        <w:t>单位电镀面积镀液带出量</w:t>
      </w:r>
      <w:r>
        <w:rPr>
          <w:rFonts w:hint="eastAsia"/>
          <w:color w:val="auto"/>
          <w:sz w:val="24"/>
        </w:rPr>
        <w:t>（F）</w:t>
      </w:r>
    </w:p>
    <w:p>
      <w:pPr>
        <w:jc w:val="center"/>
        <w:rPr>
          <w:rFonts w:hint="eastAsia"/>
          <w:b/>
          <w:color w:val="auto"/>
          <w:sz w:val="24"/>
        </w:rPr>
      </w:pPr>
      <w:r>
        <w:rPr>
          <w:rFonts w:hint="eastAsia"/>
          <w:b/>
          <w:color w:val="auto"/>
          <w:sz w:val="24"/>
        </w:rPr>
        <w:t>表5.</w:t>
      </w:r>
      <w:r>
        <w:rPr>
          <w:rFonts w:hint="eastAsia"/>
          <w:b/>
          <w:color w:val="auto"/>
          <w:sz w:val="24"/>
          <w:lang w:val="en-US" w:eastAsia="zh-CN"/>
        </w:rPr>
        <w:t>2-3</w:t>
      </w:r>
      <w:r>
        <w:rPr>
          <w:rFonts w:hint="eastAsia"/>
          <w:b/>
          <w:color w:val="auto"/>
          <w:sz w:val="24"/>
        </w:rPr>
        <w:t xml:space="preserve"> </w:t>
      </w:r>
      <w:r>
        <w:rPr>
          <w:b/>
          <w:color w:val="auto"/>
          <w:sz w:val="24"/>
        </w:rPr>
        <w:t>单位电镀面积镀液带出量</w:t>
      </w:r>
      <w:r>
        <w:rPr>
          <w:rFonts w:hint="eastAsia"/>
          <w:b/>
          <w:color w:val="auto"/>
          <w:sz w:val="24"/>
        </w:rPr>
        <w:t>（F）</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857"/>
        <w:gridCol w:w="1857"/>
        <w:gridCol w:w="1857"/>
        <w:gridCol w:w="18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8" w:type="dxa"/>
            <w:vMerge w:val="restart"/>
            <w:noWrap w:val="0"/>
            <w:vAlign w:val="center"/>
          </w:tcPr>
          <w:p>
            <w:pPr>
              <w:jc w:val="center"/>
              <w:rPr>
                <w:color w:val="auto"/>
                <w:sz w:val="21"/>
                <w:szCs w:val="21"/>
              </w:rPr>
            </w:pPr>
            <w:r>
              <w:rPr>
                <w:color w:val="auto"/>
                <w:sz w:val="21"/>
                <w:szCs w:val="21"/>
              </w:rPr>
              <w:t>电镀方式</w:t>
            </w:r>
          </w:p>
        </w:tc>
        <w:tc>
          <w:tcPr>
            <w:tcW w:w="7428" w:type="dxa"/>
            <w:gridSpan w:val="4"/>
            <w:noWrap w:val="0"/>
            <w:vAlign w:val="center"/>
          </w:tcPr>
          <w:p>
            <w:pPr>
              <w:jc w:val="center"/>
              <w:rPr>
                <w:color w:val="auto"/>
                <w:sz w:val="21"/>
                <w:szCs w:val="21"/>
              </w:rPr>
            </w:pPr>
            <w:r>
              <w:rPr>
                <w:color w:val="auto"/>
                <w:sz w:val="21"/>
                <w:szCs w:val="21"/>
              </w:rPr>
              <w:t>不同镀件形状镀液带出量（ml/dm</w:t>
            </w:r>
            <w:r>
              <w:rPr>
                <w:color w:val="auto"/>
                <w:sz w:val="21"/>
                <w:szCs w:val="21"/>
                <w:vertAlign w:val="superscript"/>
              </w:rPr>
              <w:t>2</w:t>
            </w: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8" w:type="dxa"/>
            <w:vMerge w:val="continue"/>
            <w:noWrap w:val="0"/>
            <w:vAlign w:val="center"/>
          </w:tcPr>
          <w:p>
            <w:pPr>
              <w:jc w:val="center"/>
              <w:rPr>
                <w:color w:val="auto"/>
                <w:sz w:val="21"/>
                <w:szCs w:val="21"/>
              </w:rPr>
            </w:pPr>
          </w:p>
        </w:tc>
        <w:tc>
          <w:tcPr>
            <w:tcW w:w="1857" w:type="dxa"/>
            <w:noWrap w:val="0"/>
            <w:vAlign w:val="center"/>
          </w:tcPr>
          <w:p>
            <w:pPr>
              <w:jc w:val="center"/>
              <w:rPr>
                <w:color w:val="auto"/>
                <w:sz w:val="21"/>
                <w:szCs w:val="21"/>
              </w:rPr>
            </w:pPr>
            <w:r>
              <w:rPr>
                <w:color w:val="auto"/>
                <w:sz w:val="21"/>
                <w:szCs w:val="21"/>
              </w:rPr>
              <w:t>简单</w:t>
            </w:r>
          </w:p>
        </w:tc>
        <w:tc>
          <w:tcPr>
            <w:tcW w:w="1857" w:type="dxa"/>
            <w:noWrap w:val="0"/>
            <w:vAlign w:val="center"/>
          </w:tcPr>
          <w:p>
            <w:pPr>
              <w:jc w:val="center"/>
              <w:rPr>
                <w:color w:val="auto"/>
                <w:sz w:val="21"/>
                <w:szCs w:val="21"/>
              </w:rPr>
            </w:pPr>
            <w:r>
              <w:rPr>
                <w:color w:val="auto"/>
                <w:sz w:val="21"/>
                <w:szCs w:val="21"/>
              </w:rPr>
              <w:t>一般</w:t>
            </w:r>
          </w:p>
        </w:tc>
        <w:tc>
          <w:tcPr>
            <w:tcW w:w="1857" w:type="dxa"/>
            <w:noWrap w:val="0"/>
            <w:vAlign w:val="center"/>
          </w:tcPr>
          <w:p>
            <w:pPr>
              <w:jc w:val="center"/>
              <w:rPr>
                <w:color w:val="auto"/>
                <w:sz w:val="21"/>
                <w:szCs w:val="21"/>
              </w:rPr>
            </w:pPr>
            <w:r>
              <w:rPr>
                <w:color w:val="auto"/>
                <w:sz w:val="21"/>
                <w:szCs w:val="21"/>
              </w:rPr>
              <w:t>较复杂</w:t>
            </w:r>
          </w:p>
        </w:tc>
        <w:tc>
          <w:tcPr>
            <w:tcW w:w="1857" w:type="dxa"/>
            <w:noWrap w:val="0"/>
            <w:vAlign w:val="center"/>
          </w:tcPr>
          <w:p>
            <w:pPr>
              <w:jc w:val="center"/>
              <w:rPr>
                <w:color w:val="auto"/>
                <w:sz w:val="21"/>
                <w:szCs w:val="21"/>
              </w:rPr>
            </w:pPr>
            <w:r>
              <w:rPr>
                <w:color w:val="auto"/>
                <w:sz w:val="21"/>
                <w:szCs w:val="21"/>
              </w:rPr>
              <w:t>复杂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8" w:type="dxa"/>
            <w:noWrap w:val="0"/>
            <w:vAlign w:val="center"/>
          </w:tcPr>
          <w:p>
            <w:pPr>
              <w:jc w:val="center"/>
              <w:rPr>
                <w:color w:val="auto"/>
                <w:sz w:val="21"/>
                <w:szCs w:val="21"/>
              </w:rPr>
            </w:pPr>
            <w:r>
              <w:rPr>
                <w:color w:val="auto"/>
                <w:sz w:val="21"/>
                <w:szCs w:val="21"/>
              </w:rPr>
              <w:t>手工挂镀</w:t>
            </w:r>
          </w:p>
        </w:tc>
        <w:tc>
          <w:tcPr>
            <w:tcW w:w="1857" w:type="dxa"/>
            <w:noWrap w:val="0"/>
            <w:vAlign w:val="center"/>
          </w:tcPr>
          <w:p>
            <w:pPr>
              <w:jc w:val="center"/>
              <w:rPr>
                <w:color w:val="auto"/>
                <w:sz w:val="21"/>
                <w:szCs w:val="21"/>
              </w:rPr>
            </w:pPr>
            <w:r>
              <w:rPr>
                <w:color w:val="auto"/>
                <w:sz w:val="21"/>
                <w:szCs w:val="21"/>
              </w:rPr>
              <w:t>＜2</w:t>
            </w:r>
          </w:p>
        </w:tc>
        <w:tc>
          <w:tcPr>
            <w:tcW w:w="1857" w:type="dxa"/>
            <w:noWrap w:val="0"/>
            <w:vAlign w:val="center"/>
          </w:tcPr>
          <w:p>
            <w:pPr>
              <w:jc w:val="center"/>
              <w:rPr>
                <w:color w:val="auto"/>
                <w:sz w:val="21"/>
                <w:szCs w:val="21"/>
              </w:rPr>
            </w:pPr>
            <w:r>
              <w:rPr>
                <w:color w:val="auto"/>
                <w:sz w:val="21"/>
                <w:szCs w:val="21"/>
              </w:rPr>
              <w:t>2~3</w:t>
            </w:r>
          </w:p>
        </w:tc>
        <w:tc>
          <w:tcPr>
            <w:tcW w:w="1857" w:type="dxa"/>
            <w:noWrap w:val="0"/>
            <w:vAlign w:val="center"/>
          </w:tcPr>
          <w:p>
            <w:pPr>
              <w:jc w:val="center"/>
              <w:rPr>
                <w:color w:val="auto"/>
                <w:sz w:val="21"/>
                <w:szCs w:val="21"/>
              </w:rPr>
            </w:pPr>
            <w:r>
              <w:rPr>
                <w:color w:val="auto"/>
                <w:sz w:val="21"/>
                <w:szCs w:val="21"/>
              </w:rPr>
              <w:t>3~4</w:t>
            </w:r>
          </w:p>
        </w:tc>
        <w:tc>
          <w:tcPr>
            <w:tcW w:w="1857" w:type="dxa"/>
            <w:noWrap w:val="0"/>
            <w:vAlign w:val="center"/>
          </w:tcPr>
          <w:p>
            <w:pPr>
              <w:jc w:val="center"/>
              <w:rPr>
                <w:color w:val="auto"/>
                <w:sz w:val="21"/>
                <w:szCs w:val="21"/>
              </w:rPr>
            </w:pPr>
            <w:r>
              <w:rPr>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8" w:type="dxa"/>
            <w:noWrap w:val="0"/>
            <w:vAlign w:val="center"/>
          </w:tcPr>
          <w:p>
            <w:pPr>
              <w:jc w:val="center"/>
              <w:rPr>
                <w:color w:val="auto"/>
                <w:sz w:val="21"/>
                <w:szCs w:val="21"/>
              </w:rPr>
            </w:pPr>
            <w:r>
              <w:rPr>
                <w:color w:val="auto"/>
                <w:sz w:val="21"/>
                <w:szCs w:val="21"/>
              </w:rPr>
              <w:t>自动线挂镀</w:t>
            </w:r>
          </w:p>
        </w:tc>
        <w:tc>
          <w:tcPr>
            <w:tcW w:w="1857" w:type="dxa"/>
            <w:noWrap w:val="0"/>
            <w:vAlign w:val="center"/>
          </w:tcPr>
          <w:p>
            <w:pPr>
              <w:jc w:val="center"/>
              <w:rPr>
                <w:color w:val="auto"/>
                <w:sz w:val="21"/>
                <w:szCs w:val="21"/>
              </w:rPr>
            </w:pPr>
            <w:r>
              <w:rPr>
                <w:color w:val="auto"/>
                <w:sz w:val="21"/>
                <w:szCs w:val="21"/>
              </w:rPr>
              <w:t>＜1</w:t>
            </w:r>
          </w:p>
        </w:tc>
        <w:tc>
          <w:tcPr>
            <w:tcW w:w="1857" w:type="dxa"/>
            <w:noWrap w:val="0"/>
            <w:vAlign w:val="center"/>
          </w:tcPr>
          <w:p>
            <w:pPr>
              <w:jc w:val="center"/>
              <w:rPr>
                <w:color w:val="auto"/>
                <w:sz w:val="21"/>
                <w:szCs w:val="21"/>
              </w:rPr>
            </w:pPr>
            <w:r>
              <w:rPr>
                <w:color w:val="auto"/>
                <w:sz w:val="21"/>
                <w:szCs w:val="21"/>
              </w:rPr>
              <w:t>1左右</w:t>
            </w:r>
          </w:p>
        </w:tc>
        <w:tc>
          <w:tcPr>
            <w:tcW w:w="1857" w:type="dxa"/>
            <w:noWrap w:val="0"/>
            <w:vAlign w:val="center"/>
          </w:tcPr>
          <w:p>
            <w:pPr>
              <w:jc w:val="center"/>
              <w:rPr>
                <w:color w:val="auto"/>
                <w:sz w:val="21"/>
                <w:szCs w:val="21"/>
              </w:rPr>
            </w:pPr>
            <w:r>
              <w:rPr>
                <w:color w:val="auto"/>
                <w:sz w:val="21"/>
                <w:szCs w:val="21"/>
              </w:rPr>
              <w:t>1~2</w:t>
            </w:r>
          </w:p>
        </w:tc>
        <w:tc>
          <w:tcPr>
            <w:tcW w:w="1857" w:type="dxa"/>
            <w:noWrap w:val="0"/>
            <w:vAlign w:val="center"/>
          </w:tcPr>
          <w:p>
            <w:pPr>
              <w:jc w:val="center"/>
              <w:rPr>
                <w:color w:val="auto"/>
                <w:sz w:val="21"/>
                <w:szCs w:val="21"/>
              </w:rPr>
            </w:pPr>
            <w:r>
              <w:rPr>
                <w:color w:val="auto"/>
                <w:sz w:val="21"/>
                <w:szCs w:val="21"/>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8" w:type="dxa"/>
            <w:noWrap w:val="0"/>
            <w:vAlign w:val="center"/>
          </w:tcPr>
          <w:p>
            <w:pPr>
              <w:jc w:val="center"/>
              <w:rPr>
                <w:color w:val="auto"/>
                <w:sz w:val="21"/>
                <w:szCs w:val="21"/>
              </w:rPr>
            </w:pPr>
            <w:r>
              <w:rPr>
                <w:color w:val="auto"/>
                <w:sz w:val="21"/>
                <w:szCs w:val="21"/>
              </w:rPr>
              <w:t>滚镀</w:t>
            </w:r>
          </w:p>
        </w:tc>
        <w:tc>
          <w:tcPr>
            <w:tcW w:w="1857" w:type="dxa"/>
            <w:noWrap w:val="0"/>
            <w:vAlign w:val="center"/>
          </w:tcPr>
          <w:p>
            <w:pPr>
              <w:jc w:val="center"/>
              <w:rPr>
                <w:color w:val="auto"/>
                <w:sz w:val="21"/>
                <w:szCs w:val="21"/>
              </w:rPr>
            </w:pPr>
            <w:r>
              <w:rPr>
                <w:color w:val="auto"/>
                <w:sz w:val="21"/>
                <w:szCs w:val="21"/>
              </w:rPr>
              <w:t>3左右</w:t>
            </w:r>
          </w:p>
        </w:tc>
        <w:tc>
          <w:tcPr>
            <w:tcW w:w="1857" w:type="dxa"/>
            <w:noWrap w:val="0"/>
            <w:vAlign w:val="center"/>
          </w:tcPr>
          <w:p>
            <w:pPr>
              <w:jc w:val="center"/>
              <w:rPr>
                <w:color w:val="auto"/>
                <w:sz w:val="21"/>
                <w:szCs w:val="21"/>
              </w:rPr>
            </w:pPr>
            <w:r>
              <w:rPr>
                <w:color w:val="auto"/>
                <w:sz w:val="21"/>
                <w:szCs w:val="21"/>
              </w:rPr>
              <w:t>3~4</w:t>
            </w:r>
          </w:p>
        </w:tc>
        <w:tc>
          <w:tcPr>
            <w:tcW w:w="1857" w:type="dxa"/>
            <w:noWrap w:val="0"/>
            <w:vAlign w:val="center"/>
          </w:tcPr>
          <w:p>
            <w:pPr>
              <w:jc w:val="center"/>
              <w:rPr>
                <w:color w:val="auto"/>
                <w:sz w:val="21"/>
                <w:szCs w:val="21"/>
              </w:rPr>
            </w:pPr>
            <w:r>
              <w:rPr>
                <w:color w:val="auto"/>
                <w:sz w:val="21"/>
                <w:szCs w:val="21"/>
              </w:rPr>
              <w:t>4~5</w:t>
            </w:r>
          </w:p>
        </w:tc>
        <w:tc>
          <w:tcPr>
            <w:tcW w:w="1857" w:type="dxa"/>
            <w:noWrap w:val="0"/>
            <w:vAlign w:val="center"/>
          </w:tcPr>
          <w:p>
            <w:pPr>
              <w:jc w:val="center"/>
              <w:rPr>
                <w:color w:val="auto"/>
                <w:sz w:val="21"/>
                <w:szCs w:val="21"/>
              </w:rPr>
            </w:pPr>
            <w:r>
              <w:rPr>
                <w:color w:val="auto"/>
                <w:sz w:val="21"/>
                <w:szCs w:val="21"/>
              </w:rPr>
              <w:t>5~6</w:t>
            </w:r>
          </w:p>
        </w:tc>
      </w:tr>
    </w:tbl>
    <w:p>
      <w:pPr>
        <w:spacing w:line="360" w:lineRule="auto"/>
        <w:ind w:firstLine="480" w:firstLineChars="200"/>
        <w:rPr>
          <w:rFonts w:hint="eastAsia"/>
          <w:color w:val="auto"/>
          <w:sz w:val="24"/>
        </w:rPr>
      </w:pPr>
      <w:r>
        <w:rPr>
          <w:rFonts w:hint="eastAsia"/>
          <w:color w:val="auto"/>
          <w:sz w:val="24"/>
        </w:rPr>
        <w:t>根据</w:t>
      </w:r>
      <w:r>
        <w:rPr>
          <w:rFonts w:hint="eastAsia" w:hAnsi="宋体"/>
          <w:color w:val="auto"/>
          <w:sz w:val="24"/>
          <w:szCs w:val="24"/>
        </w:rPr>
        <w:t>化油器</w:t>
      </w:r>
      <w:r>
        <w:rPr>
          <w:rFonts w:hint="eastAsia"/>
          <w:color w:val="auto"/>
          <w:sz w:val="24"/>
        </w:rPr>
        <w:t>的产品特征，本次计算采用龙门挂镀单位电镀面积镀液带出量确定为 2ml/dm</w:t>
      </w:r>
      <w:r>
        <w:rPr>
          <w:rFonts w:hint="eastAsia"/>
          <w:color w:val="auto"/>
          <w:sz w:val="24"/>
          <w:vertAlign w:val="superscript"/>
        </w:rPr>
        <w:t>2</w:t>
      </w:r>
      <w:r>
        <w:rPr>
          <w:rFonts w:hint="eastAsia"/>
          <w:color w:val="auto"/>
          <w:sz w:val="24"/>
        </w:rPr>
        <w:t>；滚镀单位电镀面积镀液带出量确定为5ml/dm</w:t>
      </w:r>
      <w:r>
        <w:rPr>
          <w:rFonts w:hint="eastAsia"/>
          <w:color w:val="auto"/>
          <w:sz w:val="24"/>
          <w:vertAlign w:val="superscript"/>
        </w:rPr>
        <w:t>2</w:t>
      </w:r>
      <w:r>
        <w:rPr>
          <w:rFonts w:hint="eastAsia"/>
          <w:color w:val="auto"/>
          <w:sz w:val="24"/>
        </w:rPr>
        <w:t>，手工线单位挂镀面积为4ml/dm</w:t>
      </w:r>
      <w:r>
        <w:rPr>
          <w:rFonts w:hint="eastAsia"/>
          <w:color w:val="auto"/>
          <w:sz w:val="24"/>
          <w:vertAlign w:val="superscript"/>
        </w:rPr>
        <w:t>2</w:t>
      </w:r>
      <w:r>
        <w:rPr>
          <w:rFonts w:hint="eastAsia"/>
          <w:color w:val="auto"/>
          <w:sz w:val="24"/>
        </w:rPr>
        <w:t>。</w:t>
      </w:r>
    </w:p>
    <w:p>
      <w:pPr>
        <w:spacing w:line="360" w:lineRule="auto"/>
        <w:ind w:firstLine="480" w:firstLineChars="200"/>
        <w:rPr>
          <w:rFonts w:hint="eastAsia"/>
          <w:color w:val="auto"/>
          <w:sz w:val="24"/>
        </w:rPr>
      </w:pPr>
      <w:r>
        <w:rPr>
          <w:rFonts w:hint="eastAsia"/>
          <w:color w:val="auto"/>
          <w:sz w:val="24"/>
        </w:rPr>
        <w:t>②浓度修正系数（</w:t>
      </w:r>
      <w:r>
        <w:rPr>
          <w:color w:val="auto"/>
          <w:sz w:val="24"/>
        </w:rPr>
        <w:t>S</w:t>
      </w:r>
      <w:r>
        <w:rPr>
          <w:color w:val="auto"/>
          <w:sz w:val="24"/>
          <w:vertAlign w:val="subscript"/>
        </w:rPr>
        <w:t>1</w:t>
      </w:r>
      <w:r>
        <w:rPr>
          <w:rFonts w:hint="eastAsia"/>
          <w:color w:val="auto"/>
          <w:sz w:val="24"/>
        </w:rPr>
        <w:t>）</w:t>
      </w:r>
    </w:p>
    <w:p>
      <w:pPr>
        <w:spacing w:line="360" w:lineRule="auto"/>
        <w:ind w:firstLine="480" w:firstLineChars="200"/>
        <w:rPr>
          <w:rFonts w:hint="eastAsia"/>
          <w:color w:val="auto"/>
          <w:sz w:val="24"/>
        </w:rPr>
      </w:pPr>
      <w:r>
        <w:rPr>
          <w:rFonts w:hint="eastAsia"/>
          <w:color w:val="auto"/>
          <w:sz w:val="24"/>
        </w:rPr>
        <w:t>浓度修正系数和清洗槽的清洗级数有关，根据每次清洗的级数选取，</w:t>
      </w:r>
      <w:r>
        <w:rPr>
          <w:color w:val="auto"/>
          <w:sz w:val="24"/>
        </w:rPr>
        <w:t>浓度修正系数</w:t>
      </w:r>
      <w:r>
        <w:rPr>
          <w:rFonts w:hint="eastAsia"/>
          <w:color w:val="auto"/>
          <w:sz w:val="24"/>
        </w:rPr>
        <w:t>按照下表取值；本项目一般采取二级、三、四级逆流清洗工艺，其浓度修正系数分别选值为0.7、0.5、0.3。</w:t>
      </w:r>
    </w:p>
    <w:p>
      <w:pPr>
        <w:jc w:val="center"/>
        <w:rPr>
          <w:rFonts w:hint="eastAsia"/>
          <w:b/>
          <w:color w:val="auto"/>
          <w:sz w:val="24"/>
        </w:rPr>
      </w:pPr>
      <w:r>
        <w:rPr>
          <w:rFonts w:hint="eastAsia"/>
          <w:b/>
          <w:color w:val="auto"/>
          <w:sz w:val="24"/>
        </w:rPr>
        <w:t>表5.</w:t>
      </w:r>
      <w:r>
        <w:rPr>
          <w:rFonts w:hint="eastAsia"/>
          <w:b/>
          <w:color w:val="auto"/>
          <w:sz w:val="24"/>
          <w:lang w:val="en-US" w:eastAsia="zh-CN"/>
        </w:rPr>
        <w:t xml:space="preserve">2-4  </w:t>
      </w:r>
      <w:r>
        <w:rPr>
          <w:b/>
          <w:color w:val="auto"/>
          <w:sz w:val="24"/>
        </w:rPr>
        <w:t>浓度修正系数</w:t>
      </w:r>
      <w:r>
        <w:rPr>
          <w:rFonts w:hint="eastAsia"/>
          <w:b/>
          <w:color w:val="auto"/>
          <w:sz w:val="24"/>
        </w:rPr>
        <w:t>取值一览表（S1）</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1432"/>
        <w:gridCol w:w="1432"/>
        <w:gridCol w:w="1432"/>
        <w:gridCol w:w="1432"/>
        <w:gridCol w:w="14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45" w:type="dxa"/>
            <w:noWrap w:val="0"/>
            <w:vAlign w:val="center"/>
          </w:tcPr>
          <w:p>
            <w:pPr>
              <w:jc w:val="center"/>
              <w:rPr>
                <w:color w:val="auto"/>
                <w:sz w:val="21"/>
                <w:szCs w:val="21"/>
              </w:rPr>
            </w:pPr>
            <w:r>
              <w:rPr>
                <w:color w:val="auto"/>
                <w:sz w:val="21"/>
                <w:szCs w:val="21"/>
              </w:rPr>
              <w:t>清洗槽级数</w:t>
            </w:r>
          </w:p>
        </w:tc>
        <w:tc>
          <w:tcPr>
            <w:tcW w:w="1432" w:type="dxa"/>
            <w:noWrap w:val="0"/>
            <w:vAlign w:val="center"/>
          </w:tcPr>
          <w:p>
            <w:pPr>
              <w:jc w:val="center"/>
              <w:rPr>
                <w:color w:val="auto"/>
                <w:sz w:val="21"/>
                <w:szCs w:val="21"/>
              </w:rPr>
            </w:pPr>
            <w:r>
              <w:rPr>
                <w:color w:val="auto"/>
                <w:sz w:val="21"/>
                <w:szCs w:val="21"/>
              </w:rPr>
              <w:t>1</w:t>
            </w:r>
          </w:p>
        </w:tc>
        <w:tc>
          <w:tcPr>
            <w:tcW w:w="1432" w:type="dxa"/>
            <w:noWrap w:val="0"/>
            <w:vAlign w:val="center"/>
          </w:tcPr>
          <w:p>
            <w:pPr>
              <w:jc w:val="center"/>
              <w:rPr>
                <w:color w:val="auto"/>
                <w:sz w:val="21"/>
                <w:szCs w:val="21"/>
              </w:rPr>
            </w:pPr>
            <w:r>
              <w:rPr>
                <w:color w:val="auto"/>
                <w:sz w:val="21"/>
                <w:szCs w:val="21"/>
              </w:rPr>
              <w:t>2</w:t>
            </w:r>
          </w:p>
        </w:tc>
        <w:tc>
          <w:tcPr>
            <w:tcW w:w="1432" w:type="dxa"/>
            <w:noWrap w:val="0"/>
            <w:vAlign w:val="center"/>
          </w:tcPr>
          <w:p>
            <w:pPr>
              <w:jc w:val="center"/>
              <w:rPr>
                <w:color w:val="auto"/>
                <w:sz w:val="21"/>
                <w:szCs w:val="21"/>
              </w:rPr>
            </w:pPr>
            <w:r>
              <w:rPr>
                <w:color w:val="auto"/>
                <w:sz w:val="21"/>
                <w:szCs w:val="21"/>
              </w:rPr>
              <w:t>3</w:t>
            </w:r>
          </w:p>
        </w:tc>
        <w:tc>
          <w:tcPr>
            <w:tcW w:w="1432" w:type="dxa"/>
            <w:noWrap w:val="0"/>
            <w:vAlign w:val="center"/>
          </w:tcPr>
          <w:p>
            <w:pPr>
              <w:jc w:val="center"/>
              <w:rPr>
                <w:color w:val="auto"/>
                <w:sz w:val="21"/>
                <w:szCs w:val="21"/>
              </w:rPr>
            </w:pPr>
            <w:r>
              <w:rPr>
                <w:color w:val="auto"/>
                <w:sz w:val="21"/>
                <w:szCs w:val="21"/>
              </w:rPr>
              <w:t>4</w:t>
            </w:r>
          </w:p>
        </w:tc>
        <w:tc>
          <w:tcPr>
            <w:tcW w:w="1413" w:type="dxa"/>
            <w:noWrap w:val="0"/>
            <w:vAlign w:val="top"/>
          </w:tcPr>
          <w:p>
            <w:pPr>
              <w:jc w:val="center"/>
              <w:rPr>
                <w:color w:val="auto"/>
                <w:sz w:val="21"/>
                <w:szCs w:val="21"/>
              </w:rPr>
            </w:pPr>
            <w:r>
              <w:rPr>
                <w:color w:val="auto"/>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45" w:type="dxa"/>
            <w:noWrap w:val="0"/>
            <w:vAlign w:val="center"/>
          </w:tcPr>
          <w:p>
            <w:pPr>
              <w:jc w:val="center"/>
              <w:rPr>
                <w:color w:val="auto"/>
                <w:sz w:val="21"/>
                <w:szCs w:val="21"/>
                <w:vertAlign w:val="subscript"/>
              </w:rPr>
            </w:pPr>
            <w:r>
              <w:rPr>
                <w:color w:val="auto"/>
                <w:sz w:val="21"/>
                <w:szCs w:val="21"/>
              </w:rPr>
              <w:t>浓度修正系数S</w:t>
            </w:r>
            <w:r>
              <w:rPr>
                <w:color w:val="auto"/>
                <w:sz w:val="21"/>
                <w:szCs w:val="21"/>
                <w:vertAlign w:val="subscript"/>
              </w:rPr>
              <w:t>1</w:t>
            </w:r>
          </w:p>
        </w:tc>
        <w:tc>
          <w:tcPr>
            <w:tcW w:w="1432" w:type="dxa"/>
            <w:noWrap w:val="0"/>
            <w:vAlign w:val="center"/>
          </w:tcPr>
          <w:p>
            <w:pPr>
              <w:jc w:val="center"/>
              <w:rPr>
                <w:color w:val="auto"/>
                <w:sz w:val="21"/>
                <w:szCs w:val="21"/>
              </w:rPr>
            </w:pPr>
            <w:r>
              <w:rPr>
                <w:color w:val="auto"/>
                <w:sz w:val="21"/>
                <w:szCs w:val="21"/>
              </w:rPr>
              <w:t>0.9~0.95</w:t>
            </w:r>
          </w:p>
        </w:tc>
        <w:tc>
          <w:tcPr>
            <w:tcW w:w="1432" w:type="dxa"/>
            <w:noWrap w:val="0"/>
            <w:vAlign w:val="center"/>
          </w:tcPr>
          <w:p>
            <w:pPr>
              <w:jc w:val="center"/>
              <w:rPr>
                <w:color w:val="auto"/>
                <w:sz w:val="21"/>
                <w:szCs w:val="21"/>
              </w:rPr>
            </w:pPr>
            <w:r>
              <w:rPr>
                <w:color w:val="auto"/>
                <w:sz w:val="21"/>
                <w:szCs w:val="21"/>
              </w:rPr>
              <w:t>0.7~0.8</w:t>
            </w:r>
          </w:p>
        </w:tc>
        <w:tc>
          <w:tcPr>
            <w:tcW w:w="1432" w:type="dxa"/>
            <w:noWrap w:val="0"/>
            <w:vAlign w:val="center"/>
          </w:tcPr>
          <w:p>
            <w:pPr>
              <w:jc w:val="center"/>
              <w:rPr>
                <w:color w:val="auto"/>
                <w:sz w:val="21"/>
                <w:szCs w:val="21"/>
              </w:rPr>
            </w:pPr>
            <w:r>
              <w:rPr>
                <w:color w:val="auto"/>
                <w:sz w:val="21"/>
                <w:szCs w:val="21"/>
              </w:rPr>
              <w:t>0.5~0.6</w:t>
            </w:r>
          </w:p>
        </w:tc>
        <w:tc>
          <w:tcPr>
            <w:tcW w:w="1432" w:type="dxa"/>
            <w:noWrap w:val="0"/>
            <w:vAlign w:val="center"/>
          </w:tcPr>
          <w:p>
            <w:pPr>
              <w:jc w:val="center"/>
              <w:rPr>
                <w:color w:val="auto"/>
                <w:sz w:val="21"/>
                <w:szCs w:val="21"/>
              </w:rPr>
            </w:pPr>
            <w:r>
              <w:rPr>
                <w:color w:val="auto"/>
                <w:sz w:val="21"/>
                <w:szCs w:val="21"/>
              </w:rPr>
              <w:t>0.3~0.4</w:t>
            </w:r>
          </w:p>
        </w:tc>
        <w:tc>
          <w:tcPr>
            <w:tcW w:w="1413" w:type="dxa"/>
            <w:noWrap w:val="0"/>
            <w:vAlign w:val="top"/>
          </w:tcPr>
          <w:p>
            <w:pPr>
              <w:jc w:val="center"/>
              <w:rPr>
                <w:color w:val="auto"/>
                <w:sz w:val="21"/>
                <w:szCs w:val="21"/>
              </w:rPr>
            </w:pPr>
            <w:r>
              <w:rPr>
                <w:color w:val="auto"/>
                <w:sz w:val="21"/>
                <w:szCs w:val="21"/>
              </w:rPr>
              <w:t>0.1~0.2</w:t>
            </w:r>
          </w:p>
        </w:tc>
      </w:tr>
    </w:tbl>
    <w:p>
      <w:pPr>
        <w:spacing w:line="360" w:lineRule="auto"/>
        <w:ind w:firstLine="480" w:firstLineChars="200"/>
        <w:rPr>
          <w:rFonts w:hint="eastAsia"/>
          <w:color w:val="auto"/>
          <w:sz w:val="24"/>
        </w:rPr>
      </w:pPr>
      <w:r>
        <w:rPr>
          <w:rFonts w:hint="eastAsia"/>
          <w:color w:val="auto"/>
          <w:sz w:val="24"/>
        </w:rPr>
        <w:t>③电镀槽镀液或末级回收槽中金属离子含量（C</w:t>
      </w:r>
      <w:r>
        <w:rPr>
          <w:rFonts w:hint="eastAsia"/>
          <w:color w:val="auto"/>
          <w:sz w:val="24"/>
          <w:vertAlign w:val="subscript"/>
        </w:rPr>
        <w:t>0</w:t>
      </w:r>
      <w:r>
        <w:rPr>
          <w:rFonts w:hint="eastAsia"/>
          <w:color w:val="auto"/>
          <w:sz w:val="24"/>
        </w:rPr>
        <w:t>）</w:t>
      </w:r>
    </w:p>
    <w:p>
      <w:pPr>
        <w:spacing w:line="360" w:lineRule="auto"/>
        <w:ind w:firstLine="480" w:firstLineChars="200"/>
        <w:rPr>
          <w:rFonts w:hint="eastAsia"/>
          <w:color w:val="auto"/>
          <w:sz w:val="24"/>
        </w:rPr>
      </w:pPr>
      <w:r>
        <w:rPr>
          <w:rFonts w:hint="eastAsia"/>
          <w:color w:val="auto"/>
          <w:sz w:val="24"/>
        </w:rPr>
        <w:t>无回收槽时采用镀槽或清洗槽槽液浓度，有一级回收槽时采用镀槽槽液的0.1倍进行核算，有两级回收槽时按照电镀槽液的0.03倍进行核算。</w:t>
      </w:r>
    </w:p>
    <w:p>
      <w:pPr>
        <w:spacing w:line="360" w:lineRule="auto"/>
        <w:ind w:firstLine="480" w:firstLineChars="200"/>
        <w:rPr>
          <w:rFonts w:hint="eastAsia"/>
          <w:color w:val="auto"/>
          <w:sz w:val="24"/>
        </w:rPr>
      </w:pPr>
      <w:r>
        <w:rPr>
          <w:rFonts w:hint="eastAsia"/>
          <w:color w:val="auto"/>
          <w:sz w:val="24"/>
        </w:rPr>
        <w:t>④末级清洗槽废水中金属离子含量（C</w:t>
      </w:r>
      <w:r>
        <w:rPr>
          <w:rFonts w:hint="eastAsia"/>
          <w:color w:val="auto"/>
          <w:sz w:val="24"/>
          <w:vertAlign w:val="subscript"/>
        </w:rPr>
        <w:t>n</w:t>
      </w:r>
      <w:r>
        <w:rPr>
          <w:rFonts w:hint="eastAsia"/>
          <w:color w:val="auto"/>
          <w:sz w:val="24"/>
        </w:rPr>
        <w:t>）</w:t>
      </w:r>
    </w:p>
    <w:p>
      <w:pPr>
        <w:spacing w:line="360" w:lineRule="auto"/>
        <w:ind w:firstLine="480" w:firstLineChars="200"/>
        <w:rPr>
          <w:rFonts w:hint="eastAsia"/>
          <w:color w:val="auto"/>
          <w:sz w:val="24"/>
        </w:rPr>
      </w:pPr>
      <w:r>
        <w:rPr>
          <w:rFonts w:hint="eastAsia"/>
          <w:color w:val="auto"/>
          <w:sz w:val="24"/>
        </w:rPr>
        <w:t>参照《电镀手册》以及项目设计资料，高温除油工序清洗槽离子浓度为75-250mg/L；活化(酸洗)工序清洗时末级清洗槽离子浓度为50-75mg/L；各个镀种清洗时末级清洗槽离子浓度为15mg/L；镀铬末级清洗槽离子浓度为5mg/L。</w:t>
      </w:r>
    </w:p>
    <w:p>
      <w:pPr>
        <w:spacing w:line="360" w:lineRule="auto"/>
        <w:ind w:firstLine="480" w:firstLineChars="200"/>
        <w:rPr>
          <w:rFonts w:hint="eastAsia"/>
          <w:color w:val="auto"/>
          <w:sz w:val="24"/>
        </w:rPr>
      </w:pPr>
      <w:r>
        <w:rPr>
          <w:rFonts w:hint="eastAsia" w:ascii="宋体" w:hAnsi="宋体"/>
          <w:color w:val="auto"/>
          <w:sz w:val="24"/>
        </w:rPr>
        <w:t>⑤</w:t>
      </w:r>
      <w:r>
        <w:rPr>
          <w:rFonts w:hint="eastAsia"/>
          <w:color w:val="auto"/>
          <w:sz w:val="24"/>
        </w:rPr>
        <w:t>清洗槽级数</w:t>
      </w:r>
    </w:p>
    <w:p>
      <w:pPr>
        <w:spacing w:line="360" w:lineRule="auto"/>
        <w:ind w:firstLine="480" w:firstLineChars="200"/>
        <w:rPr>
          <w:rFonts w:hint="eastAsia"/>
          <w:color w:val="auto"/>
          <w:sz w:val="24"/>
        </w:rPr>
      </w:pPr>
      <w:r>
        <w:rPr>
          <w:rFonts w:hint="eastAsia"/>
          <w:color w:val="auto"/>
          <w:sz w:val="24"/>
        </w:rPr>
        <w:t>按照生产车间的实际设备设计情况选取，主要为四级、三级和两级；</w:t>
      </w:r>
    </w:p>
    <w:p>
      <w:pPr>
        <w:spacing w:line="360" w:lineRule="auto"/>
        <w:ind w:firstLine="480" w:firstLineChars="200"/>
        <w:rPr>
          <w:rFonts w:hint="eastAsia"/>
          <w:color w:val="auto"/>
          <w:sz w:val="24"/>
        </w:rPr>
      </w:pPr>
      <w:r>
        <w:rPr>
          <w:rFonts w:hint="eastAsia" w:ascii="宋体" w:hAnsi="宋体"/>
          <w:color w:val="auto"/>
          <w:sz w:val="24"/>
        </w:rPr>
        <w:t>⑥单位时间进入工艺槽溶液的电镀表面积（S</w:t>
      </w:r>
      <w:r>
        <w:rPr>
          <w:rFonts w:hint="eastAsia" w:ascii="宋体" w:hAnsi="宋体"/>
          <w:color w:val="auto"/>
          <w:sz w:val="24"/>
          <w:vertAlign w:val="subscript"/>
        </w:rPr>
        <w:t>总</w:t>
      </w:r>
      <w:r>
        <w:rPr>
          <w:rFonts w:hint="eastAsia" w:ascii="宋体" w:hAnsi="宋体"/>
          <w:color w:val="auto"/>
          <w:sz w:val="24"/>
        </w:rPr>
        <w:t>）</w:t>
      </w:r>
    </w:p>
    <w:p>
      <w:pPr>
        <w:spacing w:line="360" w:lineRule="auto"/>
        <w:ind w:firstLine="480" w:firstLineChars="200"/>
        <w:rPr>
          <w:color w:val="auto"/>
          <w:sz w:val="24"/>
        </w:rPr>
      </w:pPr>
      <w:r>
        <w:rPr>
          <w:color w:val="auto"/>
          <w:sz w:val="24"/>
        </w:rPr>
        <w:t>单位时间电镀表面积S总由下式进行核算</w:t>
      </w:r>
    </w:p>
    <w:p>
      <w:pPr>
        <w:spacing w:line="360" w:lineRule="auto"/>
        <w:ind w:firstLine="480" w:firstLineChars="200"/>
        <w:rPr>
          <w:color w:val="auto"/>
          <w:sz w:val="24"/>
        </w:rPr>
      </w:pPr>
      <w:r>
        <w:rPr>
          <w:color w:val="auto"/>
          <w:sz w:val="24"/>
        </w:rPr>
        <w:t>电镀表面积计算采用下列公式：</w:t>
      </w:r>
    </w:p>
    <w:p>
      <w:pPr>
        <w:spacing w:line="360" w:lineRule="auto"/>
        <w:ind w:left="480"/>
        <w:rPr>
          <w:color w:val="auto"/>
          <w:sz w:val="24"/>
        </w:rPr>
      </w:pPr>
      <w:r>
        <w:rPr>
          <w:color w:val="auto"/>
          <w:sz w:val="24"/>
        </w:rPr>
        <w:t>S</w:t>
      </w:r>
      <w:r>
        <w:rPr>
          <w:color w:val="auto"/>
          <w:sz w:val="32"/>
          <w:szCs w:val="32"/>
          <w:vertAlign w:val="subscript"/>
        </w:rPr>
        <w:t>总</w:t>
      </w:r>
      <w:r>
        <w:rPr>
          <w:color w:val="auto"/>
          <w:szCs w:val="28"/>
        </w:rPr>
        <w:t>=</w:t>
      </w:r>
      <w:r>
        <w:rPr>
          <w:color w:val="auto"/>
          <w:sz w:val="24"/>
        </w:rPr>
        <w:t xml:space="preserve"> S</w:t>
      </w:r>
      <w:r>
        <w:rPr>
          <w:color w:val="auto"/>
          <w:sz w:val="32"/>
          <w:szCs w:val="32"/>
          <w:vertAlign w:val="subscript"/>
        </w:rPr>
        <w:t>挂</w:t>
      </w:r>
      <w:r>
        <w:rPr>
          <w:color w:val="auto"/>
          <w:szCs w:val="28"/>
        </w:rPr>
        <w:t>+</w:t>
      </w:r>
      <w:r>
        <w:rPr>
          <w:color w:val="auto"/>
          <w:sz w:val="24"/>
        </w:rPr>
        <w:t>S</w:t>
      </w:r>
      <w:r>
        <w:rPr>
          <w:color w:val="auto"/>
          <w:sz w:val="32"/>
          <w:szCs w:val="32"/>
          <w:vertAlign w:val="subscript"/>
        </w:rPr>
        <w:t xml:space="preserve">工                                                   </w:t>
      </w:r>
    </w:p>
    <w:p>
      <w:pPr>
        <w:spacing w:line="360" w:lineRule="auto"/>
        <w:rPr>
          <w:color w:val="auto"/>
          <w:sz w:val="24"/>
        </w:rPr>
      </w:pPr>
      <w:r>
        <w:rPr>
          <w:color w:val="auto"/>
          <w:sz w:val="24"/>
        </w:rPr>
        <w:t>式中：S</w:t>
      </w:r>
      <w:r>
        <w:rPr>
          <w:color w:val="auto"/>
          <w:sz w:val="32"/>
          <w:szCs w:val="32"/>
          <w:vertAlign w:val="subscript"/>
        </w:rPr>
        <w:t>总</w:t>
      </w:r>
      <w:r>
        <w:rPr>
          <w:color w:val="auto"/>
          <w:sz w:val="24"/>
        </w:rPr>
        <w:t>——单位时间进入工艺槽溶液的总表面积，m</w:t>
      </w:r>
      <w:r>
        <w:rPr>
          <w:color w:val="auto"/>
          <w:sz w:val="24"/>
          <w:vertAlign w:val="superscript"/>
        </w:rPr>
        <w:t>2</w:t>
      </w:r>
      <w:r>
        <w:rPr>
          <w:color w:val="auto"/>
          <w:sz w:val="24"/>
        </w:rPr>
        <w:t>/h；</w:t>
      </w:r>
    </w:p>
    <w:p>
      <w:pPr>
        <w:spacing w:line="360" w:lineRule="auto"/>
        <w:ind w:firstLine="720" w:firstLineChars="300"/>
        <w:rPr>
          <w:color w:val="auto"/>
          <w:sz w:val="24"/>
        </w:rPr>
      </w:pPr>
      <w:r>
        <w:rPr>
          <w:color w:val="auto"/>
          <w:sz w:val="24"/>
        </w:rPr>
        <w:t>S</w:t>
      </w:r>
      <w:r>
        <w:rPr>
          <w:color w:val="auto"/>
          <w:sz w:val="30"/>
          <w:szCs w:val="30"/>
          <w:vertAlign w:val="subscript"/>
        </w:rPr>
        <w:t>挂</w:t>
      </w:r>
      <w:r>
        <w:rPr>
          <w:color w:val="auto"/>
          <w:sz w:val="24"/>
        </w:rPr>
        <w:t>——单位时间进入工艺槽溶液的挂具的表面积，m</w:t>
      </w:r>
      <w:r>
        <w:rPr>
          <w:color w:val="auto"/>
          <w:sz w:val="24"/>
          <w:vertAlign w:val="superscript"/>
        </w:rPr>
        <w:t>2</w:t>
      </w:r>
      <w:r>
        <w:rPr>
          <w:color w:val="auto"/>
          <w:sz w:val="24"/>
        </w:rPr>
        <w:t>/h；</w:t>
      </w:r>
    </w:p>
    <w:p>
      <w:pPr>
        <w:spacing w:line="360" w:lineRule="auto"/>
        <w:ind w:firstLine="720" w:firstLineChars="300"/>
        <w:rPr>
          <w:color w:val="auto"/>
          <w:sz w:val="24"/>
        </w:rPr>
      </w:pPr>
      <w:r>
        <w:rPr>
          <w:color w:val="auto"/>
          <w:sz w:val="24"/>
        </w:rPr>
        <w:t>S</w:t>
      </w:r>
      <w:r>
        <w:rPr>
          <w:color w:val="auto"/>
          <w:sz w:val="30"/>
          <w:szCs w:val="30"/>
          <w:vertAlign w:val="subscript"/>
        </w:rPr>
        <w:t>工</w:t>
      </w:r>
      <w:r>
        <w:rPr>
          <w:color w:val="auto"/>
          <w:sz w:val="24"/>
        </w:rPr>
        <w:t>——单位时间进入工艺槽溶液的工件表面积（包括无镀层表面积），m</w:t>
      </w:r>
      <w:r>
        <w:rPr>
          <w:color w:val="auto"/>
          <w:sz w:val="24"/>
          <w:vertAlign w:val="superscript"/>
        </w:rPr>
        <w:t>2</w:t>
      </w:r>
      <w:r>
        <w:rPr>
          <w:color w:val="auto"/>
          <w:sz w:val="24"/>
        </w:rPr>
        <w:t>/h。</w:t>
      </w:r>
    </w:p>
    <w:p>
      <w:pPr>
        <w:spacing w:line="360" w:lineRule="auto"/>
        <w:ind w:firstLine="480" w:firstLineChars="200"/>
        <w:rPr>
          <w:rFonts w:hint="eastAsia"/>
          <w:color w:val="auto"/>
          <w:sz w:val="24"/>
        </w:rPr>
      </w:pPr>
      <w:r>
        <w:rPr>
          <w:rFonts w:hint="eastAsia"/>
          <w:color w:val="auto"/>
          <w:sz w:val="24"/>
        </w:rPr>
        <w:t>本项目龙门挂镀平均每个镀件的平均表面积为2.0dm</w:t>
      </w:r>
      <w:r>
        <w:rPr>
          <w:rFonts w:hint="eastAsia"/>
          <w:color w:val="auto"/>
          <w:sz w:val="24"/>
          <w:vertAlign w:val="superscript"/>
        </w:rPr>
        <w:t>2</w:t>
      </w:r>
      <w:r>
        <w:rPr>
          <w:rFonts w:hint="eastAsia"/>
          <w:color w:val="auto"/>
          <w:sz w:val="24"/>
        </w:rPr>
        <w:t>，一个挂具镀件的总表面积为1000.0dm</w:t>
      </w:r>
      <w:r>
        <w:rPr>
          <w:rFonts w:hint="eastAsia"/>
          <w:color w:val="auto"/>
          <w:sz w:val="24"/>
          <w:vertAlign w:val="superscript"/>
        </w:rPr>
        <w:t>2</w:t>
      </w:r>
      <w:r>
        <w:rPr>
          <w:rFonts w:hint="eastAsia"/>
          <w:color w:val="auto"/>
          <w:sz w:val="24"/>
        </w:rPr>
        <w:t>，挂镀生产线每小时上挂 8挂，各挂镀生产线中，工件的无镀层表面积平均为镀层表面积的0.1倍；本项目手工挂镀(手工线)平均每个平均每个镀件的平均表面积为2.0dm</w:t>
      </w:r>
      <w:r>
        <w:rPr>
          <w:rFonts w:hint="eastAsia"/>
          <w:color w:val="auto"/>
          <w:sz w:val="24"/>
          <w:vertAlign w:val="superscript"/>
        </w:rPr>
        <w:t>2</w:t>
      </w:r>
      <w:r>
        <w:rPr>
          <w:rFonts w:hint="eastAsia"/>
          <w:color w:val="auto"/>
          <w:sz w:val="24"/>
        </w:rPr>
        <w:t>，一个挂具镀件的总表面积为50.0dm</w:t>
      </w:r>
      <w:r>
        <w:rPr>
          <w:rFonts w:hint="eastAsia"/>
          <w:color w:val="auto"/>
          <w:sz w:val="24"/>
          <w:vertAlign w:val="superscript"/>
        </w:rPr>
        <w:t>2</w:t>
      </w:r>
      <w:r>
        <w:rPr>
          <w:rFonts w:hint="eastAsia"/>
          <w:color w:val="auto"/>
          <w:sz w:val="24"/>
        </w:rPr>
        <w:t>，挂镀生产线每小时上挂40挂，各挂镀生产线中，工件的无镀层表面积平均为镀层表面积的0.1倍；本项目滚镀铜、镍的滚筒规格为内径 50cm，长70cm，平均一个滚筒装工件 30kg，平均一个工件质量为0.015kg，表面积为0.1dm</w:t>
      </w:r>
      <w:r>
        <w:rPr>
          <w:rFonts w:hint="eastAsia"/>
          <w:color w:val="auto"/>
          <w:sz w:val="24"/>
          <w:vertAlign w:val="superscript"/>
        </w:rPr>
        <w:t>2</w:t>
      </w:r>
      <w:r>
        <w:rPr>
          <w:rFonts w:hint="eastAsia"/>
          <w:color w:val="auto"/>
          <w:sz w:val="24"/>
        </w:rPr>
        <w:t>，每小时电镀 2滚筒工件。根据统计，全年的总处理表面积为22.032m</w:t>
      </w:r>
      <w:r>
        <w:rPr>
          <w:rFonts w:hint="eastAsia"/>
          <w:color w:val="auto"/>
          <w:sz w:val="24"/>
          <w:vertAlign w:val="superscript"/>
        </w:rPr>
        <w:t>2</w:t>
      </w:r>
      <w:r>
        <w:rPr>
          <w:rFonts w:hint="eastAsia"/>
          <w:color w:val="auto"/>
          <w:sz w:val="24"/>
        </w:rPr>
        <w:t>。</w:t>
      </w:r>
    </w:p>
    <w:p>
      <w:pPr>
        <w:spacing w:line="360" w:lineRule="auto"/>
        <w:ind w:firstLine="500"/>
        <w:rPr>
          <w:rFonts w:hint="eastAsia" w:eastAsia="宋体"/>
          <w:b/>
          <w:color w:val="auto"/>
          <w:sz w:val="24"/>
          <w:lang w:val="en-US" w:eastAsia="zh-CN"/>
        </w:rPr>
      </w:pPr>
      <w:r>
        <w:rPr>
          <w:rFonts w:hint="eastAsia"/>
          <w:b/>
          <w:color w:val="auto"/>
          <w:sz w:val="24"/>
        </w:rPr>
        <w:t>C、核算结果</w:t>
      </w:r>
      <w:r>
        <w:rPr>
          <w:rFonts w:hint="eastAsia"/>
          <w:b/>
          <w:color w:val="auto"/>
          <w:sz w:val="24"/>
          <w:lang w:val="en-US" w:eastAsia="zh-CN"/>
        </w:rPr>
        <w:t xml:space="preserve"> </w:t>
      </w:r>
    </w:p>
    <w:p>
      <w:pPr>
        <w:spacing w:line="360" w:lineRule="auto"/>
        <w:ind w:firstLine="480" w:firstLineChars="200"/>
        <w:rPr>
          <w:rFonts w:hint="eastAsia" w:eastAsia="宋体"/>
          <w:color w:val="auto"/>
          <w:sz w:val="24"/>
          <w:lang w:eastAsia="zh-CN"/>
        </w:rPr>
      </w:pPr>
      <w:r>
        <w:rPr>
          <w:rFonts w:hint="eastAsia"/>
          <w:color w:val="auto"/>
          <w:sz w:val="24"/>
        </w:rPr>
        <w:t>项目电镀过程各种镀槽、除油槽、酸洗槽后的清洗废水产生量核算情况如下表所示</w:t>
      </w:r>
      <w:r>
        <w:rPr>
          <w:rFonts w:hint="eastAsia"/>
          <w:color w:val="auto"/>
          <w:sz w:val="24"/>
          <w:lang w:eastAsia="zh-CN"/>
        </w:rPr>
        <w:t>。</w:t>
      </w:r>
    </w:p>
    <w:p>
      <w:pPr>
        <w:jc w:val="center"/>
        <w:rPr>
          <w:rFonts w:hint="eastAsia"/>
          <w:b/>
          <w:color w:val="auto"/>
          <w:sz w:val="24"/>
        </w:rPr>
      </w:pPr>
      <w:r>
        <w:rPr>
          <w:rFonts w:hint="eastAsia"/>
          <w:b/>
          <w:color w:val="auto"/>
          <w:sz w:val="24"/>
        </w:rPr>
        <w:t>表5.</w:t>
      </w:r>
      <w:r>
        <w:rPr>
          <w:rFonts w:hint="eastAsia"/>
          <w:b/>
          <w:color w:val="auto"/>
          <w:sz w:val="24"/>
          <w:lang w:val="en-US" w:eastAsia="zh-CN"/>
        </w:rPr>
        <w:t xml:space="preserve">2-5  </w:t>
      </w:r>
      <w:r>
        <w:rPr>
          <w:rFonts w:hint="eastAsia"/>
          <w:b/>
          <w:color w:val="auto"/>
          <w:sz w:val="24"/>
        </w:rPr>
        <w:t>项目清洗废水核算参数取值一览表</w:t>
      </w:r>
    </w:p>
    <w:tbl>
      <w:tblPr>
        <w:tblStyle w:val="22"/>
        <w:tblW w:w="918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297"/>
        <w:gridCol w:w="2040"/>
        <w:gridCol w:w="2010"/>
        <w:gridCol w:w="765"/>
        <w:gridCol w:w="1305"/>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81" w:type="dxa"/>
            <w:gridSpan w:val="7"/>
            <w:shd w:val="clear" w:color="auto" w:fill="C0C0C0"/>
            <w:noWrap w:val="0"/>
            <w:vAlign w:val="center"/>
          </w:tcPr>
          <w:p>
            <w:pPr>
              <w:spacing w:line="240" w:lineRule="auto"/>
              <w:rPr>
                <w:color w:val="auto"/>
                <w:sz w:val="21"/>
                <w:szCs w:val="21"/>
              </w:rPr>
            </w:pPr>
            <w:r>
              <w:rPr>
                <w:rFonts w:hint="eastAsia"/>
                <w:color w:val="auto"/>
                <w:sz w:val="21"/>
                <w:szCs w:val="21"/>
              </w:rPr>
              <w:t>一</w:t>
            </w:r>
            <w:r>
              <w:rPr>
                <w:color w:val="auto"/>
                <w:sz w:val="21"/>
                <w:szCs w:val="21"/>
              </w:rPr>
              <w:t>、</w:t>
            </w:r>
            <w:r>
              <w:rPr>
                <w:rFonts w:hint="eastAsia"/>
                <w:color w:val="auto"/>
                <w:sz w:val="21"/>
                <w:szCs w:val="21"/>
              </w:rPr>
              <w:t>龙门挂铝合金</w:t>
            </w:r>
            <w:r>
              <w:rPr>
                <w:color w:val="auto"/>
                <w:sz w:val="21"/>
                <w:szCs w:val="21"/>
              </w:rPr>
              <w:t>氧化生产线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594" w:type="dxa"/>
            <w:noWrap w:val="0"/>
            <w:vAlign w:val="center"/>
          </w:tcPr>
          <w:p>
            <w:pPr>
              <w:spacing w:line="240" w:lineRule="auto"/>
              <w:jc w:val="center"/>
              <w:rPr>
                <w:color w:val="auto"/>
                <w:sz w:val="21"/>
                <w:szCs w:val="21"/>
              </w:rPr>
            </w:pPr>
            <w:r>
              <w:rPr>
                <w:color w:val="auto"/>
                <w:sz w:val="21"/>
                <w:szCs w:val="21"/>
              </w:rPr>
              <w:t>序号</w:t>
            </w:r>
          </w:p>
        </w:tc>
        <w:tc>
          <w:tcPr>
            <w:tcW w:w="1297" w:type="dxa"/>
            <w:noWrap w:val="0"/>
            <w:vAlign w:val="center"/>
          </w:tcPr>
          <w:p>
            <w:pPr>
              <w:spacing w:line="240" w:lineRule="auto"/>
              <w:ind w:left="-105" w:leftChars="-50" w:right="-105" w:rightChars="-50"/>
              <w:jc w:val="center"/>
              <w:rPr>
                <w:color w:val="auto"/>
                <w:sz w:val="21"/>
                <w:szCs w:val="21"/>
              </w:rPr>
            </w:pPr>
            <w:r>
              <w:rPr>
                <w:color w:val="auto"/>
                <w:sz w:val="21"/>
                <w:szCs w:val="21"/>
              </w:rPr>
              <w:t>镀种或工序</w:t>
            </w:r>
          </w:p>
        </w:tc>
        <w:tc>
          <w:tcPr>
            <w:tcW w:w="2040" w:type="dxa"/>
            <w:noWrap w:val="0"/>
            <w:vAlign w:val="center"/>
          </w:tcPr>
          <w:p>
            <w:pPr>
              <w:spacing w:line="240" w:lineRule="auto"/>
              <w:ind w:left="-105" w:leftChars="-50" w:right="-105" w:rightChars="-50"/>
              <w:jc w:val="center"/>
              <w:rPr>
                <w:color w:val="auto"/>
                <w:sz w:val="21"/>
                <w:szCs w:val="21"/>
              </w:rPr>
            </w:pPr>
            <w:r>
              <w:rPr>
                <w:color w:val="auto"/>
                <w:sz w:val="21"/>
                <w:szCs w:val="21"/>
              </w:rPr>
              <w:t>镀槽或工艺槽中离子</w:t>
            </w:r>
          </w:p>
          <w:p>
            <w:pPr>
              <w:spacing w:line="240" w:lineRule="auto"/>
              <w:ind w:left="-105" w:leftChars="-50" w:right="-105" w:rightChars="-50"/>
              <w:jc w:val="center"/>
              <w:rPr>
                <w:color w:val="auto"/>
                <w:sz w:val="21"/>
                <w:szCs w:val="21"/>
              </w:rPr>
            </w:pPr>
            <w:r>
              <w:rPr>
                <w:color w:val="auto"/>
                <w:sz w:val="21"/>
                <w:szCs w:val="21"/>
              </w:rPr>
              <w:t>浓度</w:t>
            </w:r>
            <w:r>
              <w:rPr>
                <w:rFonts w:hint="eastAsia"/>
                <w:color w:val="auto"/>
                <w:sz w:val="21"/>
                <w:szCs w:val="21"/>
              </w:rPr>
              <w:t>C</w:t>
            </w:r>
            <w:r>
              <w:rPr>
                <w:rFonts w:hint="eastAsia"/>
                <w:color w:val="auto"/>
                <w:sz w:val="21"/>
                <w:szCs w:val="21"/>
                <w:vertAlign w:val="subscript"/>
              </w:rPr>
              <w:t>0</w:t>
            </w:r>
            <w:r>
              <w:rPr>
                <w:color w:val="auto"/>
                <w:sz w:val="21"/>
                <w:szCs w:val="21"/>
              </w:rPr>
              <w:t>（g/L）</w:t>
            </w:r>
          </w:p>
        </w:tc>
        <w:tc>
          <w:tcPr>
            <w:tcW w:w="2010" w:type="dxa"/>
            <w:noWrap w:val="0"/>
            <w:vAlign w:val="center"/>
          </w:tcPr>
          <w:p>
            <w:pPr>
              <w:spacing w:line="240" w:lineRule="auto"/>
              <w:ind w:left="-105" w:leftChars="-50" w:right="-105" w:rightChars="-50"/>
              <w:jc w:val="center"/>
              <w:rPr>
                <w:color w:val="auto"/>
                <w:sz w:val="21"/>
                <w:szCs w:val="21"/>
              </w:rPr>
            </w:pPr>
            <w:r>
              <w:rPr>
                <w:color w:val="auto"/>
                <w:sz w:val="21"/>
                <w:szCs w:val="21"/>
              </w:rPr>
              <w:t>末级清洗槽中离子容许浓度</w:t>
            </w:r>
            <w:r>
              <w:rPr>
                <w:rFonts w:hint="eastAsia"/>
                <w:color w:val="auto"/>
                <w:sz w:val="21"/>
                <w:szCs w:val="21"/>
              </w:rPr>
              <w:t>Cn</w:t>
            </w:r>
            <w:r>
              <w:rPr>
                <w:color w:val="auto"/>
                <w:sz w:val="21"/>
                <w:szCs w:val="21"/>
              </w:rPr>
              <w:t>(mg/L)</w:t>
            </w:r>
          </w:p>
        </w:tc>
        <w:tc>
          <w:tcPr>
            <w:tcW w:w="765" w:type="dxa"/>
            <w:noWrap w:val="0"/>
            <w:vAlign w:val="center"/>
          </w:tcPr>
          <w:p>
            <w:pPr>
              <w:spacing w:line="240" w:lineRule="auto"/>
              <w:ind w:left="-105" w:leftChars="-50" w:right="-105" w:rightChars="-50"/>
              <w:jc w:val="center"/>
              <w:rPr>
                <w:color w:val="auto"/>
                <w:sz w:val="21"/>
                <w:szCs w:val="21"/>
              </w:rPr>
            </w:pPr>
            <w:r>
              <w:rPr>
                <w:color w:val="auto"/>
                <w:sz w:val="21"/>
                <w:szCs w:val="21"/>
              </w:rPr>
              <w:t>清洗</w:t>
            </w:r>
          </w:p>
          <w:p>
            <w:pPr>
              <w:spacing w:line="240" w:lineRule="auto"/>
              <w:ind w:left="-105" w:leftChars="-50" w:right="-105" w:rightChars="-50"/>
              <w:jc w:val="center"/>
              <w:rPr>
                <w:color w:val="auto"/>
                <w:sz w:val="21"/>
                <w:szCs w:val="21"/>
              </w:rPr>
            </w:pPr>
            <w:r>
              <w:rPr>
                <w:color w:val="auto"/>
                <w:sz w:val="21"/>
                <w:szCs w:val="21"/>
              </w:rPr>
              <w:t>级数</w:t>
            </w:r>
          </w:p>
        </w:tc>
        <w:tc>
          <w:tcPr>
            <w:tcW w:w="1305" w:type="dxa"/>
            <w:noWrap w:val="0"/>
            <w:vAlign w:val="center"/>
          </w:tcPr>
          <w:p>
            <w:pPr>
              <w:spacing w:line="240" w:lineRule="auto"/>
              <w:ind w:left="-105" w:leftChars="-50" w:right="-105" w:rightChars="-50"/>
              <w:jc w:val="center"/>
              <w:rPr>
                <w:color w:val="auto"/>
                <w:sz w:val="21"/>
                <w:szCs w:val="21"/>
              </w:rPr>
            </w:pPr>
            <w:r>
              <w:rPr>
                <w:color w:val="auto"/>
                <w:sz w:val="21"/>
                <w:szCs w:val="21"/>
              </w:rPr>
              <w:t>电镀表面积（m</w:t>
            </w:r>
            <w:r>
              <w:rPr>
                <w:color w:val="auto"/>
                <w:sz w:val="21"/>
                <w:szCs w:val="21"/>
                <w:vertAlign w:val="superscript"/>
              </w:rPr>
              <w:t>2</w:t>
            </w:r>
            <w:r>
              <w:rPr>
                <w:color w:val="auto"/>
                <w:sz w:val="21"/>
                <w:szCs w:val="21"/>
              </w:rPr>
              <w:t>/h）</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废水类别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1</w:t>
            </w:r>
          </w:p>
        </w:tc>
        <w:tc>
          <w:tcPr>
            <w:tcW w:w="1297" w:type="dxa"/>
            <w:noWrap w:val="0"/>
            <w:vAlign w:val="center"/>
          </w:tcPr>
          <w:p>
            <w:pPr>
              <w:pStyle w:val="33"/>
              <w:spacing w:line="240" w:lineRule="auto"/>
              <w:rPr>
                <w:rFonts w:hint="eastAsia" w:cs="Times New Roman"/>
                <w:color w:val="auto"/>
                <w:szCs w:val="21"/>
              </w:rPr>
            </w:pPr>
            <w:r>
              <w:rPr>
                <w:rFonts w:hint="eastAsia" w:cs="Times New Roman"/>
                <w:color w:val="auto"/>
                <w:szCs w:val="21"/>
              </w:rPr>
              <w:t>除油</w:t>
            </w:r>
          </w:p>
        </w:tc>
        <w:tc>
          <w:tcPr>
            <w:tcW w:w="2040" w:type="dxa"/>
            <w:noWrap w:val="0"/>
            <w:vAlign w:val="center"/>
          </w:tcPr>
          <w:p>
            <w:pPr>
              <w:spacing w:line="240" w:lineRule="auto"/>
              <w:jc w:val="center"/>
              <w:rPr>
                <w:rFonts w:hint="eastAsia"/>
                <w:color w:val="auto"/>
                <w:sz w:val="21"/>
                <w:szCs w:val="21"/>
              </w:rPr>
            </w:pPr>
            <w:r>
              <w:rPr>
                <w:rFonts w:hint="eastAsia"/>
                <w:color w:val="auto"/>
                <w:sz w:val="21"/>
                <w:szCs w:val="21"/>
              </w:rPr>
              <w:t>60</w:t>
            </w:r>
          </w:p>
        </w:tc>
        <w:tc>
          <w:tcPr>
            <w:tcW w:w="2010" w:type="dxa"/>
            <w:noWrap w:val="0"/>
            <w:vAlign w:val="center"/>
          </w:tcPr>
          <w:p>
            <w:pPr>
              <w:spacing w:line="240" w:lineRule="auto"/>
              <w:jc w:val="center"/>
              <w:rPr>
                <w:color w:val="auto"/>
                <w:sz w:val="21"/>
                <w:szCs w:val="21"/>
              </w:rPr>
            </w:pPr>
            <w:r>
              <w:rPr>
                <w:color w:val="auto"/>
                <w:sz w:val="21"/>
                <w:szCs w:val="21"/>
              </w:rPr>
              <w:t>75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top"/>
          </w:tcPr>
          <w:p>
            <w:pPr>
              <w:spacing w:line="240" w:lineRule="auto"/>
              <w:jc w:val="center"/>
              <w:rPr>
                <w:color w:val="auto"/>
                <w:sz w:val="21"/>
                <w:szCs w:val="21"/>
              </w:rPr>
            </w:pPr>
            <w:r>
              <w:rPr>
                <w:rFonts w:hint="eastAsia"/>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含油废水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2</w:t>
            </w:r>
          </w:p>
        </w:tc>
        <w:tc>
          <w:tcPr>
            <w:tcW w:w="1297" w:type="dxa"/>
            <w:noWrap w:val="0"/>
            <w:vAlign w:val="center"/>
          </w:tcPr>
          <w:p>
            <w:pPr>
              <w:pStyle w:val="33"/>
              <w:spacing w:line="240" w:lineRule="auto"/>
              <w:rPr>
                <w:rFonts w:hint="eastAsia" w:cs="Times New Roman"/>
                <w:color w:val="auto"/>
                <w:szCs w:val="21"/>
              </w:rPr>
            </w:pPr>
            <w:r>
              <w:rPr>
                <w:rFonts w:hint="eastAsia" w:cs="Times New Roman"/>
                <w:color w:val="auto"/>
                <w:szCs w:val="21"/>
              </w:rPr>
              <w:t>表调</w:t>
            </w:r>
          </w:p>
        </w:tc>
        <w:tc>
          <w:tcPr>
            <w:tcW w:w="2040" w:type="dxa"/>
            <w:noWrap w:val="0"/>
            <w:vAlign w:val="center"/>
          </w:tcPr>
          <w:p>
            <w:pPr>
              <w:spacing w:line="240" w:lineRule="auto"/>
              <w:jc w:val="center"/>
              <w:rPr>
                <w:color w:val="auto"/>
                <w:sz w:val="21"/>
                <w:szCs w:val="21"/>
              </w:rPr>
            </w:pPr>
            <w:r>
              <w:rPr>
                <w:rFonts w:hint="eastAsia"/>
                <w:color w:val="auto"/>
                <w:sz w:val="21"/>
                <w:szCs w:val="21"/>
              </w:rPr>
              <w:t>4</w:t>
            </w:r>
            <w:r>
              <w:rPr>
                <w:color w:val="auto"/>
                <w:sz w:val="21"/>
                <w:szCs w:val="21"/>
              </w:rPr>
              <w:t>0</w:t>
            </w:r>
          </w:p>
        </w:tc>
        <w:tc>
          <w:tcPr>
            <w:tcW w:w="2010" w:type="dxa"/>
            <w:noWrap w:val="0"/>
            <w:vAlign w:val="center"/>
          </w:tcPr>
          <w:p>
            <w:pPr>
              <w:spacing w:line="240" w:lineRule="auto"/>
              <w:jc w:val="center"/>
              <w:rPr>
                <w:color w:val="auto"/>
                <w:sz w:val="21"/>
                <w:szCs w:val="21"/>
              </w:rPr>
            </w:pPr>
            <w:r>
              <w:rPr>
                <w:color w:val="auto"/>
                <w:sz w:val="21"/>
                <w:szCs w:val="21"/>
              </w:rPr>
              <w:t>75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top"/>
          </w:tcPr>
          <w:p>
            <w:pPr>
              <w:spacing w:line="240" w:lineRule="auto"/>
              <w:jc w:val="center"/>
              <w:rPr>
                <w:color w:val="auto"/>
                <w:sz w:val="21"/>
                <w:szCs w:val="21"/>
              </w:rPr>
            </w:pPr>
            <w:r>
              <w:rPr>
                <w:rFonts w:hint="eastAsia"/>
                <w:color w:val="auto"/>
                <w:sz w:val="21"/>
                <w:szCs w:val="21"/>
              </w:rPr>
              <w:t>72</w:t>
            </w:r>
          </w:p>
        </w:tc>
        <w:tc>
          <w:tcPr>
            <w:tcW w:w="1170" w:type="dxa"/>
            <w:noWrap w:val="0"/>
            <w:vAlign w:val="center"/>
          </w:tcPr>
          <w:p>
            <w:pPr>
              <w:spacing w:line="240" w:lineRule="auto"/>
              <w:ind w:left="-105" w:leftChars="-50" w:right="-105" w:rightChars="-50"/>
              <w:jc w:val="center"/>
              <w:rPr>
                <w:rFonts w:hint="eastAsia" w:eastAsia="宋体"/>
                <w:color w:val="auto"/>
                <w:sz w:val="21"/>
                <w:szCs w:val="21"/>
                <w:lang w:eastAsia="zh-CN"/>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3</w:t>
            </w:r>
          </w:p>
        </w:tc>
        <w:tc>
          <w:tcPr>
            <w:tcW w:w="1297" w:type="dxa"/>
            <w:noWrap w:val="0"/>
            <w:vAlign w:val="center"/>
          </w:tcPr>
          <w:p>
            <w:pPr>
              <w:pStyle w:val="33"/>
              <w:spacing w:line="240" w:lineRule="auto"/>
              <w:rPr>
                <w:rFonts w:cs="Times New Roman"/>
                <w:color w:val="auto"/>
                <w:szCs w:val="21"/>
              </w:rPr>
            </w:pPr>
            <w:r>
              <w:rPr>
                <w:rFonts w:hint="eastAsia" w:cs="Times New Roman"/>
                <w:color w:val="auto"/>
                <w:szCs w:val="21"/>
              </w:rPr>
              <w:t>活化</w:t>
            </w:r>
          </w:p>
        </w:tc>
        <w:tc>
          <w:tcPr>
            <w:tcW w:w="2040" w:type="dxa"/>
            <w:noWrap w:val="0"/>
            <w:vAlign w:val="center"/>
          </w:tcPr>
          <w:p>
            <w:pPr>
              <w:spacing w:line="240" w:lineRule="auto"/>
              <w:jc w:val="center"/>
              <w:rPr>
                <w:rFonts w:hint="eastAsia"/>
                <w:color w:val="auto"/>
                <w:sz w:val="21"/>
                <w:szCs w:val="21"/>
              </w:rPr>
            </w:pPr>
            <w:r>
              <w:rPr>
                <w:rFonts w:hint="eastAsia"/>
                <w:color w:val="auto"/>
                <w:sz w:val="21"/>
                <w:szCs w:val="21"/>
              </w:rPr>
              <w:t>20</w:t>
            </w:r>
          </w:p>
        </w:tc>
        <w:tc>
          <w:tcPr>
            <w:tcW w:w="2010" w:type="dxa"/>
            <w:noWrap w:val="0"/>
            <w:vAlign w:val="center"/>
          </w:tcPr>
          <w:p>
            <w:pPr>
              <w:spacing w:line="240" w:lineRule="auto"/>
              <w:jc w:val="center"/>
              <w:rPr>
                <w:color w:val="auto"/>
                <w:sz w:val="21"/>
                <w:szCs w:val="21"/>
              </w:rPr>
            </w:pPr>
            <w:r>
              <w:rPr>
                <w:rFonts w:hint="eastAsia"/>
                <w:color w:val="auto"/>
                <w:sz w:val="21"/>
                <w:szCs w:val="21"/>
              </w:rPr>
              <w:t>1</w:t>
            </w:r>
            <w:r>
              <w:rPr>
                <w:color w:val="auto"/>
                <w:sz w:val="21"/>
                <w:szCs w:val="21"/>
              </w:rPr>
              <w:t>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top"/>
          </w:tcPr>
          <w:p>
            <w:pPr>
              <w:spacing w:line="240" w:lineRule="auto"/>
              <w:jc w:val="center"/>
              <w:rPr>
                <w:color w:val="auto"/>
                <w:sz w:val="21"/>
                <w:szCs w:val="21"/>
              </w:rPr>
            </w:pPr>
            <w:r>
              <w:rPr>
                <w:rFonts w:hint="eastAsia"/>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4</w:t>
            </w:r>
          </w:p>
        </w:tc>
        <w:tc>
          <w:tcPr>
            <w:tcW w:w="1297" w:type="dxa"/>
            <w:noWrap w:val="0"/>
            <w:vAlign w:val="center"/>
          </w:tcPr>
          <w:p>
            <w:pPr>
              <w:pStyle w:val="33"/>
              <w:spacing w:line="240" w:lineRule="auto"/>
              <w:rPr>
                <w:rFonts w:cs="Times New Roman"/>
                <w:color w:val="auto"/>
                <w:szCs w:val="21"/>
              </w:rPr>
            </w:pPr>
            <w:r>
              <w:rPr>
                <w:rFonts w:hint="eastAsia"/>
                <w:color w:val="auto"/>
                <w:szCs w:val="21"/>
              </w:rPr>
              <w:t>氧化</w:t>
            </w:r>
          </w:p>
        </w:tc>
        <w:tc>
          <w:tcPr>
            <w:tcW w:w="2040" w:type="dxa"/>
            <w:noWrap w:val="0"/>
            <w:vAlign w:val="center"/>
          </w:tcPr>
          <w:p>
            <w:pPr>
              <w:spacing w:line="240" w:lineRule="auto"/>
              <w:jc w:val="center"/>
              <w:rPr>
                <w:color w:val="auto"/>
                <w:sz w:val="21"/>
                <w:szCs w:val="21"/>
              </w:rPr>
            </w:pPr>
            <w:r>
              <w:rPr>
                <w:rFonts w:hint="eastAsia"/>
                <w:color w:val="auto"/>
                <w:sz w:val="21"/>
                <w:szCs w:val="21"/>
              </w:rPr>
              <w:t>2</w:t>
            </w:r>
            <w:r>
              <w:rPr>
                <w:color w:val="auto"/>
                <w:sz w:val="21"/>
                <w:szCs w:val="21"/>
              </w:rPr>
              <w:t>0</w:t>
            </w:r>
          </w:p>
        </w:tc>
        <w:tc>
          <w:tcPr>
            <w:tcW w:w="2010" w:type="dxa"/>
            <w:noWrap w:val="0"/>
            <w:vAlign w:val="center"/>
          </w:tcPr>
          <w:p>
            <w:pPr>
              <w:spacing w:line="240" w:lineRule="auto"/>
              <w:jc w:val="center"/>
              <w:rPr>
                <w:color w:val="auto"/>
                <w:sz w:val="21"/>
                <w:szCs w:val="21"/>
              </w:rPr>
            </w:pPr>
            <w:r>
              <w:rPr>
                <w:rFonts w:hint="eastAsia"/>
                <w:color w:val="auto"/>
                <w:sz w:val="21"/>
                <w:szCs w:val="21"/>
              </w:rPr>
              <w:t>1</w:t>
            </w:r>
            <w:r>
              <w:rPr>
                <w:color w:val="auto"/>
                <w:sz w:val="21"/>
                <w:szCs w:val="21"/>
              </w:rPr>
              <w:t>5</w:t>
            </w:r>
          </w:p>
        </w:tc>
        <w:tc>
          <w:tcPr>
            <w:tcW w:w="765" w:type="dxa"/>
            <w:noWrap w:val="0"/>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6</w:t>
            </w:r>
          </w:p>
        </w:tc>
        <w:tc>
          <w:tcPr>
            <w:tcW w:w="1305" w:type="dxa"/>
            <w:noWrap w:val="0"/>
            <w:vAlign w:val="top"/>
          </w:tcPr>
          <w:p>
            <w:pPr>
              <w:spacing w:line="240" w:lineRule="auto"/>
              <w:jc w:val="center"/>
              <w:rPr>
                <w:color w:val="auto"/>
                <w:sz w:val="21"/>
                <w:szCs w:val="21"/>
              </w:rPr>
            </w:pPr>
            <w:r>
              <w:rPr>
                <w:rFonts w:hint="eastAsia"/>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81" w:type="dxa"/>
            <w:gridSpan w:val="7"/>
            <w:shd w:val="clear" w:color="auto" w:fill="C0C0C0"/>
            <w:noWrap w:val="0"/>
            <w:vAlign w:val="center"/>
          </w:tcPr>
          <w:p>
            <w:pPr>
              <w:spacing w:line="240" w:lineRule="auto"/>
              <w:rPr>
                <w:color w:val="auto"/>
                <w:sz w:val="21"/>
                <w:szCs w:val="21"/>
              </w:rPr>
            </w:pPr>
            <w:r>
              <w:rPr>
                <w:rFonts w:hint="eastAsia"/>
                <w:color w:val="auto"/>
                <w:sz w:val="21"/>
                <w:szCs w:val="21"/>
              </w:rPr>
              <w:t>二</w:t>
            </w:r>
            <w:r>
              <w:rPr>
                <w:color w:val="auto"/>
                <w:sz w:val="21"/>
                <w:szCs w:val="21"/>
              </w:rPr>
              <w:t>、</w:t>
            </w:r>
            <w:r>
              <w:rPr>
                <w:rFonts w:hint="eastAsia"/>
                <w:color w:val="auto"/>
                <w:sz w:val="21"/>
                <w:szCs w:val="21"/>
              </w:rPr>
              <w:t>龙门挂锌合金</w:t>
            </w:r>
            <w:r>
              <w:rPr>
                <w:color w:val="auto"/>
                <w:sz w:val="21"/>
                <w:szCs w:val="21"/>
              </w:rPr>
              <w:t>氧化生产线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594" w:type="dxa"/>
            <w:noWrap w:val="0"/>
            <w:vAlign w:val="center"/>
          </w:tcPr>
          <w:p>
            <w:pPr>
              <w:spacing w:line="240" w:lineRule="auto"/>
              <w:jc w:val="center"/>
              <w:rPr>
                <w:color w:val="auto"/>
                <w:sz w:val="21"/>
                <w:szCs w:val="21"/>
              </w:rPr>
            </w:pPr>
            <w:r>
              <w:rPr>
                <w:color w:val="auto"/>
                <w:sz w:val="21"/>
                <w:szCs w:val="21"/>
              </w:rPr>
              <w:t>序号</w:t>
            </w:r>
          </w:p>
        </w:tc>
        <w:tc>
          <w:tcPr>
            <w:tcW w:w="1297" w:type="dxa"/>
            <w:noWrap w:val="0"/>
            <w:vAlign w:val="center"/>
          </w:tcPr>
          <w:p>
            <w:pPr>
              <w:spacing w:line="240" w:lineRule="auto"/>
              <w:ind w:left="-105" w:leftChars="-50" w:right="-105" w:rightChars="-50"/>
              <w:jc w:val="center"/>
              <w:rPr>
                <w:color w:val="auto"/>
                <w:sz w:val="21"/>
                <w:szCs w:val="21"/>
              </w:rPr>
            </w:pPr>
            <w:r>
              <w:rPr>
                <w:color w:val="auto"/>
                <w:sz w:val="21"/>
                <w:szCs w:val="21"/>
              </w:rPr>
              <w:t>镀种或工序</w:t>
            </w:r>
          </w:p>
        </w:tc>
        <w:tc>
          <w:tcPr>
            <w:tcW w:w="2040" w:type="dxa"/>
            <w:noWrap w:val="0"/>
            <w:vAlign w:val="center"/>
          </w:tcPr>
          <w:p>
            <w:pPr>
              <w:spacing w:line="240" w:lineRule="auto"/>
              <w:ind w:left="-105" w:leftChars="-50" w:right="-105" w:rightChars="-50"/>
              <w:jc w:val="center"/>
              <w:rPr>
                <w:color w:val="auto"/>
                <w:sz w:val="21"/>
                <w:szCs w:val="21"/>
              </w:rPr>
            </w:pPr>
            <w:r>
              <w:rPr>
                <w:color w:val="auto"/>
                <w:sz w:val="21"/>
                <w:szCs w:val="21"/>
              </w:rPr>
              <w:t>镀槽或工艺槽中离子</w:t>
            </w:r>
          </w:p>
          <w:p>
            <w:pPr>
              <w:spacing w:line="240" w:lineRule="auto"/>
              <w:ind w:left="-105" w:leftChars="-50" w:right="-105" w:rightChars="-50"/>
              <w:jc w:val="center"/>
              <w:rPr>
                <w:color w:val="auto"/>
                <w:sz w:val="21"/>
                <w:szCs w:val="21"/>
              </w:rPr>
            </w:pPr>
            <w:r>
              <w:rPr>
                <w:color w:val="auto"/>
                <w:sz w:val="21"/>
                <w:szCs w:val="21"/>
              </w:rPr>
              <w:t>浓度</w:t>
            </w:r>
            <w:r>
              <w:rPr>
                <w:rFonts w:hint="eastAsia"/>
                <w:color w:val="auto"/>
                <w:sz w:val="21"/>
                <w:szCs w:val="21"/>
              </w:rPr>
              <w:t>C</w:t>
            </w:r>
            <w:r>
              <w:rPr>
                <w:rFonts w:hint="eastAsia"/>
                <w:color w:val="auto"/>
                <w:sz w:val="21"/>
                <w:szCs w:val="21"/>
                <w:vertAlign w:val="subscript"/>
              </w:rPr>
              <w:t>0</w:t>
            </w:r>
            <w:r>
              <w:rPr>
                <w:color w:val="auto"/>
                <w:sz w:val="21"/>
                <w:szCs w:val="21"/>
              </w:rPr>
              <w:t>（g/L）</w:t>
            </w:r>
          </w:p>
        </w:tc>
        <w:tc>
          <w:tcPr>
            <w:tcW w:w="2010" w:type="dxa"/>
            <w:noWrap w:val="0"/>
            <w:vAlign w:val="center"/>
          </w:tcPr>
          <w:p>
            <w:pPr>
              <w:spacing w:line="240" w:lineRule="auto"/>
              <w:ind w:left="-105" w:leftChars="-50" w:right="-105" w:rightChars="-50"/>
              <w:jc w:val="center"/>
              <w:rPr>
                <w:color w:val="auto"/>
                <w:sz w:val="21"/>
                <w:szCs w:val="21"/>
              </w:rPr>
            </w:pPr>
            <w:r>
              <w:rPr>
                <w:color w:val="auto"/>
                <w:sz w:val="21"/>
                <w:szCs w:val="21"/>
              </w:rPr>
              <w:t>末级清洗槽中离子容许浓度</w:t>
            </w:r>
            <w:r>
              <w:rPr>
                <w:rFonts w:hint="eastAsia"/>
                <w:color w:val="auto"/>
                <w:sz w:val="21"/>
                <w:szCs w:val="21"/>
              </w:rPr>
              <w:t>Cn</w:t>
            </w:r>
            <w:r>
              <w:rPr>
                <w:color w:val="auto"/>
                <w:sz w:val="21"/>
                <w:szCs w:val="21"/>
              </w:rPr>
              <w:t>（mg/L）</w:t>
            </w:r>
          </w:p>
        </w:tc>
        <w:tc>
          <w:tcPr>
            <w:tcW w:w="765" w:type="dxa"/>
            <w:noWrap w:val="0"/>
            <w:vAlign w:val="center"/>
          </w:tcPr>
          <w:p>
            <w:pPr>
              <w:spacing w:line="240" w:lineRule="auto"/>
              <w:ind w:left="-105" w:leftChars="-50" w:right="-105" w:rightChars="-50"/>
              <w:jc w:val="center"/>
              <w:rPr>
                <w:color w:val="auto"/>
                <w:sz w:val="21"/>
                <w:szCs w:val="21"/>
              </w:rPr>
            </w:pPr>
            <w:r>
              <w:rPr>
                <w:color w:val="auto"/>
                <w:sz w:val="21"/>
                <w:szCs w:val="21"/>
              </w:rPr>
              <w:t>清洗</w:t>
            </w:r>
          </w:p>
          <w:p>
            <w:pPr>
              <w:spacing w:line="240" w:lineRule="auto"/>
              <w:ind w:left="-105" w:leftChars="-50" w:right="-105" w:rightChars="-50"/>
              <w:jc w:val="center"/>
              <w:rPr>
                <w:color w:val="auto"/>
                <w:sz w:val="21"/>
                <w:szCs w:val="21"/>
              </w:rPr>
            </w:pPr>
            <w:r>
              <w:rPr>
                <w:color w:val="auto"/>
                <w:sz w:val="21"/>
                <w:szCs w:val="21"/>
              </w:rPr>
              <w:t>级数</w:t>
            </w:r>
          </w:p>
        </w:tc>
        <w:tc>
          <w:tcPr>
            <w:tcW w:w="1305" w:type="dxa"/>
            <w:noWrap w:val="0"/>
            <w:vAlign w:val="center"/>
          </w:tcPr>
          <w:p>
            <w:pPr>
              <w:spacing w:line="240" w:lineRule="auto"/>
              <w:ind w:left="-105" w:leftChars="-50" w:right="-105" w:rightChars="-50"/>
              <w:jc w:val="center"/>
              <w:rPr>
                <w:color w:val="auto"/>
                <w:sz w:val="21"/>
                <w:szCs w:val="21"/>
              </w:rPr>
            </w:pPr>
            <w:r>
              <w:rPr>
                <w:color w:val="auto"/>
                <w:sz w:val="21"/>
                <w:szCs w:val="21"/>
              </w:rPr>
              <w:t>电镀表面积（m</w:t>
            </w:r>
            <w:r>
              <w:rPr>
                <w:color w:val="auto"/>
                <w:sz w:val="21"/>
                <w:szCs w:val="21"/>
                <w:vertAlign w:val="superscript"/>
              </w:rPr>
              <w:t>2</w:t>
            </w:r>
            <w:r>
              <w:rPr>
                <w:color w:val="auto"/>
                <w:sz w:val="21"/>
                <w:szCs w:val="21"/>
              </w:rPr>
              <w:t>/h）</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废水类别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97"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除油</w:t>
            </w:r>
          </w:p>
        </w:tc>
        <w:tc>
          <w:tcPr>
            <w:tcW w:w="2040"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010"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765"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05"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含油废水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97"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出光</w:t>
            </w:r>
          </w:p>
        </w:tc>
        <w:tc>
          <w:tcPr>
            <w:tcW w:w="2040"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010"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765"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05" w:type="dxa"/>
            <w:noWrap w:val="0"/>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97" w:type="dxa"/>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退白</w:t>
            </w:r>
          </w:p>
        </w:tc>
        <w:tc>
          <w:tcPr>
            <w:tcW w:w="2040"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2010"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765" w:type="dxa"/>
            <w:noWrap w:val="0"/>
            <w:vAlign w:val="center"/>
          </w:tcPr>
          <w:p>
            <w:pPr>
              <w:pStyle w:val="33"/>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05" w:type="dxa"/>
            <w:noWrap w:val="0"/>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297"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钝化</w:t>
            </w:r>
          </w:p>
        </w:tc>
        <w:tc>
          <w:tcPr>
            <w:tcW w:w="204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201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65"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05" w:type="dxa"/>
            <w:noWrap w:val="0"/>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含铬废水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81" w:type="dxa"/>
            <w:gridSpan w:val="7"/>
            <w:shd w:val="clear" w:color="auto" w:fill="C0C0C0"/>
            <w:noWrap w:val="0"/>
            <w:vAlign w:val="center"/>
          </w:tcPr>
          <w:p>
            <w:pPr>
              <w:spacing w:line="240" w:lineRule="auto"/>
              <w:rPr>
                <w:color w:val="auto"/>
                <w:sz w:val="21"/>
                <w:szCs w:val="21"/>
              </w:rPr>
            </w:pPr>
            <w:r>
              <w:rPr>
                <w:rFonts w:hint="eastAsia"/>
                <w:color w:val="auto"/>
                <w:sz w:val="21"/>
                <w:szCs w:val="21"/>
              </w:rPr>
              <w:t>三</w:t>
            </w:r>
            <w:r>
              <w:rPr>
                <w:color w:val="auto"/>
                <w:sz w:val="21"/>
                <w:szCs w:val="21"/>
              </w:rPr>
              <w:t>、</w:t>
            </w:r>
            <w:r>
              <w:rPr>
                <w:rFonts w:hint="eastAsia"/>
                <w:color w:val="auto"/>
                <w:sz w:val="21"/>
                <w:szCs w:val="21"/>
              </w:rPr>
              <w:t>手工挂铝合金钝化</w:t>
            </w:r>
            <w:r>
              <w:rPr>
                <w:color w:val="auto"/>
                <w:sz w:val="21"/>
                <w:szCs w:val="21"/>
              </w:rPr>
              <w:t>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94" w:type="dxa"/>
            <w:noWrap w:val="0"/>
            <w:vAlign w:val="center"/>
          </w:tcPr>
          <w:p>
            <w:pPr>
              <w:spacing w:line="240" w:lineRule="auto"/>
              <w:jc w:val="center"/>
              <w:rPr>
                <w:color w:val="auto"/>
                <w:sz w:val="21"/>
                <w:szCs w:val="21"/>
              </w:rPr>
            </w:pPr>
            <w:r>
              <w:rPr>
                <w:color w:val="auto"/>
                <w:sz w:val="21"/>
                <w:szCs w:val="21"/>
              </w:rPr>
              <w:t>序号</w:t>
            </w:r>
          </w:p>
        </w:tc>
        <w:tc>
          <w:tcPr>
            <w:tcW w:w="1297" w:type="dxa"/>
            <w:noWrap w:val="0"/>
            <w:vAlign w:val="center"/>
          </w:tcPr>
          <w:p>
            <w:pPr>
              <w:spacing w:line="240" w:lineRule="auto"/>
              <w:ind w:left="-105" w:leftChars="-50" w:right="-105" w:rightChars="-50"/>
              <w:jc w:val="center"/>
              <w:rPr>
                <w:color w:val="auto"/>
                <w:sz w:val="21"/>
                <w:szCs w:val="21"/>
              </w:rPr>
            </w:pPr>
            <w:r>
              <w:rPr>
                <w:color w:val="auto"/>
                <w:sz w:val="21"/>
                <w:szCs w:val="21"/>
              </w:rPr>
              <w:t>镀种或工序</w:t>
            </w:r>
          </w:p>
        </w:tc>
        <w:tc>
          <w:tcPr>
            <w:tcW w:w="2040" w:type="dxa"/>
            <w:noWrap w:val="0"/>
            <w:vAlign w:val="center"/>
          </w:tcPr>
          <w:p>
            <w:pPr>
              <w:spacing w:line="240" w:lineRule="auto"/>
              <w:ind w:left="-105" w:leftChars="-50" w:right="-105" w:rightChars="-50"/>
              <w:jc w:val="center"/>
              <w:rPr>
                <w:color w:val="auto"/>
                <w:sz w:val="21"/>
                <w:szCs w:val="21"/>
              </w:rPr>
            </w:pPr>
            <w:r>
              <w:rPr>
                <w:color w:val="auto"/>
                <w:sz w:val="21"/>
                <w:szCs w:val="21"/>
              </w:rPr>
              <w:t>镀槽或工艺槽中离子</w:t>
            </w:r>
          </w:p>
          <w:p>
            <w:pPr>
              <w:spacing w:line="240" w:lineRule="auto"/>
              <w:ind w:left="-105" w:leftChars="-50" w:right="-105" w:rightChars="-50"/>
              <w:jc w:val="center"/>
              <w:rPr>
                <w:color w:val="auto"/>
                <w:sz w:val="21"/>
                <w:szCs w:val="21"/>
              </w:rPr>
            </w:pPr>
            <w:r>
              <w:rPr>
                <w:color w:val="auto"/>
                <w:sz w:val="21"/>
                <w:szCs w:val="21"/>
              </w:rPr>
              <w:t>浓度</w:t>
            </w:r>
            <w:r>
              <w:rPr>
                <w:rFonts w:hint="eastAsia"/>
                <w:color w:val="auto"/>
                <w:sz w:val="21"/>
                <w:szCs w:val="21"/>
              </w:rPr>
              <w:t>C</w:t>
            </w:r>
            <w:r>
              <w:rPr>
                <w:rFonts w:hint="eastAsia"/>
                <w:color w:val="auto"/>
                <w:sz w:val="21"/>
                <w:szCs w:val="21"/>
                <w:vertAlign w:val="subscript"/>
              </w:rPr>
              <w:t>0</w:t>
            </w:r>
            <w:r>
              <w:rPr>
                <w:color w:val="auto"/>
                <w:sz w:val="21"/>
                <w:szCs w:val="21"/>
              </w:rPr>
              <w:t>（g/L）</w:t>
            </w:r>
          </w:p>
        </w:tc>
        <w:tc>
          <w:tcPr>
            <w:tcW w:w="2010" w:type="dxa"/>
            <w:noWrap w:val="0"/>
            <w:vAlign w:val="center"/>
          </w:tcPr>
          <w:p>
            <w:pPr>
              <w:spacing w:line="240" w:lineRule="auto"/>
              <w:ind w:left="-105" w:leftChars="-50" w:right="-105" w:rightChars="-50"/>
              <w:jc w:val="center"/>
              <w:rPr>
                <w:color w:val="auto"/>
                <w:sz w:val="21"/>
                <w:szCs w:val="21"/>
              </w:rPr>
            </w:pPr>
            <w:r>
              <w:rPr>
                <w:color w:val="auto"/>
                <w:sz w:val="21"/>
                <w:szCs w:val="21"/>
              </w:rPr>
              <w:t>末级清洗槽中离子容许浓度</w:t>
            </w:r>
            <w:r>
              <w:rPr>
                <w:rFonts w:hint="eastAsia"/>
                <w:color w:val="auto"/>
                <w:sz w:val="21"/>
                <w:szCs w:val="21"/>
              </w:rPr>
              <w:t>Cn</w:t>
            </w:r>
            <w:r>
              <w:rPr>
                <w:color w:val="auto"/>
                <w:sz w:val="21"/>
                <w:szCs w:val="21"/>
              </w:rPr>
              <w:t>（mg/L）</w:t>
            </w:r>
          </w:p>
        </w:tc>
        <w:tc>
          <w:tcPr>
            <w:tcW w:w="765" w:type="dxa"/>
            <w:noWrap w:val="0"/>
            <w:vAlign w:val="center"/>
          </w:tcPr>
          <w:p>
            <w:pPr>
              <w:spacing w:line="240" w:lineRule="auto"/>
              <w:ind w:left="-105" w:leftChars="-50" w:right="-105" w:rightChars="-50"/>
              <w:jc w:val="center"/>
              <w:rPr>
                <w:color w:val="auto"/>
                <w:sz w:val="21"/>
                <w:szCs w:val="21"/>
              </w:rPr>
            </w:pPr>
            <w:r>
              <w:rPr>
                <w:color w:val="auto"/>
                <w:sz w:val="21"/>
                <w:szCs w:val="21"/>
              </w:rPr>
              <w:t>清洗</w:t>
            </w:r>
          </w:p>
          <w:p>
            <w:pPr>
              <w:spacing w:line="240" w:lineRule="auto"/>
              <w:ind w:left="-105" w:leftChars="-50" w:right="-105" w:rightChars="-50"/>
              <w:jc w:val="center"/>
              <w:rPr>
                <w:color w:val="auto"/>
                <w:sz w:val="21"/>
                <w:szCs w:val="21"/>
              </w:rPr>
            </w:pPr>
            <w:r>
              <w:rPr>
                <w:color w:val="auto"/>
                <w:sz w:val="21"/>
                <w:szCs w:val="21"/>
              </w:rPr>
              <w:t>级数</w:t>
            </w:r>
          </w:p>
        </w:tc>
        <w:tc>
          <w:tcPr>
            <w:tcW w:w="1305" w:type="dxa"/>
            <w:noWrap w:val="0"/>
            <w:vAlign w:val="center"/>
          </w:tcPr>
          <w:p>
            <w:pPr>
              <w:spacing w:line="240" w:lineRule="auto"/>
              <w:ind w:left="-105" w:leftChars="-50" w:right="-105" w:rightChars="-50"/>
              <w:jc w:val="center"/>
              <w:rPr>
                <w:color w:val="auto"/>
                <w:sz w:val="21"/>
                <w:szCs w:val="21"/>
              </w:rPr>
            </w:pPr>
            <w:r>
              <w:rPr>
                <w:color w:val="auto"/>
                <w:sz w:val="21"/>
                <w:szCs w:val="21"/>
              </w:rPr>
              <w:t>电镀表面积（m</w:t>
            </w:r>
            <w:r>
              <w:rPr>
                <w:color w:val="auto"/>
                <w:sz w:val="21"/>
                <w:szCs w:val="21"/>
                <w:vertAlign w:val="superscript"/>
              </w:rPr>
              <w:t>2</w:t>
            </w:r>
            <w:r>
              <w:rPr>
                <w:color w:val="auto"/>
                <w:sz w:val="21"/>
                <w:szCs w:val="21"/>
              </w:rPr>
              <w:t>/h）</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废水类别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1</w:t>
            </w:r>
          </w:p>
        </w:tc>
        <w:tc>
          <w:tcPr>
            <w:tcW w:w="1297" w:type="dxa"/>
            <w:noWrap w:val="0"/>
            <w:vAlign w:val="center"/>
          </w:tcPr>
          <w:p>
            <w:pPr>
              <w:spacing w:line="240" w:lineRule="auto"/>
              <w:jc w:val="center"/>
              <w:rPr>
                <w:rFonts w:hint="eastAsia"/>
                <w:color w:val="auto"/>
                <w:sz w:val="21"/>
                <w:szCs w:val="21"/>
              </w:rPr>
            </w:pPr>
            <w:r>
              <w:rPr>
                <w:rFonts w:hint="eastAsia"/>
                <w:color w:val="auto"/>
                <w:sz w:val="21"/>
                <w:szCs w:val="21"/>
              </w:rPr>
              <w:t>除油</w:t>
            </w:r>
          </w:p>
        </w:tc>
        <w:tc>
          <w:tcPr>
            <w:tcW w:w="2040" w:type="dxa"/>
            <w:noWrap w:val="0"/>
            <w:vAlign w:val="center"/>
          </w:tcPr>
          <w:p>
            <w:pPr>
              <w:pStyle w:val="33"/>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2010" w:type="dxa"/>
            <w:noWrap w:val="0"/>
            <w:vAlign w:val="center"/>
          </w:tcPr>
          <w:p>
            <w:pPr>
              <w:pStyle w:val="33"/>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center"/>
          </w:tcPr>
          <w:p>
            <w:pPr>
              <w:spacing w:line="240" w:lineRule="auto"/>
              <w:jc w:val="center"/>
              <w:rPr>
                <w:rFonts w:hint="eastAsia"/>
                <w:color w:val="auto"/>
                <w:sz w:val="21"/>
                <w:szCs w:val="21"/>
              </w:rPr>
            </w:pPr>
            <w:r>
              <w:rPr>
                <w:rFonts w:hint="eastAsia"/>
                <w:color w:val="auto"/>
                <w:sz w:val="21"/>
                <w:szCs w:val="21"/>
              </w:rPr>
              <w:t>18</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含油废水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2</w:t>
            </w:r>
          </w:p>
        </w:tc>
        <w:tc>
          <w:tcPr>
            <w:tcW w:w="1297" w:type="dxa"/>
            <w:noWrap w:val="0"/>
            <w:vAlign w:val="center"/>
          </w:tcPr>
          <w:p>
            <w:pPr>
              <w:spacing w:line="240" w:lineRule="auto"/>
              <w:jc w:val="center"/>
              <w:rPr>
                <w:rFonts w:hint="eastAsia"/>
                <w:color w:val="auto"/>
                <w:sz w:val="21"/>
                <w:szCs w:val="21"/>
              </w:rPr>
            </w:pPr>
            <w:r>
              <w:rPr>
                <w:rFonts w:hint="eastAsia"/>
                <w:color w:val="auto"/>
                <w:sz w:val="21"/>
                <w:szCs w:val="21"/>
              </w:rPr>
              <w:t>出光</w:t>
            </w:r>
          </w:p>
        </w:tc>
        <w:tc>
          <w:tcPr>
            <w:tcW w:w="2040" w:type="dxa"/>
            <w:noWrap w:val="0"/>
            <w:vAlign w:val="center"/>
          </w:tcPr>
          <w:p>
            <w:pPr>
              <w:pStyle w:val="33"/>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010" w:type="dxa"/>
            <w:noWrap w:val="0"/>
            <w:vAlign w:val="center"/>
          </w:tcPr>
          <w:p>
            <w:pPr>
              <w:pStyle w:val="33"/>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top"/>
          </w:tcPr>
          <w:p>
            <w:pPr>
              <w:spacing w:line="240" w:lineRule="auto"/>
              <w:jc w:val="center"/>
              <w:rPr>
                <w:color w:val="auto"/>
                <w:sz w:val="21"/>
                <w:szCs w:val="21"/>
              </w:rPr>
            </w:pPr>
            <w:r>
              <w:rPr>
                <w:rFonts w:hint="eastAsia"/>
                <w:color w:val="auto"/>
                <w:sz w:val="21"/>
                <w:szCs w:val="21"/>
              </w:rPr>
              <w:t>18</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3</w:t>
            </w:r>
          </w:p>
        </w:tc>
        <w:tc>
          <w:tcPr>
            <w:tcW w:w="1297" w:type="dxa"/>
            <w:noWrap w:val="0"/>
            <w:vAlign w:val="center"/>
          </w:tcPr>
          <w:p>
            <w:pPr>
              <w:spacing w:line="240" w:lineRule="auto"/>
              <w:jc w:val="center"/>
              <w:rPr>
                <w:rFonts w:hint="eastAsia"/>
                <w:color w:val="auto"/>
                <w:sz w:val="21"/>
                <w:szCs w:val="21"/>
              </w:rPr>
            </w:pPr>
            <w:r>
              <w:rPr>
                <w:rFonts w:hint="eastAsia"/>
                <w:color w:val="auto"/>
                <w:sz w:val="21"/>
                <w:szCs w:val="21"/>
              </w:rPr>
              <w:t>退白</w:t>
            </w:r>
          </w:p>
        </w:tc>
        <w:tc>
          <w:tcPr>
            <w:tcW w:w="2040" w:type="dxa"/>
            <w:noWrap w:val="0"/>
            <w:vAlign w:val="center"/>
          </w:tcPr>
          <w:p>
            <w:pPr>
              <w:pStyle w:val="33"/>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010" w:type="dxa"/>
            <w:noWrap w:val="0"/>
            <w:vAlign w:val="center"/>
          </w:tcPr>
          <w:p>
            <w:pPr>
              <w:pStyle w:val="33"/>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top"/>
          </w:tcPr>
          <w:p>
            <w:pPr>
              <w:spacing w:line="240" w:lineRule="auto"/>
              <w:jc w:val="center"/>
              <w:rPr>
                <w:color w:val="auto"/>
                <w:sz w:val="21"/>
                <w:szCs w:val="21"/>
              </w:rPr>
            </w:pPr>
            <w:r>
              <w:rPr>
                <w:rFonts w:hint="eastAsia"/>
                <w:color w:val="auto"/>
                <w:sz w:val="21"/>
                <w:szCs w:val="21"/>
              </w:rPr>
              <w:t>18</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lang w:eastAsia="zh-CN"/>
              </w:rPr>
              <w:t>综合废水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4</w:t>
            </w:r>
          </w:p>
        </w:tc>
        <w:tc>
          <w:tcPr>
            <w:tcW w:w="1297" w:type="dxa"/>
            <w:noWrap w:val="0"/>
            <w:vAlign w:val="center"/>
          </w:tcPr>
          <w:p>
            <w:pPr>
              <w:spacing w:line="240" w:lineRule="auto"/>
              <w:jc w:val="center"/>
              <w:rPr>
                <w:color w:val="auto"/>
                <w:sz w:val="21"/>
                <w:szCs w:val="21"/>
              </w:rPr>
            </w:pPr>
            <w:r>
              <w:rPr>
                <w:color w:val="auto"/>
                <w:sz w:val="21"/>
                <w:szCs w:val="21"/>
              </w:rPr>
              <w:t>钝化</w:t>
            </w:r>
          </w:p>
        </w:tc>
        <w:tc>
          <w:tcPr>
            <w:tcW w:w="204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201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top"/>
          </w:tcPr>
          <w:p>
            <w:pPr>
              <w:spacing w:line="240" w:lineRule="auto"/>
              <w:jc w:val="center"/>
              <w:rPr>
                <w:color w:val="auto"/>
                <w:sz w:val="21"/>
                <w:szCs w:val="21"/>
              </w:rPr>
            </w:pPr>
            <w:r>
              <w:rPr>
                <w:rFonts w:hint="eastAsia"/>
                <w:color w:val="auto"/>
                <w:sz w:val="21"/>
                <w:szCs w:val="21"/>
              </w:rPr>
              <w:t>18</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含铬废水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center"/>
          </w:tcPr>
          <w:p>
            <w:pPr>
              <w:spacing w:line="240" w:lineRule="auto"/>
              <w:jc w:val="center"/>
              <w:rPr>
                <w:color w:val="auto"/>
                <w:sz w:val="21"/>
                <w:szCs w:val="21"/>
              </w:rPr>
            </w:pPr>
            <w:r>
              <w:rPr>
                <w:color w:val="auto"/>
                <w:sz w:val="21"/>
                <w:szCs w:val="21"/>
              </w:rPr>
              <w:t>5</w:t>
            </w:r>
          </w:p>
        </w:tc>
        <w:tc>
          <w:tcPr>
            <w:tcW w:w="1297" w:type="dxa"/>
            <w:noWrap w:val="0"/>
            <w:vAlign w:val="center"/>
          </w:tcPr>
          <w:p>
            <w:pPr>
              <w:spacing w:line="240" w:lineRule="auto"/>
              <w:jc w:val="center"/>
              <w:rPr>
                <w:rFonts w:hint="eastAsia"/>
                <w:color w:val="auto"/>
                <w:sz w:val="21"/>
                <w:szCs w:val="21"/>
              </w:rPr>
            </w:pPr>
            <w:r>
              <w:rPr>
                <w:rFonts w:hint="eastAsia"/>
                <w:color w:val="auto"/>
                <w:sz w:val="21"/>
                <w:szCs w:val="21"/>
              </w:rPr>
              <w:t>退黄</w:t>
            </w:r>
          </w:p>
        </w:tc>
        <w:tc>
          <w:tcPr>
            <w:tcW w:w="204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201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65" w:type="dxa"/>
            <w:noWrap w:val="0"/>
            <w:vAlign w:val="center"/>
          </w:tcPr>
          <w:p>
            <w:pPr>
              <w:spacing w:line="240" w:lineRule="auto"/>
              <w:jc w:val="center"/>
              <w:rPr>
                <w:color w:val="auto"/>
                <w:sz w:val="21"/>
                <w:szCs w:val="21"/>
              </w:rPr>
            </w:pPr>
            <w:r>
              <w:rPr>
                <w:color w:val="auto"/>
                <w:sz w:val="21"/>
                <w:szCs w:val="21"/>
              </w:rPr>
              <w:t>3</w:t>
            </w:r>
          </w:p>
        </w:tc>
        <w:tc>
          <w:tcPr>
            <w:tcW w:w="1305" w:type="dxa"/>
            <w:noWrap w:val="0"/>
            <w:vAlign w:val="center"/>
          </w:tcPr>
          <w:p>
            <w:pPr>
              <w:spacing w:line="240" w:lineRule="auto"/>
              <w:jc w:val="center"/>
              <w:rPr>
                <w:color w:val="auto"/>
                <w:sz w:val="21"/>
                <w:szCs w:val="21"/>
              </w:rPr>
            </w:pPr>
            <w:r>
              <w:rPr>
                <w:rFonts w:hint="eastAsia"/>
                <w:color w:val="auto"/>
                <w:sz w:val="21"/>
                <w:szCs w:val="21"/>
              </w:rPr>
              <w:t>18</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rPr>
              <w:t>含</w:t>
            </w:r>
            <w:r>
              <w:rPr>
                <w:color w:val="auto"/>
                <w:sz w:val="21"/>
                <w:szCs w:val="21"/>
              </w:rPr>
              <w:t>铬废水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81" w:type="dxa"/>
            <w:gridSpan w:val="7"/>
            <w:shd w:val="clear" w:color="auto" w:fill="C0C0C0"/>
            <w:noWrap w:val="0"/>
            <w:vAlign w:val="center"/>
          </w:tcPr>
          <w:p>
            <w:pPr>
              <w:spacing w:line="240" w:lineRule="auto"/>
              <w:rPr>
                <w:color w:val="auto"/>
                <w:sz w:val="21"/>
                <w:szCs w:val="21"/>
              </w:rPr>
            </w:pPr>
            <w:r>
              <w:rPr>
                <w:rFonts w:hint="eastAsia"/>
                <w:color w:val="auto"/>
                <w:sz w:val="21"/>
                <w:szCs w:val="21"/>
              </w:rPr>
              <w:t>四</w:t>
            </w:r>
            <w:r>
              <w:rPr>
                <w:color w:val="auto"/>
                <w:sz w:val="21"/>
                <w:szCs w:val="21"/>
              </w:rPr>
              <w:t>、半自动滚镀</w:t>
            </w:r>
            <w:r>
              <w:rPr>
                <w:rFonts w:hint="eastAsia"/>
                <w:color w:val="auto"/>
                <w:sz w:val="21"/>
                <w:szCs w:val="21"/>
              </w:rPr>
              <w:t>铜、</w:t>
            </w:r>
            <w:r>
              <w:rPr>
                <w:color w:val="auto"/>
                <w:sz w:val="21"/>
                <w:szCs w:val="21"/>
              </w:rPr>
              <w:t>镍生产线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594" w:type="dxa"/>
            <w:noWrap w:val="0"/>
            <w:vAlign w:val="center"/>
          </w:tcPr>
          <w:p>
            <w:pPr>
              <w:spacing w:line="240" w:lineRule="auto"/>
              <w:jc w:val="center"/>
              <w:rPr>
                <w:color w:val="auto"/>
                <w:sz w:val="21"/>
                <w:szCs w:val="21"/>
              </w:rPr>
            </w:pPr>
            <w:r>
              <w:rPr>
                <w:color w:val="auto"/>
                <w:sz w:val="21"/>
                <w:szCs w:val="21"/>
              </w:rPr>
              <w:t>序号</w:t>
            </w:r>
          </w:p>
        </w:tc>
        <w:tc>
          <w:tcPr>
            <w:tcW w:w="1297" w:type="dxa"/>
            <w:noWrap w:val="0"/>
            <w:vAlign w:val="center"/>
          </w:tcPr>
          <w:p>
            <w:pPr>
              <w:spacing w:line="240" w:lineRule="auto"/>
              <w:ind w:left="-105" w:leftChars="-50" w:right="-105" w:rightChars="-50"/>
              <w:jc w:val="center"/>
              <w:rPr>
                <w:color w:val="auto"/>
                <w:sz w:val="21"/>
                <w:szCs w:val="21"/>
              </w:rPr>
            </w:pPr>
            <w:r>
              <w:rPr>
                <w:color w:val="auto"/>
                <w:sz w:val="21"/>
                <w:szCs w:val="21"/>
              </w:rPr>
              <w:t>镀种或工序</w:t>
            </w:r>
          </w:p>
        </w:tc>
        <w:tc>
          <w:tcPr>
            <w:tcW w:w="2040" w:type="dxa"/>
            <w:noWrap w:val="0"/>
            <w:vAlign w:val="center"/>
          </w:tcPr>
          <w:p>
            <w:pPr>
              <w:spacing w:line="240" w:lineRule="auto"/>
              <w:ind w:left="-105" w:leftChars="-50" w:right="-105" w:rightChars="-50"/>
              <w:jc w:val="center"/>
              <w:rPr>
                <w:color w:val="auto"/>
                <w:sz w:val="21"/>
                <w:szCs w:val="21"/>
              </w:rPr>
            </w:pPr>
            <w:r>
              <w:rPr>
                <w:color w:val="auto"/>
                <w:sz w:val="21"/>
                <w:szCs w:val="21"/>
              </w:rPr>
              <w:t>镀槽或工艺槽中离子</w:t>
            </w:r>
          </w:p>
          <w:p>
            <w:pPr>
              <w:spacing w:line="240" w:lineRule="auto"/>
              <w:ind w:left="-105" w:leftChars="-50" w:right="-105" w:rightChars="-50"/>
              <w:jc w:val="center"/>
              <w:rPr>
                <w:rFonts w:hint="eastAsia" w:eastAsia="宋体"/>
                <w:color w:val="auto"/>
                <w:sz w:val="21"/>
                <w:szCs w:val="21"/>
                <w:lang w:val="en-US" w:eastAsia="zh-CN"/>
              </w:rPr>
            </w:pPr>
            <w:r>
              <w:rPr>
                <w:color w:val="auto"/>
                <w:sz w:val="21"/>
                <w:szCs w:val="21"/>
              </w:rPr>
              <w:t>浓度</w:t>
            </w:r>
            <w:r>
              <w:rPr>
                <w:rFonts w:hint="eastAsia"/>
                <w:color w:val="auto"/>
                <w:sz w:val="21"/>
                <w:szCs w:val="21"/>
              </w:rPr>
              <w:t>C</w:t>
            </w:r>
            <w:r>
              <w:rPr>
                <w:rFonts w:hint="eastAsia"/>
                <w:color w:val="auto"/>
                <w:sz w:val="21"/>
                <w:szCs w:val="21"/>
                <w:vertAlign w:val="subscript"/>
              </w:rPr>
              <w:t>0</w:t>
            </w:r>
            <w:r>
              <w:rPr>
                <w:color w:val="auto"/>
                <w:sz w:val="21"/>
                <w:szCs w:val="21"/>
              </w:rPr>
              <w:t>（g/L）</w:t>
            </w:r>
            <w:r>
              <w:rPr>
                <w:rFonts w:hint="eastAsia"/>
                <w:color w:val="auto"/>
                <w:sz w:val="21"/>
                <w:szCs w:val="21"/>
                <w:lang w:val="en-US" w:eastAsia="zh-CN"/>
              </w:rPr>
              <w:t xml:space="preserve"> </w:t>
            </w:r>
          </w:p>
        </w:tc>
        <w:tc>
          <w:tcPr>
            <w:tcW w:w="2010" w:type="dxa"/>
            <w:noWrap w:val="0"/>
            <w:vAlign w:val="center"/>
          </w:tcPr>
          <w:p>
            <w:pPr>
              <w:spacing w:line="240" w:lineRule="auto"/>
              <w:ind w:left="-105" w:leftChars="-50" w:right="-105" w:rightChars="-50"/>
              <w:jc w:val="center"/>
              <w:rPr>
                <w:color w:val="auto"/>
                <w:sz w:val="21"/>
                <w:szCs w:val="21"/>
              </w:rPr>
            </w:pPr>
            <w:r>
              <w:rPr>
                <w:color w:val="auto"/>
                <w:sz w:val="21"/>
                <w:szCs w:val="21"/>
              </w:rPr>
              <w:t>末级清洗槽中离子容许浓度</w:t>
            </w:r>
            <w:r>
              <w:rPr>
                <w:rFonts w:hint="eastAsia"/>
                <w:color w:val="auto"/>
                <w:sz w:val="21"/>
                <w:szCs w:val="21"/>
              </w:rPr>
              <w:t>Cn</w:t>
            </w:r>
            <w:r>
              <w:rPr>
                <w:color w:val="auto"/>
                <w:sz w:val="21"/>
                <w:szCs w:val="21"/>
              </w:rPr>
              <w:t>（mg/L）</w:t>
            </w:r>
          </w:p>
        </w:tc>
        <w:tc>
          <w:tcPr>
            <w:tcW w:w="765" w:type="dxa"/>
            <w:noWrap w:val="0"/>
            <w:vAlign w:val="center"/>
          </w:tcPr>
          <w:p>
            <w:pPr>
              <w:spacing w:line="240" w:lineRule="auto"/>
              <w:ind w:left="-105" w:leftChars="-50" w:right="-105" w:rightChars="-50"/>
              <w:jc w:val="center"/>
              <w:rPr>
                <w:color w:val="auto"/>
                <w:sz w:val="21"/>
                <w:szCs w:val="21"/>
              </w:rPr>
            </w:pPr>
            <w:r>
              <w:rPr>
                <w:color w:val="auto"/>
                <w:sz w:val="21"/>
                <w:szCs w:val="21"/>
              </w:rPr>
              <w:t>清洗</w:t>
            </w:r>
          </w:p>
          <w:p>
            <w:pPr>
              <w:spacing w:line="240" w:lineRule="auto"/>
              <w:ind w:left="-105" w:leftChars="-50" w:right="-105" w:rightChars="-50"/>
              <w:jc w:val="center"/>
              <w:rPr>
                <w:color w:val="auto"/>
                <w:sz w:val="21"/>
                <w:szCs w:val="21"/>
              </w:rPr>
            </w:pPr>
            <w:r>
              <w:rPr>
                <w:color w:val="auto"/>
                <w:sz w:val="21"/>
                <w:szCs w:val="21"/>
              </w:rPr>
              <w:t>级数</w:t>
            </w:r>
          </w:p>
        </w:tc>
        <w:tc>
          <w:tcPr>
            <w:tcW w:w="1305" w:type="dxa"/>
            <w:noWrap w:val="0"/>
            <w:vAlign w:val="center"/>
          </w:tcPr>
          <w:p>
            <w:pPr>
              <w:spacing w:line="240" w:lineRule="auto"/>
              <w:ind w:left="-105" w:leftChars="-50" w:right="-105" w:rightChars="-50"/>
              <w:jc w:val="center"/>
              <w:rPr>
                <w:color w:val="auto"/>
                <w:sz w:val="21"/>
                <w:szCs w:val="21"/>
              </w:rPr>
            </w:pPr>
            <w:r>
              <w:rPr>
                <w:color w:val="auto"/>
                <w:sz w:val="21"/>
                <w:szCs w:val="21"/>
              </w:rPr>
              <w:t>电镀表面积（m</w:t>
            </w:r>
            <w:r>
              <w:rPr>
                <w:color w:val="auto"/>
                <w:sz w:val="21"/>
                <w:szCs w:val="21"/>
                <w:vertAlign w:val="superscript"/>
              </w:rPr>
              <w:t>2</w:t>
            </w:r>
            <w:r>
              <w:rPr>
                <w:color w:val="auto"/>
                <w:sz w:val="21"/>
                <w:szCs w:val="21"/>
              </w:rPr>
              <w:t>/h）</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废水类别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1</w:t>
            </w:r>
          </w:p>
        </w:tc>
        <w:tc>
          <w:tcPr>
            <w:tcW w:w="1297" w:type="dxa"/>
            <w:noWrap w:val="0"/>
            <w:vAlign w:val="center"/>
          </w:tcPr>
          <w:p>
            <w:pPr>
              <w:spacing w:line="240" w:lineRule="auto"/>
              <w:jc w:val="center"/>
              <w:rPr>
                <w:rFonts w:hint="eastAsia"/>
                <w:color w:val="auto"/>
                <w:sz w:val="21"/>
                <w:szCs w:val="21"/>
              </w:rPr>
            </w:pPr>
            <w:r>
              <w:rPr>
                <w:rFonts w:hint="eastAsia"/>
                <w:color w:val="auto"/>
                <w:sz w:val="21"/>
                <w:szCs w:val="21"/>
              </w:rPr>
              <w:t>除油</w:t>
            </w:r>
          </w:p>
        </w:tc>
        <w:tc>
          <w:tcPr>
            <w:tcW w:w="2040" w:type="dxa"/>
            <w:noWrap w:val="0"/>
            <w:vAlign w:val="center"/>
          </w:tcPr>
          <w:p>
            <w:pPr>
              <w:spacing w:line="240" w:lineRule="auto"/>
              <w:jc w:val="center"/>
              <w:rPr>
                <w:color w:val="auto"/>
                <w:sz w:val="21"/>
                <w:szCs w:val="21"/>
              </w:rPr>
            </w:pPr>
            <w:r>
              <w:rPr>
                <w:rFonts w:hint="eastAsia"/>
                <w:color w:val="auto"/>
                <w:sz w:val="21"/>
                <w:szCs w:val="21"/>
              </w:rPr>
              <w:t>6</w:t>
            </w:r>
            <w:r>
              <w:rPr>
                <w:color w:val="auto"/>
                <w:sz w:val="21"/>
                <w:szCs w:val="21"/>
              </w:rPr>
              <w:t>0</w:t>
            </w:r>
          </w:p>
        </w:tc>
        <w:tc>
          <w:tcPr>
            <w:tcW w:w="2010" w:type="dxa"/>
            <w:noWrap w:val="0"/>
            <w:vAlign w:val="center"/>
          </w:tcPr>
          <w:p>
            <w:pPr>
              <w:spacing w:line="240" w:lineRule="auto"/>
              <w:jc w:val="center"/>
              <w:rPr>
                <w:color w:val="auto"/>
                <w:sz w:val="21"/>
                <w:szCs w:val="21"/>
              </w:rPr>
            </w:pPr>
            <w:r>
              <w:rPr>
                <w:color w:val="auto"/>
                <w:sz w:val="21"/>
                <w:szCs w:val="21"/>
              </w:rPr>
              <w:t>75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center"/>
          </w:tcPr>
          <w:p>
            <w:pPr>
              <w:spacing w:line="240" w:lineRule="auto"/>
              <w:jc w:val="center"/>
              <w:rPr>
                <w:rFonts w:hint="eastAsia"/>
                <w:color w:val="auto"/>
                <w:sz w:val="21"/>
                <w:szCs w:val="21"/>
              </w:rPr>
            </w:pPr>
            <w:r>
              <w:rPr>
                <w:rFonts w:hint="eastAsia"/>
                <w:color w:val="auto"/>
                <w:sz w:val="21"/>
                <w:szCs w:val="21"/>
              </w:rPr>
              <w:t>4.0</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含油废水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2</w:t>
            </w:r>
          </w:p>
        </w:tc>
        <w:tc>
          <w:tcPr>
            <w:tcW w:w="1297" w:type="dxa"/>
            <w:noWrap w:val="0"/>
            <w:vAlign w:val="center"/>
          </w:tcPr>
          <w:p>
            <w:pPr>
              <w:spacing w:line="240" w:lineRule="auto"/>
              <w:jc w:val="center"/>
              <w:rPr>
                <w:color w:val="auto"/>
                <w:sz w:val="21"/>
                <w:szCs w:val="21"/>
              </w:rPr>
            </w:pPr>
            <w:r>
              <w:rPr>
                <w:color w:val="auto"/>
                <w:sz w:val="21"/>
                <w:szCs w:val="21"/>
              </w:rPr>
              <w:t>酸洗</w:t>
            </w:r>
          </w:p>
        </w:tc>
        <w:tc>
          <w:tcPr>
            <w:tcW w:w="2040" w:type="dxa"/>
            <w:noWrap w:val="0"/>
            <w:vAlign w:val="center"/>
          </w:tcPr>
          <w:p>
            <w:pPr>
              <w:spacing w:line="240" w:lineRule="auto"/>
              <w:jc w:val="center"/>
              <w:rPr>
                <w:rFonts w:hint="eastAsia"/>
                <w:color w:val="auto"/>
                <w:sz w:val="21"/>
                <w:szCs w:val="21"/>
              </w:rPr>
            </w:pPr>
            <w:r>
              <w:rPr>
                <w:rFonts w:hint="eastAsia"/>
                <w:color w:val="auto"/>
                <w:sz w:val="21"/>
                <w:szCs w:val="21"/>
              </w:rPr>
              <w:t>100</w:t>
            </w:r>
          </w:p>
        </w:tc>
        <w:tc>
          <w:tcPr>
            <w:tcW w:w="2010" w:type="dxa"/>
            <w:noWrap w:val="0"/>
            <w:vAlign w:val="center"/>
          </w:tcPr>
          <w:p>
            <w:pPr>
              <w:spacing w:line="240" w:lineRule="auto"/>
              <w:jc w:val="center"/>
              <w:rPr>
                <w:color w:val="auto"/>
                <w:sz w:val="21"/>
                <w:szCs w:val="21"/>
              </w:rPr>
            </w:pPr>
            <w:r>
              <w:rPr>
                <w:rFonts w:hint="eastAsia"/>
                <w:color w:val="auto"/>
                <w:sz w:val="21"/>
                <w:szCs w:val="21"/>
              </w:rPr>
              <w:t>75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center"/>
          </w:tcPr>
          <w:p>
            <w:pPr>
              <w:spacing w:line="240" w:lineRule="auto"/>
              <w:jc w:val="center"/>
              <w:rPr>
                <w:color w:val="auto"/>
                <w:sz w:val="21"/>
                <w:szCs w:val="21"/>
              </w:rPr>
            </w:pPr>
            <w:r>
              <w:rPr>
                <w:rFonts w:hint="eastAsia"/>
                <w:color w:val="auto"/>
                <w:sz w:val="21"/>
                <w:szCs w:val="21"/>
              </w:rPr>
              <w:t>4.0</w:t>
            </w:r>
          </w:p>
        </w:tc>
        <w:tc>
          <w:tcPr>
            <w:tcW w:w="1170" w:type="dxa"/>
            <w:noWrap w:val="0"/>
            <w:vAlign w:val="center"/>
          </w:tcPr>
          <w:p>
            <w:pPr>
              <w:spacing w:line="240" w:lineRule="auto"/>
              <w:ind w:left="-105" w:leftChars="-50" w:right="-105" w:rightChars="-50"/>
              <w:jc w:val="center"/>
              <w:rPr>
                <w:color w:val="auto"/>
                <w:sz w:val="21"/>
                <w:szCs w:val="21"/>
              </w:rPr>
            </w:pPr>
            <w:r>
              <w:rPr>
                <w:rFonts w:hint="eastAsia"/>
                <w:color w:val="auto"/>
                <w:sz w:val="21"/>
                <w:szCs w:val="21"/>
              </w:rPr>
              <w:t>综合</w:t>
            </w:r>
            <w:r>
              <w:rPr>
                <w:color w:val="auto"/>
                <w:sz w:val="21"/>
                <w:szCs w:val="21"/>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3</w:t>
            </w:r>
          </w:p>
        </w:tc>
        <w:tc>
          <w:tcPr>
            <w:tcW w:w="1297" w:type="dxa"/>
            <w:noWrap w:val="0"/>
            <w:vAlign w:val="center"/>
          </w:tcPr>
          <w:p>
            <w:pPr>
              <w:spacing w:line="240" w:lineRule="auto"/>
              <w:jc w:val="center"/>
              <w:rPr>
                <w:color w:val="auto"/>
                <w:sz w:val="21"/>
                <w:szCs w:val="21"/>
              </w:rPr>
            </w:pPr>
            <w:r>
              <w:rPr>
                <w:color w:val="auto"/>
                <w:sz w:val="21"/>
                <w:szCs w:val="21"/>
              </w:rPr>
              <w:t>滚镀</w:t>
            </w:r>
            <w:r>
              <w:rPr>
                <w:rFonts w:hint="eastAsia"/>
                <w:color w:val="auto"/>
                <w:sz w:val="21"/>
                <w:szCs w:val="21"/>
              </w:rPr>
              <w:t>氰化</w:t>
            </w:r>
            <w:r>
              <w:rPr>
                <w:color w:val="auto"/>
                <w:sz w:val="21"/>
                <w:szCs w:val="21"/>
              </w:rPr>
              <w:t>铜</w:t>
            </w:r>
          </w:p>
        </w:tc>
        <w:tc>
          <w:tcPr>
            <w:tcW w:w="2040" w:type="dxa"/>
            <w:noWrap w:val="0"/>
            <w:vAlign w:val="center"/>
          </w:tcPr>
          <w:p>
            <w:pPr>
              <w:spacing w:line="240" w:lineRule="auto"/>
              <w:jc w:val="center"/>
              <w:rPr>
                <w:rFonts w:hint="eastAsia"/>
                <w:color w:val="auto"/>
                <w:sz w:val="21"/>
                <w:szCs w:val="21"/>
              </w:rPr>
            </w:pPr>
            <w:r>
              <w:rPr>
                <w:rFonts w:hint="eastAsia"/>
                <w:color w:val="auto"/>
                <w:sz w:val="21"/>
                <w:szCs w:val="21"/>
              </w:rPr>
              <w:t>70</w:t>
            </w:r>
          </w:p>
        </w:tc>
        <w:tc>
          <w:tcPr>
            <w:tcW w:w="2010" w:type="dxa"/>
            <w:noWrap w:val="0"/>
            <w:vAlign w:val="center"/>
          </w:tcPr>
          <w:p>
            <w:pPr>
              <w:spacing w:line="240" w:lineRule="auto"/>
              <w:jc w:val="center"/>
              <w:rPr>
                <w:color w:val="auto"/>
                <w:sz w:val="21"/>
                <w:szCs w:val="21"/>
              </w:rPr>
            </w:pPr>
            <w:r>
              <w:rPr>
                <w:rFonts w:hint="eastAsia"/>
                <w:color w:val="auto"/>
                <w:sz w:val="21"/>
                <w:szCs w:val="21"/>
              </w:rPr>
              <w:t>1</w:t>
            </w:r>
            <w:r>
              <w:rPr>
                <w:color w:val="auto"/>
                <w:sz w:val="21"/>
                <w:szCs w:val="21"/>
              </w:rPr>
              <w:t>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center"/>
          </w:tcPr>
          <w:p>
            <w:pPr>
              <w:spacing w:line="240" w:lineRule="auto"/>
              <w:jc w:val="center"/>
              <w:rPr>
                <w:color w:val="auto"/>
                <w:sz w:val="21"/>
                <w:szCs w:val="21"/>
              </w:rPr>
            </w:pPr>
            <w:r>
              <w:rPr>
                <w:rFonts w:hint="eastAsia"/>
                <w:color w:val="auto"/>
                <w:sz w:val="21"/>
                <w:szCs w:val="21"/>
              </w:rPr>
              <w:t>4.0</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含氰废水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color w:val="auto"/>
                <w:sz w:val="21"/>
                <w:szCs w:val="21"/>
              </w:rPr>
            </w:pPr>
            <w:r>
              <w:rPr>
                <w:color w:val="auto"/>
                <w:sz w:val="21"/>
                <w:szCs w:val="21"/>
              </w:rPr>
              <w:t>4</w:t>
            </w:r>
          </w:p>
        </w:tc>
        <w:tc>
          <w:tcPr>
            <w:tcW w:w="1297" w:type="dxa"/>
            <w:noWrap w:val="0"/>
            <w:vAlign w:val="center"/>
          </w:tcPr>
          <w:p>
            <w:pPr>
              <w:spacing w:line="240" w:lineRule="auto"/>
              <w:jc w:val="center"/>
              <w:rPr>
                <w:color w:val="auto"/>
                <w:sz w:val="21"/>
                <w:szCs w:val="21"/>
              </w:rPr>
            </w:pPr>
            <w:r>
              <w:rPr>
                <w:color w:val="auto"/>
                <w:sz w:val="21"/>
                <w:szCs w:val="21"/>
              </w:rPr>
              <w:t>滚镀镍</w:t>
            </w:r>
          </w:p>
        </w:tc>
        <w:tc>
          <w:tcPr>
            <w:tcW w:w="2040" w:type="dxa"/>
            <w:noWrap w:val="0"/>
            <w:vAlign w:val="center"/>
          </w:tcPr>
          <w:p>
            <w:pPr>
              <w:spacing w:line="240" w:lineRule="auto"/>
              <w:jc w:val="center"/>
              <w:rPr>
                <w:color w:val="auto"/>
                <w:sz w:val="21"/>
                <w:szCs w:val="21"/>
              </w:rPr>
            </w:pPr>
            <w:r>
              <w:rPr>
                <w:rFonts w:hint="eastAsia"/>
                <w:color w:val="auto"/>
                <w:sz w:val="21"/>
                <w:szCs w:val="21"/>
              </w:rPr>
              <w:t>55</w:t>
            </w:r>
          </w:p>
        </w:tc>
        <w:tc>
          <w:tcPr>
            <w:tcW w:w="2010" w:type="dxa"/>
            <w:noWrap w:val="0"/>
            <w:vAlign w:val="center"/>
          </w:tcPr>
          <w:p>
            <w:pPr>
              <w:spacing w:line="240" w:lineRule="auto"/>
              <w:jc w:val="center"/>
              <w:rPr>
                <w:color w:val="auto"/>
                <w:sz w:val="21"/>
                <w:szCs w:val="21"/>
              </w:rPr>
            </w:pPr>
            <w:r>
              <w:rPr>
                <w:color w:val="auto"/>
                <w:sz w:val="21"/>
                <w:szCs w:val="21"/>
              </w:rPr>
              <w:t>15</w:t>
            </w:r>
          </w:p>
        </w:tc>
        <w:tc>
          <w:tcPr>
            <w:tcW w:w="765" w:type="dxa"/>
            <w:noWrap w:val="0"/>
            <w:vAlign w:val="center"/>
          </w:tcPr>
          <w:p>
            <w:pPr>
              <w:spacing w:line="240" w:lineRule="auto"/>
              <w:jc w:val="center"/>
              <w:rPr>
                <w:rFonts w:hint="eastAsia"/>
                <w:color w:val="auto"/>
                <w:sz w:val="21"/>
                <w:szCs w:val="21"/>
              </w:rPr>
            </w:pPr>
            <w:r>
              <w:rPr>
                <w:rFonts w:hint="eastAsia"/>
                <w:color w:val="auto"/>
                <w:sz w:val="21"/>
                <w:szCs w:val="21"/>
              </w:rPr>
              <w:t>2</w:t>
            </w:r>
          </w:p>
        </w:tc>
        <w:tc>
          <w:tcPr>
            <w:tcW w:w="1305" w:type="dxa"/>
            <w:noWrap w:val="0"/>
            <w:vAlign w:val="center"/>
          </w:tcPr>
          <w:p>
            <w:pPr>
              <w:spacing w:line="240" w:lineRule="auto"/>
              <w:jc w:val="center"/>
              <w:rPr>
                <w:color w:val="auto"/>
                <w:sz w:val="21"/>
                <w:szCs w:val="21"/>
              </w:rPr>
            </w:pPr>
            <w:r>
              <w:rPr>
                <w:rFonts w:hint="eastAsia"/>
                <w:color w:val="auto"/>
                <w:sz w:val="21"/>
                <w:szCs w:val="21"/>
              </w:rPr>
              <w:t>4.0</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含镍废水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4" w:type="dxa"/>
            <w:noWrap w:val="0"/>
            <w:vAlign w:val="bottom"/>
          </w:tcPr>
          <w:p>
            <w:pPr>
              <w:spacing w:line="240" w:lineRule="auto"/>
              <w:jc w:val="center"/>
              <w:rPr>
                <w:rFonts w:hint="eastAsia"/>
                <w:color w:val="auto"/>
                <w:sz w:val="21"/>
                <w:szCs w:val="21"/>
              </w:rPr>
            </w:pPr>
            <w:r>
              <w:rPr>
                <w:rFonts w:hint="eastAsia"/>
                <w:color w:val="auto"/>
                <w:sz w:val="21"/>
                <w:szCs w:val="21"/>
              </w:rPr>
              <w:t>5</w:t>
            </w:r>
          </w:p>
        </w:tc>
        <w:tc>
          <w:tcPr>
            <w:tcW w:w="1297" w:type="dxa"/>
            <w:noWrap w:val="0"/>
            <w:vAlign w:val="center"/>
          </w:tcPr>
          <w:p>
            <w:pPr>
              <w:spacing w:line="240" w:lineRule="auto"/>
              <w:jc w:val="center"/>
              <w:rPr>
                <w:color w:val="auto"/>
                <w:sz w:val="21"/>
                <w:szCs w:val="21"/>
              </w:rPr>
            </w:pPr>
            <w:r>
              <w:rPr>
                <w:color w:val="auto"/>
                <w:sz w:val="21"/>
                <w:szCs w:val="21"/>
              </w:rPr>
              <w:t>钝化</w:t>
            </w:r>
          </w:p>
        </w:tc>
        <w:tc>
          <w:tcPr>
            <w:tcW w:w="2040" w:type="dxa"/>
            <w:noWrap w:val="0"/>
            <w:vAlign w:val="center"/>
          </w:tcPr>
          <w:p>
            <w:pPr>
              <w:spacing w:line="240" w:lineRule="auto"/>
              <w:jc w:val="center"/>
              <w:rPr>
                <w:rFonts w:hint="eastAsia"/>
                <w:color w:val="auto"/>
                <w:sz w:val="21"/>
                <w:szCs w:val="21"/>
              </w:rPr>
            </w:pPr>
            <w:r>
              <w:rPr>
                <w:rFonts w:hint="eastAsia"/>
                <w:color w:val="auto"/>
                <w:sz w:val="21"/>
                <w:szCs w:val="21"/>
              </w:rPr>
              <w:t>35</w:t>
            </w:r>
          </w:p>
        </w:tc>
        <w:tc>
          <w:tcPr>
            <w:tcW w:w="2010" w:type="dxa"/>
            <w:noWrap w:val="0"/>
            <w:vAlign w:val="center"/>
          </w:tcPr>
          <w:p>
            <w:pPr>
              <w:spacing w:line="240" w:lineRule="auto"/>
              <w:jc w:val="center"/>
              <w:rPr>
                <w:color w:val="auto"/>
                <w:sz w:val="21"/>
                <w:szCs w:val="21"/>
              </w:rPr>
            </w:pPr>
            <w:r>
              <w:rPr>
                <w:color w:val="auto"/>
                <w:sz w:val="21"/>
                <w:szCs w:val="21"/>
              </w:rPr>
              <w:t>5</w:t>
            </w:r>
          </w:p>
        </w:tc>
        <w:tc>
          <w:tcPr>
            <w:tcW w:w="765" w:type="dxa"/>
            <w:noWrap w:val="0"/>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3</w:t>
            </w:r>
          </w:p>
        </w:tc>
        <w:tc>
          <w:tcPr>
            <w:tcW w:w="1305" w:type="dxa"/>
            <w:noWrap w:val="0"/>
            <w:vAlign w:val="center"/>
          </w:tcPr>
          <w:p>
            <w:pPr>
              <w:spacing w:line="240" w:lineRule="auto"/>
              <w:jc w:val="center"/>
              <w:rPr>
                <w:color w:val="auto"/>
                <w:sz w:val="21"/>
                <w:szCs w:val="21"/>
              </w:rPr>
            </w:pPr>
            <w:r>
              <w:rPr>
                <w:rFonts w:hint="eastAsia"/>
                <w:color w:val="auto"/>
                <w:sz w:val="21"/>
                <w:szCs w:val="21"/>
              </w:rPr>
              <w:t>4.0</w:t>
            </w:r>
          </w:p>
        </w:tc>
        <w:tc>
          <w:tcPr>
            <w:tcW w:w="1170" w:type="dxa"/>
            <w:noWrap w:val="0"/>
            <w:vAlign w:val="center"/>
          </w:tcPr>
          <w:p>
            <w:pPr>
              <w:spacing w:line="240" w:lineRule="auto"/>
              <w:ind w:left="-105" w:leftChars="-50" w:right="-105" w:rightChars="-50"/>
              <w:jc w:val="center"/>
              <w:rPr>
                <w:color w:val="auto"/>
                <w:sz w:val="21"/>
                <w:szCs w:val="21"/>
              </w:rPr>
            </w:pPr>
            <w:r>
              <w:rPr>
                <w:color w:val="auto"/>
                <w:sz w:val="21"/>
                <w:szCs w:val="21"/>
              </w:rPr>
              <w:t>含铬废水</w:t>
            </w:r>
          </w:p>
        </w:tc>
      </w:tr>
    </w:tbl>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eastAsia"/>
          <w:b/>
          <w:color w:val="auto"/>
          <w:sz w:val="24"/>
        </w:rPr>
      </w:pPr>
      <w:r>
        <w:rPr>
          <w:rFonts w:hint="eastAsia"/>
          <w:b/>
          <w:color w:val="auto"/>
          <w:sz w:val="24"/>
        </w:rPr>
        <w:t>表5.</w:t>
      </w:r>
      <w:r>
        <w:rPr>
          <w:rFonts w:hint="eastAsia"/>
          <w:b/>
          <w:color w:val="auto"/>
          <w:sz w:val="24"/>
          <w:lang w:val="en-US" w:eastAsia="zh-CN"/>
        </w:rPr>
        <w:t>2-6</w:t>
      </w:r>
      <w:r>
        <w:rPr>
          <w:rFonts w:hint="eastAsia"/>
          <w:b/>
          <w:color w:val="auto"/>
          <w:sz w:val="24"/>
        </w:rPr>
        <w:t xml:space="preserve"> </w:t>
      </w:r>
      <w:r>
        <w:rPr>
          <w:rFonts w:hint="eastAsia"/>
          <w:b/>
          <w:color w:val="auto"/>
          <w:sz w:val="24"/>
          <w:lang w:val="en-US" w:eastAsia="zh-CN"/>
        </w:rPr>
        <w:t xml:space="preserve"> </w:t>
      </w:r>
      <w:r>
        <w:rPr>
          <w:rFonts w:hint="eastAsia"/>
          <w:b/>
          <w:color w:val="auto"/>
          <w:sz w:val="24"/>
        </w:rPr>
        <w:t xml:space="preserve">项目清洗废水核算结果一览表    </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1"/>
        <w:gridCol w:w="3360"/>
        <w:gridCol w:w="35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color w:val="auto"/>
                <w:sz w:val="21"/>
                <w:szCs w:val="21"/>
              </w:rPr>
            </w:pPr>
            <w:r>
              <w:rPr>
                <w:color w:val="auto"/>
                <w:sz w:val="21"/>
                <w:szCs w:val="21"/>
              </w:rPr>
              <w:t>废水种类</w:t>
            </w:r>
          </w:p>
        </w:tc>
        <w:tc>
          <w:tcPr>
            <w:tcW w:w="3360" w:type="dxa"/>
            <w:noWrap w:val="0"/>
            <w:vAlign w:val="center"/>
          </w:tcPr>
          <w:p>
            <w:pPr>
              <w:ind w:firstLine="458"/>
              <w:jc w:val="center"/>
              <w:rPr>
                <w:color w:val="auto"/>
                <w:sz w:val="21"/>
                <w:szCs w:val="21"/>
              </w:rPr>
            </w:pPr>
            <w:r>
              <w:rPr>
                <w:rFonts w:hint="eastAsia"/>
                <w:color w:val="auto"/>
                <w:sz w:val="21"/>
                <w:szCs w:val="21"/>
              </w:rPr>
              <w:t>总</w:t>
            </w:r>
            <w:r>
              <w:rPr>
                <w:color w:val="auto"/>
                <w:sz w:val="21"/>
                <w:szCs w:val="21"/>
              </w:rPr>
              <w:t>产生量</w:t>
            </w:r>
            <w:r>
              <w:rPr>
                <w:rFonts w:hint="eastAsia"/>
                <w:color w:val="auto"/>
                <w:sz w:val="21"/>
                <w:szCs w:val="21"/>
              </w:rPr>
              <w:t>(</w:t>
            </w:r>
            <w:r>
              <w:rPr>
                <w:color w:val="auto"/>
                <w:sz w:val="24"/>
                <w:szCs w:val="24"/>
              </w:rPr>
              <w:t>m</w:t>
            </w:r>
            <w:r>
              <w:rPr>
                <w:color w:val="auto"/>
                <w:sz w:val="24"/>
                <w:szCs w:val="24"/>
                <w:vertAlign w:val="superscript"/>
              </w:rPr>
              <w:t>3</w:t>
            </w:r>
            <w:r>
              <w:rPr>
                <w:color w:val="auto"/>
                <w:sz w:val="24"/>
                <w:szCs w:val="24"/>
              </w:rPr>
              <w:t>/d</w:t>
            </w:r>
            <w:r>
              <w:rPr>
                <w:rFonts w:hint="eastAsia"/>
                <w:color w:val="auto"/>
                <w:sz w:val="21"/>
                <w:szCs w:val="21"/>
              </w:rPr>
              <w:t>)</w:t>
            </w:r>
          </w:p>
        </w:tc>
        <w:tc>
          <w:tcPr>
            <w:tcW w:w="3525" w:type="dxa"/>
            <w:noWrap w:val="0"/>
            <w:vAlign w:val="center"/>
          </w:tcPr>
          <w:p>
            <w:pPr>
              <w:ind w:firstLine="458"/>
              <w:jc w:val="center"/>
              <w:rPr>
                <w:rFonts w:hint="eastAsia"/>
                <w:color w:val="auto"/>
                <w:sz w:val="21"/>
                <w:szCs w:val="21"/>
              </w:rPr>
            </w:pPr>
            <w:r>
              <w:rPr>
                <w:rFonts w:hint="eastAsia"/>
                <w:color w:val="auto"/>
                <w:sz w:val="21"/>
                <w:szCs w:val="21"/>
              </w:rPr>
              <w:t>总</w:t>
            </w:r>
            <w:r>
              <w:rPr>
                <w:color w:val="auto"/>
                <w:sz w:val="21"/>
                <w:szCs w:val="21"/>
              </w:rPr>
              <w:t>产生量</w:t>
            </w:r>
            <w:r>
              <w:rPr>
                <w:rFonts w:hint="eastAsia"/>
                <w:color w:val="auto"/>
                <w:sz w:val="21"/>
                <w:szCs w:val="21"/>
              </w:rPr>
              <w:t>(</w:t>
            </w:r>
            <w:r>
              <w:rPr>
                <w:color w:val="auto"/>
                <w:sz w:val="24"/>
                <w:szCs w:val="24"/>
              </w:rPr>
              <w:t>m</w:t>
            </w:r>
            <w:r>
              <w:rPr>
                <w:color w:val="auto"/>
                <w:sz w:val="24"/>
                <w:szCs w:val="24"/>
                <w:vertAlign w:val="superscript"/>
              </w:rPr>
              <w:t>3</w:t>
            </w:r>
            <w:r>
              <w:rPr>
                <w:color w:val="auto"/>
                <w:sz w:val="24"/>
                <w:szCs w:val="24"/>
              </w:rPr>
              <w:t>/</w:t>
            </w:r>
            <w:r>
              <w:rPr>
                <w:rFonts w:hint="eastAsia"/>
                <w:color w:val="auto"/>
                <w:sz w:val="24"/>
                <w:szCs w:val="24"/>
                <w:lang w:val="en-US" w:eastAsia="zh-CN"/>
              </w:rPr>
              <w:t>a</w:t>
            </w: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color w:val="auto"/>
                <w:sz w:val="21"/>
                <w:szCs w:val="21"/>
              </w:rPr>
            </w:pPr>
            <w:r>
              <w:rPr>
                <w:rFonts w:hint="eastAsia"/>
                <w:color w:val="auto"/>
                <w:sz w:val="21"/>
                <w:szCs w:val="21"/>
              </w:rPr>
              <w:t>综合</w:t>
            </w:r>
            <w:r>
              <w:rPr>
                <w:color w:val="auto"/>
                <w:sz w:val="21"/>
                <w:szCs w:val="21"/>
              </w:rPr>
              <w:t>废水</w:t>
            </w:r>
          </w:p>
        </w:tc>
        <w:tc>
          <w:tcPr>
            <w:tcW w:w="3360" w:type="dxa"/>
            <w:noWrap w:val="0"/>
            <w:vAlign w:val="center"/>
          </w:tcPr>
          <w:p>
            <w:pPr>
              <w:ind w:firstLine="458"/>
              <w:jc w:val="center"/>
              <w:rPr>
                <w:rFonts w:hint="eastAsia"/>
                <w:color w:val="auto"/>
                <w:sz w:val="21"/>
                <w:szCs w:val="21"/>
              </w:rPr>
            </w:pPr>
            <w:r>
              <w:rPr>
                <w:rFonts w:hint="eastAsia"/>
                <w:color w:val="auto"/>
                <w:sz w:val="21"/>
                <w:szCs w:val="21"/>
              </w:rPr>
              <w:t>1.120</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291.2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color w:val="auto"/>
                <w:sz w:val="21"/>
                <w:szCs w:val="21"/>
              </w:rPr>
            </w:pPr>
            <w:r>
              <w:rPr>
                <w:color w:val="auto"/>
                <w:sz w:val="21"/>
                <w:szCs w:val="21"/>
              </w:rPr>
              <w:t>含氰废水</w:t>
            </w:r>
          </w:p>
        </w:tc>
        <w:tc>
          <w:tcPr>
            <w:tcW w:w="3360" w:type="dxa"/>
            <w:noWrap w:val="0"/>
            <w:vAlign w:val="center"/>
          </w:tcPr>
          <w:p>
            <w:pPr>
              <w:ind w:firstLine="458"/>
              <w:jc w:val="center"/>
              <w:rPr>
                <w:color w:val="auto"/>
                <w:sz w:val="21"/>
                <w:szCs w:val="21"/>
              </w:rPr>
            </w:pPr>
            <w:r>
              <w:rPr>
                <w:rFonts w:hint="eastAsia"/>
                <w:color w:val="auto"/>
                <w:sz w:val="21"/>
                <w:szCs w:val="21"/>
              </w:rPr>
              <w:t>10.890</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2831.4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color w:val="auto"/>
                <w:sz w:val="21"/>
                <w:szCs w:val="21"/>
              </w:rPr>
            </w:pPr>
            <w:r>
              <w:rPr>
                <w:rFonts w:hint="eastAsia"/>
                <w:color w:val="auto"/>
                <w:sz w:val="21"/>
                <w:szCs w:val="21"/>
              </w:rPr>
              <w:t>含油</w:t>
            </w:r>
            <w:r>
              <w:rPr>
                <w:color w:val="auto"/>
                <w:sz w:val="21"/>
                <w:szCs w:val="21"/>
              </w:rPr>
              <w:t>废水</w:t>
            </w:r>
          </w:p>
        </w:tc>
        <w:tc>
          <w:tcPr>
            <w:tcW w:w="3360" w:type="dxa"/>
            <w:noWrap w:val="0"/>
            <w:vAlign w:val="center"/>
          </w:tcPr>
          <w:p>
            <w:pPr>
              <w:ind w:firstLine="458"/>
              <w:jc w:val="center"/>
              <w:rPr>
                <w:rFonts w:hint="eastAsia"/>
                <w:color w:val="auto"/>
                <w:sz w:val="21"/>
                <w:szCs w:val="21"/>
              </w:rPr>
            </w:pPr>
            <w:r>
              <w:rPr>
                <w:rFonts w:hint="eastAsia"/>
                <w:color w:val="auto"/>
                <w:sz w:val="21"/>
                <w:szCs w:val="21"/>
              </w:rPr>
              <w:t>8.116</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2110.16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rFonts w:hint="eastAsia"/>
                <w:color w:val="auto"/>
                <w:sz w:val="21"/>
                <w:szCs w:val="21"/>
              </w:rPr>
            </w:pPr>
            <w:r>
              <w:rPr>
                <w:rFonts w:hint="eastAsia"/>
                <w:color w:val="auto"/>
                <w:sz w:val="21"/>
                <w:szCs w:val="21"/>
              </w:rPr>
              <w:t>含镍废水</w:t>
            </w:r>
          </w:p>
        </w:tc>
        <w:tc>
          <w:tcPr>
            <w:tcW w:w="3360" w:type="dxa"/>
            <w:noWrap w:val="0"/>
            <w:vAlign w:val="center"/>
          </w:tcPr>
          <w:p>
            <w:pPr>
              <w:ind w:firstLine="458"/>
              <w:jc w:val="center"/>
              <w:rPr>
                <w:rFonts w:hint="eastAsia"/>
                <w:color w:val="auto"/>
                <w:sz w:val="21"/>
                <w:szCs w:val="21"/>
              </w:rPr>
            </w:pPr>
            <w:r>
              <w:rPr>
                <w:rFonts w:hint="eastAsia"/>
                <w:color w:val="auto"/>
                <w:sz w:val="21"/>
                <w:szCs w:val="21"/>
              </w:rPr>
              <w:t>4.054</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1054.04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rFonts w:hint="eastAsia"/>
                <w:color w:val="auto"/>
                <w:sz w:val="21"/>
                <w:szCs w:val="21"/>
              </w:rPr>
            </w:pPr>
            <w:r>
              <w:rPr>
                <w:color w:val="auto"/>
                <w:sz w:val="21"/>
                <w:szCs w:val="21"/>
              </w:rPr>
              <w:t>含铬</w:t>
            </w:r>
            <w:r>
              <w:rPr>
                <w:rFonts w:hint="eastAsia"/>
                <w:color w:val="auto"/>
                <w:sz w:val="21"/>
                <w:szCs w:val="21"/>
              </w:rPr>
              <w:t>废水</w:t>
            </w:r>
          </w:p>
        </w:tc>
        <w:tc>
          <w:tcPr>
            <w:tcW w:w="3360" w:type="dxa"/>
            <w:noWrap w:val="0"/>
            <w:vAlign w:val="center"/>
          </w:tcPr>
          <w:p>
            <w:pPr>
              <w:ind w:firstLine="458"/>
              <w:jc w:val="center"/>
              <w:rPr>
                <w:rFonts w:hint="eastAsia"/>
                <w:color w:val="auto"/>
                <w:sz w:val="21"/>
                <w:szCs w:val="21"/>
              </w:rPr>
            </w:pPr>
            <w:r>
              <w:rPr>
                <w:rFonts w:hint="eastAsia"/>
                <w:color w:val="auto"/>
                <w:sz w:val="21"/>
                <w:szCs w:val="21"/>
              </w:rPr>
              <w:t>4.054</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1054.04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ind w:firstLine="458"/>
              <w:jc w:val="center"/>
              <w:rPr>
                <w:color w:val="auto"/>
                <w:sz w:val="21"/>
                <w:szCs w:val="21"/>
              </w:rPr>
            </w:pPr>
            <w:r>
              <w:rPr>
                <w:rFonts w:hint="eastAsia"/>
                <w:color w:val="auto"/>
                <w:sz w:val="21"/>
                <w:szCs w:val="21"/>
              </w:rPr>
              <w:t>合</w:t>
            </w:r>
            <w:r>
              <w:rPr>
                <w:color w:val="auto"/>
                <w:sz w:val="21"/>
                <w:szCs w:val="21"/>
              </w:rPr>
              <w:t>计</w:t>
            </w:r>
          </w:p>
        </w:tc>
        <w:tc>
          <w:tcPr>
            <w:tcW w:w="3360" w:type="dxa"/>
            <w:noWrap w:val="0"/>
            <w:vAlign w:val="center"/>
          </w:tcPr>
          <w:p>
            <w:pPr>
              <w:ind w:firstLine="458"/>
              <w:jc w:val="center"/>
              <w:rPr>
                <w:color w:val="auto"/>
                <w:sz w:val="21"/>
                <w:szCs w:val="21"/>
              </w:rPr>
            </w:pPr>
            <w:r>
              <w:rPr>
                <w:rFonts w:hint="eastAsia"/>
                <w:color w:val="auto"/>
                <w:sz w:val="21"/>
                <w:szCs w:val="21"/>
              </w:rPr>
              <w:t>24.18</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6286.8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86" w:type="dxa"/>
            <w:gridSpan w:val="3"/>
            <w:noWrap w:val="0"/>
            <w:vAlign w:val="center"/>
          </w:tcPr>
          <w:p>
            <w:pPr>
              <w:ind w:firstLine="458"/>
              <w:jc w:val="left"/>
              <w:rPr>
                <w:rFonts w:hint="default" w:eastAsia="宋体"/>
                <w:color w:val="auto"/>
                <w:sz w:val="21"/>
                <w:szCs w:val="21"/>
                <w:lang w:val="en-US" w:eastAsia="zh-CN"/>
              </w:rPr>
            </w:pPr>
            <w:r>
              <w:rPr>
                <w:rFonts w:hint="eastAsia"/>
                <w:color w:val="auto"/>
                <w:sz w:val="21"/>
                <w:szCs w:val="21"/>
                <w:lang w:val="en-US" w:eastAsia="zh-CN"/>
              </w:rPr>
              <w:t>注：年生产按照260天计。</w:t>
            </w:r>
          </w:p>
        </w:tc>
      </w:tr>
    </w:tbl>
    <w:p>
      <w:pPr>
        <w:pStyle w:val="2"/>
        <w:keepNext w:val="0"/>
        <w:keepLines w:val="0"/>
        <w:pageBreakBefore w:val="0"/>
        <w:widowControl w:val="0"/>
        <w:kinsoku/>
        <w:wordWrap/>
        <w:overflowPunct/>
        <w:topLinePunct w:val="0"/>
        <w:autoSpaceDE/>
        <w:autoSpaceDN/>
        <w:bidi w:val="0"/>
        <w:adjustRightInd w:val="0"/>
        <w:snapToGrid w:val="0"/>
        <w:spacing w:before="0" w:beforeLines="50" w:after="0"/>
        <w:ind w:firstLine="420"/>
        <w:jc w:val="left"/>
        <w:textAlignment w:val="auto"/>
        <w:rPr>
          <w:color w:val="auto"/>
        </w:rPr>
      </w:pPr>
      <w:r>
        <w:rPr>
          <w:rFonts w:hint="eastAsia" w:ascii="宋体" w:hAnsi="宋体" w:eastAsia="宋体" w:cs="宋体"/>
          <w:color w:val="auto"/>
        </w:rPr>
        <w:t>②</w:t>
      </w:r>
      <w:r>
        <w:rPr>
          <w:rFonts w:hint="eastAsia"/>
          <w:color w:val="auto"/>
        </w:rPr>
        <w:t>滤芯清洗废水：</w:t>
      </w:r>
      <w:r>
        <w:rPr>
          <w:rFonts w:hint="eastAsia"/>
          <w:color w:val="auto"/>
          <w:lang w:eastAsia="zh-CN"/>
        </w:rPr>
        <w:t>根据类比原有工程统计数据，</w:t>
      </w:r>
      <w:r>
        <w:rPr>
          <w:rFonts w:hint="eastAsia"/>
          <w:color w:val="auto"/>
        </w:rPr>
        <w:t>项目2台2吨过滤机，每天产生滤芯清洗废水大约0.6t，主要含表面活性剂和油类，进入含油废水收集管道。</w:t>
      </w:r>
    </w:p>
    <w:p>
      <w:pPr>
        <w:pStyle w:val="2"/>
        <w:ind w:firstLine="420"/>
        <w:jc w:val="left"/>
        <w:rPr>
          <w:color w:val="auto"/>
        </w:rPr>
      </w:pPr>
      <w:r>
        <w:rPr>
          <w:rFonts w:hint="eastAsia" w:ascii="宋体" w:hAnsi="宋体" w:eastAsia="宋体" w:cs="宋体"/>
          <w:color w:val="auto"/>
        </w:rPr>
        <w:t>③</w:t>
      </w:r>
      <w:r>
        <w:rPr>
          <w:rFonts w:hint="eastAsia"/>
          <w:color w:val="auto"/>
        </w:rPr>
        <w:t>废气处理产生的废水：项目废气采用喷淋方式对氟化物、氯化氢、硫酸雾等酸雾废气进行净化，喷淋水循环使用，定期排放，</w:t>
      </w:r>
      <w:r>
        <w:rPr>
          <w:rFonts w:hint="eastAsia"/>
          <w:color w:val="auto"/>
          <w:lang w:eastAsia="zh-CN"/>
        </w:rPr>
        <w:t>根据类比原有工程统计数据，</w:t>
      </w:r>
      <w:r>
        <w:rPr>
          <w:rFonts w:hint="eastAsia"/>
          <w:color w:val="auto"/>
        </w:rPr>
        <w:t>产生相应的酸碱废水约0.6t/d，接入综合废水管道。</w:t>
      </w:r>
    </w:p>
    <w:p>
      <w:pPr>
        <w:pStyle w:val="2"/>
        <w:ind w:firstLine="420"/>
        <w:jc w:val="left"/>
        <w:rPr>
          <w:rFonts w:hint="eastAsia"/>
          <w:color w:val="auto"/>
        </w:rPr>
      </w:pPr>
      <w:r>
        <w:rPr>
          <w:rFonts w:hint="eastAsia" w:ascii="宋体" w:hAnsi="宋体" w:eastAsia="宋体" w:cs="宋体"/>
          <w:color w:val="auto"/>
        </w:rPr>
        <w:t>④</w:t>
      </w:r>
      <w:r>
        <w:rPr>
          <w:rFonts w:hint="eastAsia"/>
          <w:color w:val="auto"/>
        </w:rPr>
        <w:t>地面清洗废水：</w:t>
      </w:r>
      <w:r>
        <w:rPr>
          <w:rFonts w:hint="eastAsia"/>
          <w:color w:val="auto"/>
          <w:lang w:eastAsia="zh-CN"/>
        </w:rPr>
        <w:t>根据类比原有工程统计数据，</w:t>
      </w:r>
      <w:r>
        <w:rPr>
          <w:rFonts w:hint="eastAsia"/>
          <w:color w:val="auto"/>
        </w:rPr>
        <w:t>地面清洗废水产生量约</w:t>
      </w:r>
      <w:r>
        <w:rPr>
          <w:rFonts w:hint="eastAsia"/>
          <w:color w:val="auto"/>
          <w:lang w:val="en-US" w:eastAsia="zh-CN"/>
        </w:rPr>
        <w:t>280</w:t>
      </w:r>
      <w:r>
        <w:rPr>
          <w:rFonts w:hint="eastAsia"/>
          <w:color w:val="auto"/>
        </w:rPr>
        <w:t>t/a</w:t>
      </w:r>
      <w:r>
        <w:rPr>
          <w:rFonts w:hint="eastAsia"/>
          <w:color w:val="auto"/>
          <w:lang w:eastAsia="zh-CN"/>
        </w:rPr>
        <w:t>（每</w:t>
      </w:r>
      <w:r>
        <w:rPr>
          <w:rFonts w:hint="eastAsia"/>
          <w:color w:val="auto"/>
          <w:lang w:val="en-US" w:eastAsia="zh-CN"/>
        </w:rPr>
        <w:t>天清洗一次</w:t>
      </w:r>
      <w:r>
        <w:rPr>
          <w:rFonts w:hint="eastAsia"/>
          <w:color w:val="auto"/>
          <w:lang w:eastAsia="zh-CN"/>
        </w:rPr>
        <w:t>）</w:t>
      </w:r>
      <w:r>
        <w:rPr>
          <w:rFonts w:hint="eastAsia"/>
          <w:color w:val="auto"/>
        </w:rPr>
        <w:t>，排入</w:t>
      </w:r>
      <w:r>
        <w:rPr>
          <w:rFonts w:hint="eastAsia"/>
          <w:color w:val="auto"/>
          <w:lang w:eastAsia="zh-CN"/>
        </w:rPr>
        <w:t>综合废水</w:t>
      </w:r>
      <w:r>
        <w:rPr>
          <w:rFonts w:hint="eastAsia"/>
          <w:color w:val="auto"/>
        </w:rPr>
        <w:t>管道。</w:t>
      </w:r>
    </w:p>
    <w:p>
      <w:pPr>
        <w:pStyle w:val="2"/>
        <w:ind w:firstLine="420"/>
        <w:jc w:val="left"/>
        <w:rPr>
          <w:rFonts w:hint="eastAsia"/>
          <w:color w:val="auto"/>
          <w:lang w:eastAsia="zh-CN"/>
        </w:rPr>
      </w:pPr>
      <w:r>
        <w:rPr>
          <w:rFonts w:hint="eastAsia" w:ascii="宋体" w:hAnsi="宋体" w:eastAsia="宋体" w:cs="宋体"/>
          <w:color w:val="auto"/>
        </w:rPr>
        <w:t>⑤</w:t>
      </w:r>
      <w:r>
        <w:rPr>
          <w:rFonts w:hint="eastAsia"/>
          <w:color w:val="auto"/>
          <w:lang w:eastAsia="zh-CN"/>
        </w:rPr>
        <w:t>纯水制备废水：根据类比原有工程统计数据，项目纯水制备废水产生量约</w:t>
      </w:r>
      <w:r>
        <w:rPr>
          <w:rFonts w:hint="eastAsia"/>
          <w:color w:val="auto"/>
        </w:rPr>
        <w:t>0.</w:t>
      </w:r>
      <w:r>
        <w:rPr>
          <w:rFonts w:hint="eastAsia"/>
          <w:color w:val="auto"/>
          <w:lang w:val="en-US" w:eastAsia="zh-CN"/>
        </w:rPr>
        <w:t>3</w:t>
      </w:r>
      <w:r>
        <w:rPr>
          <w:rFonts w:hint="eastAsia"/>
          <w:color w:val="auto"/>
        </w:rPr>
        <w:t>t/d，</w:t>
      </w:r>
      <w:r>
        <w:rPr>
          <w:rFonts w:hint="eastAsia"/>
          <w:color w:val="auto"/>
          <w:lang w:eastAsia="zh-CN"/>
        </w:rPr>
        <w:t>排入综合废水管道。</w:t>
      </w:r>
    </w:p>
    <w:p>
      <w:pPr>
        <w:spacing w:line="360" w:lineRule="auto"/>
        <w:jc w:val="center"/>
        <w:rPr>
          <w:b/>
          <w:color w:val="auto"/>
          <w:sz w:val="24"/>
        </w:rPr>
      </w:pPr>
      <w:r>
        <w:rPr>
          <w:b/>
          <w:color w:val="auto"/>
          <w:sz w:val="24"/>
        </w:rPr>
        <w:t>表</w:t>
      </w:r>
      <w:r>
        <w:rPr>
          <w:rFonts w:hint="eastAsia"/>
          <w:b/>
          <w:color w:val="auto"/>
          <w:sz w:val="24"/>
          <w:lang w:val="en-US" w:eastAsia="zh-CN"/>
        </w:rPr>
        <w:t>5.2-7</w:t>
      </w:r>
      <w:r>
        <w:rPr>
          <w:b/>
          <w:color w:val="auto"/>
          <w:sz w:val="24"/>
        </w:rPr>
        <w:t xml:space="preserve">  </w:t>
      </w:r>
      <w:r>
        <w:rPr>
          <w:rFonts w:hint="eastAsia"/>
          <w:b/>
          <w:color w:val="auto"/>
          <w:sz w:val="24"/>
          <w:lang w:eastAsia="zh-CN"/>
        </w:rPr>
        <w:t>项目</w:t>
      </w:r>
      <w:r>
        <w:rPr>
          <w:b/>
          <w:color w:val="auto"/>
          <w:sz w:val="24"/>
        </w:rPr>
        <w:t>废水量汇总</w:t>
      </w:r>
      <w:r>
        <w:rPr>
          <w:rFonts w:hint="eastAsia"/>
          <w:b/>
          <w:color w:val="auto"/>
          <w:sz w:val="24"/>
          <w:lang w:eastAsia="zh-CN"/>
        </w:rPr>
        <w:t>一览</w:t>
      </w:r>
      <w:r>
        <w:rPr>
          <w:b/>
          <w:color w:val="auto"/>
          <w:sz w:val="24"/>
        </w:rPr>
        <w:t>表</w:t>
      </w:r>
    </w:p>
    <w:tbl>
      <w:tblPr>
        <w:tblStyle w:val="22"/>
        <w:tblW w:w="9286" w:type="dxa"/>
        <w:tblInd w:w="0" w:type="dxa"/>
        <w:tblLayout w:type="fixed"/>
        <w:tblCellMar>
          <w:top w:w="0" w:type="dxa"/>
          <w:left w:w="108" w:type="dxa"/>
          <w:bottom w:w="0" w:type="dxa"/>
          <w:right w:w="108" w:type="dxa"/>
        </w:tblCellMar>
      </w:tblPr>
      <w:tblGrid>
        <w:gridCol w:w="566"/>
        <w:gridCol w:w="2555"/>
        <w:gridCol w:w="2636"/>
        <w:gridCol w:w="2078"/>
        <w:gridCol w:w="1451"/>
      </w:tblGrid>
      <w:tr>
        <w:tblPrEx>
          <w:tblLayout w:type="fixed"/>
          <w:tblCellMar>
            <w:top w:w="0" w:type="dxa"/>
            <w:left w:w="108" w:type="dxa"/>
            <w:bottom w:w="0" w:type="dxa"/>
            <w:right w:w="108" w:type="dxa"/>
          </w:tblCellMar>
        </w:tblPrEx>
        <w:trPr>
          <w:trHeight w:val="340" w:hRule="atLeast"/>
          <w:tblHeader/>
        </w:trPr>
        <w:tc>
          <w:tcPr>
            <w:tcW w:w="3121" w:type="dxa"/>
            <w:gridSpan w:val="2"/>
            <w:tcBorders>
              <w:top w:val="single" w:color="000000" w:sz="12" w:space="0"/>
              <w:left w:val="nil"/>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b/>
                <w:color w:val="auto"/>
                <w:sz w:val="21"/>
                <w:szCs w:val="21"/>
              </w:rPr>
              <w:t>废水种类</w:t>
            </w:r>
          </w:p>
        </w:tc>
        <w:tc>
          <w:tcPr>
            <w:tcW w:w="2636" w:type="dxa"/>
            <w:tcBorders>
              <w:top w:val="single" w:color="000000" w:sz="1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b/>
                <w:color w:val="auto"/>
                <w:sz w:val="21"/>
                <w:szCs w:val="21"/>
              </w:rPr>
              <w:t>主要成分</w:t>
            </w:r>
          </w:p>
        </w:tc>
        <w:tc>
          <w:tcPr>
            <w:tcW w:w="2078" w:type="dxa"/>
            <w:tcBorders>
              <w:top w:val="single" w:color="000000" w:sz="1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b/>
                <w:color w:val="auto"/>
                <w:sz w:val="21"/>
                <w:szCs w:val="21"/>
              </w:rPr>
              <w:t>废水收集方案</w:t>
            </w:r>
          </w:p>
        </w:tc>
        <w:tc>
          <w:tcPr>
            <w:tcW w:w="1451" w:type="dxa"/>
            <w:tcBorders>
              <w:top w:val="single" w:color="000000" w:sz="12" w:space="0"/>
              <w:left w:val="single" w:color="000000" w:sz="2" w:space="0"/>
              <w:bottom w:val="single" w:color="000000" w:sz="2" w:space="0"/>
              <w:right w:val="nil"/>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Ansi="宋体"/>
                <w:b/>
                <w:color w:val="auto"/>
                <w:sz w:val="21"/>
                <w:szCs w:val="21"/>
              </w:rPr>
              <w:t>废水量</w:t>
            </w:r>
            <w:r>
              <w:rPr>
                <w:rFonts w:hint="eastAsia" w:hAnsi="宋体"/>
                <w:b/>
                <w:color w:val="auto"/>
                <w:sz w:val="21"/>
                <w:szCs w:val="21"/>
              </w:rPr>
              <w:t>(</w:t>
            </w:r>
            <w:r>
              <w:rPr>
                <w:b/>
                <w:color w:val="auto"/>
                <w:sz w:val="21"/>
                <w:szCs w:val="21"/>
              </w:rPr>
              <w:t>t/d</w:t>
            </w:r>
            <w:r>
              <w:rPr>
                <w:rFonts w:hint="eastAsia" w:hAnsi="宋体"/>
                <w:b/>
                <w:color w:val="auto"/>
                <w:sz w:val="21"/>
                <w:szCs w:val="21"/>
              </w:rPr>
              <w:t>)</w:t>
            </w:r>
          </w:p>
        </w:tc>
      </w:tr>
      <w:tr>
        <w:tblPrEx>
          <w:tblLayout w:type="fixed"/>
          <w:tblCellMar>
            <w:top w:w="0" w:type="dxa"/>
            <w:left w:w="108" w:type="dxa"/>
            <w:bottom w:w="0" w:type="dxa"/>
            <w:right w:w="108" w:type="dxa"/>
          </w:tblCellMar>
        </w:tblPrEx>
        <w:trPr>
          <w:trHeight w:val="340" w:hRule="atLeast"/>
        </w:trPr>
        <w:tc>
          <w:tcPr>
            <w:tcW w:w="566" w:type="dxa"/>
            <w:vMerge w:val="restart"/>
            <w:tcBorders>
              <w:top w:val="single" w:color="000000" w:sz="2" w:space="0"/>
              <w:left w:val="nil"/>
              <w:right w:val="single" w:color="000000" w:sz="2" w:space="0"/>
            </w:tcBorders>
            <w:noWrap w:val="0"/>
            <w:tcMar>
              <w:top w:w="0" w:type="dxa"/>
              <w:left w:w="108" w:type="dxa"/>
              <w:bottom w:w="0" w:type="dxa"/>
              <w:right w:w="108" w:type="dxa"/>
            </w:tcMar>
            <w:vAlign w:val="center"/>
          </w:tcPr>
          <w:p>
            <w:pPr>
              <w:rPr>
                <w:rFonts w:hAnsi="宋体"/>
                <w:color w:val="auto"/>
                <w:sz w:val="21"/>
                <w:szCs w:val="21"/>
              </w:rPr>
            </w:pPr>
            <w:r>
              <w:rPr>
                <w:rFonts w:hAnsi="宋体"/>
                <w:color w:val="auto"/>
                <w:sz w:val="21"/>
                <w:szCs w:val="21"/>
              </w:rPr>
              <w:t>生产废水</w:t>
            </w:r>
          </w:p>
          <w:p>
            <w:pPr>
              <w:rPr>
                <w:color w:val="auto"/>
              </w:rPr>
            </w:pPr>
          </w:p>
          <w:p>
            <w:pPr>
              <w:pStyle w:val="2"/>
              <w:rPr>
                <w:color w:val="auto"/>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含铬</w:t>
            </w:r>
            <w:r>
              <w:rPr>
                <w:rFonts w:hint="eastAsia" w:hAnsi="宋体"/>
                <w:color w:val="auto"/>
                <w:sz w:val="21"/>
                <w:szCs w:val="21"/>
              </w:rPr>
              <w:t>清洗</w:t>
            </w:r>
            <w:r>
              <w:rPr>
                <w:rFonts w:hAnsi="宋体"/>
                <w:color w:val="auto"/>
                <w:sz w:val="21"/>
                <w:szCs w:val="21"/>
              </w:rPr>
              <w:t>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主要含三价铬、六价铬</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含铬废水收集管道</w:t>
            </w:r>
            <w:r>
              <w:rPr>
                <w:color w:val="auto"/>
                <w:sz w:val="21"/>
                <w:szCs w:val="21"/>
              </w:rPr>
              <w:t xml:space="preserve"> </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4.054</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含油</w:t>
            </w:r>
            <w:r>
              <w:rPr>
                <w:rFonts w:hint="eastAsia" w:hAnsi="宋体"/>
                <w:color w:val="auto"/>
                <w:sz w:val="21"/>
                <w:szCs w:val="21"/>
              </w:rPr>
              <w:t>清洗</w:t>
            </w:r>
            <w:r>
              <w:rPr>
                <w:rFonts w:hAnsi="宋体"/>
                <w:color w:val="auto"/>
                <w:sz w:val="21"/>
                <w:szCs w:val="21"/>
              </w:rPr>
              <w:t>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主要含表面活性剂、油类</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含油废水收集管道</w:t>
            </w:r>
            <w:r>
              <w:rPr>
                <w:color w:val="auto"/>
                <w:sz w:val="21"/>
                <w:szCs w:val="21"/>
              </w:rPr>
              <w:t xml:space="preserve"> </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8.116</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含氰清洗废水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主要含氰离子</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Ansi="宋体"/>
                <w:color w:val="auto"/>
                <w:sz w:val="21"/>
                <w:szCs w:val="21"/>
              </w:rPr>
              <w:t>含</w:t>
            </w:r>
            <w:r>
              <w:rPr>
                <w:rFonts w:hint="eastAsia" w:hAnsi="宋体"/>
                <w:color w:val="auto"/>
                <w:sz w:val="21"/>
                <w:szCs w:val="21"/>
              </w:rPr>
              <w:t>氰</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10.89</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int="eastAsia" w:hAnsi="宋体"/>
                <w:color w:val="auto"/>
                <w:sz w:val="21"/>
                <w:szCs w:val="21"/>
              </w:rPr>
              <w:t>含镍清洗</w:t>
            </w:r>
            <w:r>
              <w:rPr>
                <w:rFonts w:hAnsi="宋体"/>
                <w:color w:val="auto"/>
                <w:sz w:val="21"/>
                <w:szCs w:val="21"/>
              </w:rPr>
              <w:t>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主要含</w:t>
            </w:r>
            <w:r>
              <w:rPr>
                <w:rFonts w:hint="eastAsia" w:hAnsi="宋体"/>
                <w:color w:val="auto"/>
                <w:sz w:val="21"/>
                <w:szCs w:val="21"/>
              </w:rPr>
              <w:t>镍</w:t>
            </w:r>
            <w:r>
              <w:rPr>
                <w:rFonts w:hAnsi="宋体"/>
                <w:color w:val="auto"/>
                <w:sz w:val="21"/>
                <w:szCs w:val="21"/>
              </w:rPr>
              <w:t>离子</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w:t>
            </w:r>
            <w:r>
              <w:rPr>
                <w:rFonts w:hint="eastAsia" w:hAnsi="宋体"/>
                <w:color w:val="auto"/>
                <w:sz w:val="21"/>
                <w:szCs w:val="21"/>
              </w:rPr>
              <w:t>镍</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4.054</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int="eastAsia" w:hAnsi="宋体"/>
                <w:color w:val="auto"/>
                <w:sz w:val="21"/>
                <w:szCs w:val="21"/>
              </w:rPr>
              <w:t>综合</w:t>
            </w:r>
            <w:r>
              <w:rPr>
                <w:rFonts w:hAnsi="宋体"/>
                <w:color w:val="auto"/>
                <w:sz w:val="21"/>
                <w:szCs w:val="21"/>
              </w:rPr>
              <w:t>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主要含酸、碱</w:t>
            </w:r>
            <w:r>
              <w:rPr>
                <w:rFonts w:hint="eastAsia" w:hAnsi="宋体"/>
                <w:color w:val="auto"/>
                <w:sz w:val="21"/>
                <w:szCs w:val="21"/>
                <w:lang w:eastAsia="zh-CN"/>
              </w:rPr>
              <w:t>以及</w:t>
            </w:r>
            <w:r>
              <w:rPr>
                <w:rFonts w:hAnsi="宋体"/>
                <w:color w:val="auto"/>
                <w:sz w:val="21"/>
                <w:szCs w:val="21"/>
              </w:rPr>
              <w:t>低浓度重金属离子</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int="eastAsia" w:hAnsi="宋体"/>
                <w:color w:val="auto"/>
                <w:sz w:val="21"/>
                <w:szCs w:val="21"/>
                <w:lang w:eastAsia="zh-CN"/>
              </w:rPr>
              <w:t>综合</w:t>
            </w:r>
            <w:r>
              <w:rPr>
                <w:rFonts w:hAnsi="宋体"/>
                <w:color w:val="auto"/>
                <w:sz w:val="21"/>
                <w:szCs w:val="21"/>
              </w:rPr>
              <w:t>废水收集管道</w:t>
            </w:r>
            <w:r>
              <w:rPr>
                <w:color w:val="auto"/>
                <w:sz w:val="21"/>
                <w:szCs w:val="21"/>
              </w:rPr>
              <w:t xml:space="preserve"> </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1.120</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Ansi="宋体"/>
                <w:color w:val="auto"/>
                <w:sz w:val="21"/>
                <w:szCs w:val="21"/>
              </w:rPr>
              <w:t>滤芯清洗废水</w:t>
            </w:r>
            <w:r>
              <w:rPr>
                <w:rFonts w:hint="eastAsia" w:hAnsi="宋体"/>
                <w:color w:val="auto"/>
                <w:sz w:val="21"/>
                <w:szCs w:val="21"/>
              </w:rPr>
              <w:t>含镍废水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主要含</w:t>
            </w:r>
            <w:r>
              <w:rPr>
                <w:rFonts w:hint="eastAsia" w:hAnsi="宋体"/>
                <w:color w:val="auto"/>
                <w:sz w:val="21"/>
                <w:szCs w:val="21"/>
              </w:rPr>
              <w:t>镍离子</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w:t>
            </w:r>
            <w:r>
              <w:rPr>
                <w:rFonts w:hint="eastAsia" w:hAnsi="宋体"/>
                <w:color w:val="auto"/>
                <w:sz w:val="21"/>
                <w:szCs w:val="21"/>
              </w:rPr>
              <w:t>镍</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0.3</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Ansi="宋体"/>
                <w:color w:val="auto"/>
                <w:sz w:val="21"/>
                <w:szCs w:val="21"/>
              </w:rPr>
              <w:t>滤芯清洗废水</w:t>
            </w:r>
            <w:r>
              <w:rPr>
                <w:rFonts w:hint="eastAsia" w:hAnsi="宋体"/>
                <w:color w:val="auto"/>
                <w:sz w:val="21"/>
                <w:szCs w:val="21"/>
              </w:rPr>
              <w:t>含氰废水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int="eastAsia" w:hAnsi="宋体"/>
                <w:color w:val="auto"/>
                <w:sz w:val="21"/>
                <w:szCs w:val="21"/>
              </w:rPr>
              <w:t>主要含氰离子</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含</w:t>
            </w:r>
            <w:r>
              <w:rPr>
                <w:rFonts w:hint="eastAsia" w:hAnsi="宋体"/>
                <w:color w:val="auto"/>
                <w:sz w:val="21"/>
                <w:szCs w:val="21"/>
              </w:rPr>
              <w:t>氰</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0.3</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pStyle w:val="2"/>
              <w:rPr>
                <w:color w:val="auto"/>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地面清洗水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主要含表面活性剂、油类</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int="eastAsia" w:hAnsi="宋体"/>
                <w:color w:val="auto"/>
                <w:sz w:val="21"/>
                <w:szCs w:val="21"/>
                <w:lang w:eastAsia="zh-CN"/>
              </w:rPr>
              <w:t>综合</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default" w:eastAsia="宋体"/>
                <w:color w:val="auto"/>
                <w:sz w:val="21"/>
                <w:szCs w:val="21"/>
                <w:lang w:val="en-US" w:eastAsia="zh-CN"/>
              </w:rPr>
            </w:pPr>
            <w:r>
              <w:rPr>
                <w:rFonts w:hint="eastAsia"/>
                <w:color w:val="auto"/>
                <w:sz w:val="21"/>
                <w:szCs w:val="21"/>
                <w:lang w:val="en-US" w:eastAsia="zh-CN"/>
              </w:rPr>
              <w:t>1.08</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废气处理水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Ansi="宋体"/>
                <w:color w:val="auto"/>
                <w:sz w:val="21"/>
                <w:szCs w:val="21"/>
              </w:rPr>
              <w:t>含金属离子</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rFonts w:hint="eastAsia" w:hAnsi="宋体"/>
                <w:color w:val="auto"/>
                <w:sz w:val="21"/>
                <w:szCs w:val="21"/>
              </w:rPr>
              <w:t>综合</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color w:val="auto"/>
                <w:sz w:val="21"/>
                <w:szCs w:val="21"/>
              </w:rPr>
            </w:pPr>
            <w:r>
              <w:rPr>
                <w:color w:val="auto"/>
                <w:sz w:val="21"/>
                <w:szCs w:val="21"/>
              </w:rPr>
              <w:t>0.6</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bottom w:val="single" w:color="000000" w:sz="2" w:space="0"/>
              <w:right w:val="single" w:color="000000" w:sz="2" w:space="0"/>
            </w:tcBorders>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lang w:eastAsia="zh-CN"/>
              </w:rPr>
            </w:pPr>
            <w:r>
              <w:rPr>
                <w:rFonts w:hint="eastAsia" w:hAnsi="宋体"/>
                <w:color w:val="auto"/>
                <w:sz w:val="21"/>
                <w:szCs w:val="21"/>
              </w:rPr>
              <w:t>纯水制备废水</w:t>
            </w:r>
          </w:p>
        </w:tc>
        <w:tc>
          <w:tcPr>
            <w:tcW w:w="2636"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int="eastAsia" w:hAnsi="宋体"/>
                <w:color w:val="auto"/>
                <w:sz w:val="21"/>
                <w:szCs w:val="21"/>
              </w:rPr>
              <w:t>盐浓度</w:t>
            </w:r>
          </w:p>
        </w:tc>
        <w:tc>
          <w:tcPr>
            <w:tcW w:w="2078" w:type="dxa"/>
            <w:tcBorders>
              <w:top w:val="single" w:color="000000" w:sz="2" w:space="0"/>
              <w:left w:val="single" w:color="000000" w:sz="2" w:space="0"/>
              <w:bottom w:val="single" w:color="000000" w:sz="2" w:space="0"/>
              <w:right w:val="single" w:color="000000" w:sz="2" w:space="0"/>
            </w:tcBorders>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int="eastAsia" w:hAnsi="宋体"/>
                <w:color w:val="auto"/>
                <w:sz w:val="21"/>
                <w:szCs w:val="21"/>
              </w:rPr>
              <w:t>混合</w:t>
            </w:r>
            <w:r>
              <w:rPr>
                <w:rFonts w:hAnsi="宋体"/>
                <w:color w:val="auto"/>
                <w:sz w:val="21"/>
                <w:szCs w:val="21"/>
              </w:rPr>
              <w:t>废水</w:t>
            </w:r>
            <w:r>
              <w:rPr>
                <w:rFonts w:hint="eastAsia" w:hAnsi="宋体"/>
                <w:color w:val="auto"/>
                <w:sz w:val="21"/>
                <w:szCs w:val="21"/>
              </w:rPr>
              <w:t>收集</w:t>
            </w:r>
            <w:r>
              <w:rPr>
                <w:rFonts w:hAnsi="宋体"/>
                <w:color w:val="auto"/>
                <w:sz w:val="21"/>
                <w:szCs w:val="21"/>
              </w:rPr>
              <w:t>管道</w:t>
            </w:r>
          </w:p>
        </w:tc>
        <w:tc>
          <w:tcPr>
            <w:tcW w:w="1451" w:type="dxa"/>
            <w:tcBorders>
              <w:top w:val="single" w:color="000000" w:sz="2" w:space="0"/>
              <w:left w:val="single" w:color="000000" w:sz="2" w:space="0"/>
              <w:bottom w:val="single" w:color="000000" w:sz="2" w:space="0"/>
            </w:tcBorders>
            <w:noWrap w:val="0"/>
            <w:tcMar>
              <w:top w:w="0" w:type="dxa"/>
              <w:left w:w="108" w:type="dxa"/>
              <w:bottom w:w="0" w:type="dxa"/>
              <w:right w:w="108" w:type="dxa"/>
            </w:tcMar>
            <w:vAlign w:val="center"/>
          </w:tcPr>
          <w:p>
            <w:pPr>
              <w:widowControl/>
              <w:autoSpaceDN w:val="0"/>
              <w:snapToGrid w:val="0"/>
              <w:jc w:val="center"/>
              <w:rPr>
                <w:rFonts w:hint="eastAsia" w:eastAsia="宋体"/>
                <w:color w:val="auto"/>
                <w:sz w:val="21"/>
                <w:szCs w:val="21"/>
                <w:lang w:eastAsia="zh-CN"/>
              </w:rPr>
            </w:pPr>
            <w:r>
              <w:rPr>
                <w:rFonts w:hint="eastAsia"/>
                <w:color w:val="auto"/>
                <w:sz w:val="21"/>
                <w:szCs w:val="21"/>
              </w:rPr>
              <w:t>0.</w:t>
            </w:r>
            <w:r>
              <w:rPr>
                <w:rFonts w:hint="eastAsia"/>
                <w:color w:val="auto"/>
                <w:sz w:val="21"/>
                <w:szCs w:val="21"/>
                <w:lang w:val="en-US" w:eastAsia="zh-CN"/>
              </w:rPr>
              <w:t>3</w:t>
            </w:r>
          </w:p>
        </w:tc>
      </w:tr>
      <w:tr>
        <w:tblPrEx>
          <w:tblLayout w:type="fixed"/>
          <w:tblCellMar>
            <w:top w:w="0" w:type="dxa"/>
            <w:left w:w="108" w:type="dxa"/>
            <w:bottom w:w="0" w:type="dxa"/>
            <w:right w:w="108" w:type="dxa"/>
          </w:tblCellMar>
        </w:tblPrEx>
        <w:trPr>
          <w:trHeight w:val="340" w:hRule="atLeast"/>
        </w:trPr>
        <w:tc>
          <w:tcPr>
            <w:tcW w:w="566" w:type="dxa"/>
            <w:vMerge w:val="restart"/>
            <w:tcBorders>
              <w:top w:val="single" w:color="000000" w:sz="2" w:space="0"/>
              <w:left w:val="nil"/>
              <w:right w:val="single" w:color="000000" w:sz="2" w:space="0"/>
            </w:tcBorders>
            <w:shd w:val="clear" w:color="auto" w:fill="auto"/>
            <w:noWrap w:val="0"/>
            <w:tcMar>
              <w:top w:w="0" w:type="dxa"/>
              <w:left w:w="108" w:type="dxa"/>
              <w:bottom w:w="0" w:type="dxa"/>
              <w:right w:w="108" w:type="dxa"/>
            </w:tcMar>
            <w:vAlign w:val="center"/>
          </w:tcPr>
          <w:p>
            <w:pPr>
              <w:rPr>
                <w:rFonts w:hint="eastAsia"/>
                <w:color w:val="auto"/>
                <w:sz w:val="21"/>
                <w:szCs w:val="21"/>
              </w:rPr>
            </w:pPr>
            <w:r>
              <w:rPr>
                <w:rFonts w:hint="eastAsia"/>
                <w:color w:val="auto"/>
                <w:sz w:val="21"/>
                <w:szCs w:val="21"/>
              </w:rPr>
              <w:t>合计</w:t>
            </w:r>
          </w:p>
        </w:tc>
        <w:tc>
          <w:tcPr>
            <w:tcW w:w="2555" w:type="dxa"/>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jc w:val="center"/>
              <w:rPr>
                <w:rFonts w:hint="eastAsia" w:ascii="宋体" w:hAnsi="宋体" w:cs="宋体"/>
                <w:color w:val="auto"/>
                <w:sz w:val="21"/>
                <w:szCs w:val="21"/>
              </w:rPr>
            </w:pPr>
            <w:r>
              <w:rPr>
                <w:rFonts w:hint="eastAsia"/>
                <w:color w:val="auto"/>
                <w:sz w:val="21"/>
                <w:szCs w:val="21"/>
              </w:rPr>
              <w:t>含铬废水</w:t>
            </w:r>
            <w:r>
              <w:rPr>
                <w:color w:val="auto"/>
                <w:sz w:val="21"/>
                <w:szCs w:val="21"/>
              </w:rPr>
              <w:t xml:space="preserve"> </w:t>
            </w:r>
          </w:p>
        </w:tc>
        <w:tc>
          <w:tcPr>
            <w:tcW w:w="4714" w:type="dxa"/>
            <w:gridSpan w:val="2"/>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含铬废水收集管道</w:t>
            </w:r>
          </w:p>
        </w:tc>
        <w:tc>
          <w:tcPr>
            <w:tcW w:w="1451" w:type="dxa"/>
            <w:tcBorders>
              <w:top w:val="single" w:color="000000" w:sz="2" w:space="0"/>
              <w:left w:val="single" w:color="000000" w:sz="2" w:space="0"/>
              <w:bottom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int="eastAsia"/>
                <w:color w:val="auto"/>
                <w:sz w:val="21"/>
                <w:szCs w:val="21"/>
              </w:rPr>
            </w:pPr>
            <w:r>
              <w:rPr>
                <w:rFonts w:hint="eastAsia"/>
                <w:color w:val="auto"/>
                <w:sz w:val="21"/>
                <w:szCs w:val="21"/>
              </w:rPr>
              <w:t>4.</w:t>
            </w:r>
            <w:r>
              <w:rPr>
                <w:rFonts w:hint="eastAsia"/>
                <w:color w:val="auto"/>
                <w:sz w:val="21"/>
                <w:szCs w:val="21"/>
                <w:lang w:val="en-US" w:eastAsia="zh-CN"/>
              </w:rPr>
              <w:t>0</w:t>
            </w:r>
            <w:r>
              <w:rPr>
                <w:rFonts w:hint="eastAsia"/>
                <w:color w:val="auto"/>
                <w:sz w:val="21"/>
                <w:szCs w:val="21"/>
              </w:rPr>
              <w:t>54</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shd w:val="clear" w:color="auto" w:fill="auto"/>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含氰废水</w:t>
            </w:r>
          </w:p>
        </w:tc>
        <w:tc>
          <w:tcPr>
            <w:tcW w:w="4714" w:type="dxa"/>
            <w:gridSpan w:val="2"/>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含</w:t>
            </w:r>
            <w:r>
              <w:rPr>
                <w:rFonts w:hint="eastAsia" w:hAnsi="宋体"/>
                <w:color w:val="auto"/>
                <w:sz w:val="21"/>
                <w:szCs w:val="21"/>
              </w:rPr>
              <w:t>氰</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shd w:val="clear" w:color="C0C0C0" w:fill="FFFFFF"/>
            <w:noWrap w:val="0"/>
            <w:tcMar>
              <w:top w:w="0" w:type="dxa"/>
              <w:left w:w="108" w:type="dxa"/>
              <w:bottom w:w="0" w:type="dxa"/>
              <w:right w:w="108" w:type="dxa"/>
            </w:tcMar>
            <w:vAlign w:val="center"/>
          </w:tcPr>
          <w:p>
            <w:pPr>
              <w:autoSpaceDN w:val="0"/>
              <w:jc w:val="center"/>
              <w:textAlignment w:val="center"/>
              <w:rPr>
                <w:rFonts w:hint="eastAsia" w:hAnsi="宋体"/>
                <w:color w:val="auto"/>
                <w:sz w:val="21"/>
                <w:szCs w:val="21"/>
              </w:rPr>
            </w:pPr>
            <w:r>
              <w:rPr>
                <w:rFonts w:hint="eastAsia" w:hAnsi="宋体"/>
                <w:color w:val="auto"/>
                <w:sz w:val="21"/>
                <w:szCs w:val="21"/>
              </w:rPr>
              <w:t>11.19</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shd w:val="clear" w:color="auto" w:fill="auto"/>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含镍废水</w:t>
            </w:r>
          </w:p>
        </w:tc>
        <w:tc>
          <w:tcPr>
            <w:tcW w:w="4714" w:type="dxa"/>
            <w:gridSpan w:val="2"/>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含</w:t>
            </w:r>
            <w:r>
              <w:rPr>
                <w:rFonts w:hint="eastAsia" w:hAnsi="宋体"/>
                <w:color w:val="auto"/>
                <w:sz w:val="21"/>
                <w:szCs w:val="21"/>
              </w:rPr>
              <w:t>镍</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shd w:val="clear" w:color="C0C0C0" w:fill="FFFFFF"/>
            <w:noWrap w:val="0"/>
            <w:tcMar>
              <w:top w:w="0" w:type="dxa"/>
              <w:left w:w="108" w:type="dxa"/>
              <w:bottom w:w="0" w:type="dxa"/>
              <w:right w:w="108" w:type="dxa"/>
            </w:tcMar>
            <w:vAlign w:val="center"/>
          </w:tcPr>
          <w:p>
            <w:pPr>
              <w:autoSpaceDN w:val="0"/>
              <w:jc w:val="center"/>
              <w:textAlignment w:val="center"/>
              <w:rPr>
                <w:rFonts w:hint="eastAsia" w:hAnsi="宋体"/>
                <w:color w:val="auto"/>
                <w:sz w:val="21"/>
                <w:szCs w:val="21"/>
              </w:rPr>
            </w:pPr>
            <w:r>
              <w:rPr>
                <w:rFonts w:hint="eastAsia" w:hAnsi="宋体"/>
                <w:color w:val="auto"/>
                <w:sz w:val="21"/>
                <w:szCs w:val="21"/>
              </w:rPr>
              <w:t>4.354</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shd w:val="clear" w:color="auto" w:fill="auto"/>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含油废水</w:t>
            </w:r>
          </w:p>
        </w:tc>
        <w:tc>
          <w:tcPr>
            <w:tcW w:w="4714" w:type="dxa"/>
            <w:gridSpan w:val="2"/>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含</w:t>
            </w:r>
            <w:r>
              <w:rPr>
                <w:rFonts w:hint="eastAsia" w:hAnsi="宋体"/>
                <w:color w:val="auto"/>
                <w:sz w:val="21"/>
                <w:szCs w:val="21"/>
              </w:rPr>
              <w:t>油</w:t>
            </w:r>
            <w:r>
              <w:rPr>
                <w:rFonts w:hAnsi="宋体"/>
                <w:color w:val="auto"/>
                <w:sz w:val="21"/>
                <w:szCs w:val="21"/>
              </w:rPr>
              <w:t>废水收集管道</w:t>
            </w:r>
          </w:p>
        </w:tc>
        <w:tc>
          <w:tcPr>
            <w:tcW w:w="1451" w:type="dxa"/>
            <w:tcBorders>
              <w:top w:val="single" w:color="000000" w:sz="2" w:space="0"/>
              <w:left w:val="single" w:color="000000" w:sz="2" w:space="0"/>
              <w:bottom w:val="single" w:color="000000" w:sz="2" w:space="0"/>
            </w:tcBorders>
            <w:shd w:val="clear" w:color="C0C0C0" w:fill="FFFFFF"/>
            <w:noWrap w:val="0"/>
            <w:tcMar>
              <w:top w:w="0" w:type="dxa"/>
              <w:left w:w="108" w:type="dxa"/>
              <w:bottom w:w="0" w:type="dxa"/>
              <w:right w:w="108" w:type="dxa"/>
            </w:tcMar>
            <w:vAlign w:val="center"/>
          </w:tcPr>
          <w:p>
            <w:pPr>
              <w:autoSpaceDN w:val="0"/>
              <w:jc w:val="center"/>
              <w:textAlignment w:val="center"/>
              <w:rPr>
                <w:rFonts w:hint="default" w:hAnsi="宋体" w:eastAsia="宋体"/>
                <w:color w:val="auto"/>
                <w:sz w:val="21"/>
                <w:szCs w:val="21"/>
                <w:lang w:val="en-US" w:eastAsia="zh-CN"/>
              </w:rPr>
            </w:pPr>
            <w:r>
              <w:rPr>
                <w:rFonts w:hint="eastAsia" w:hAnsi="宋体"/>
                <w:color w:val="auto"/>
                <w:sz w:val="21"/>
                <w:szCs w:val="21"/>
                <w:lang w:val="en-US" w:eastAsia="zh-CN"/>
              </w:rPr>
              <w:t>8.116</w:t>
            </w:r>
          </w:p>
        </w:tc>
      </w:tr>
      <w:tr>
        <w:tblPrEx>
          <w:tblLayout w:type="fixed"/>
          <w:tblCellMar>
            <w:top w:w="0" w:type="dxa"/>
            <w:left w:w="108" w:type="dxa"/>
            <w:bottom w:w="0" w:type="dxa"/>
            <w:right w:w="108" w:type="dxa"/>
          </w:tblCellMar>
        </w:tblPrEx>
        <w:trPr>
          <w:trHeight w:val="340" w:hRule="atLeast"/>
        </w:trPr>
        <w:tc>
          <w:tcPr>
            <w:tcW w:w="566" w:type="dxa"/>
            <w:vMerge w:val="continue"/>
            <w:tcBorders>
              <w:left w:val="nil"/>
              <w:right w:val="single" w:color="000000" w:sz="2" w:space="0"/>
            </w:tcBorders>
            <w:shd w:val="clear" w:color="auto" w:fill="auto"/>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综合废水</w:t>
            </w:r>
          </w:p>
        </w:tc>
        <w:tc>
          <w:tcPr>
            <w:tcW w:w="4714" w:type="dxa"/>
            <w:gridSpan w:val="2"/>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混合废水收集管道</w:t>
            </w:r>
          </w:p>
        </w:tc>
        <w:tc>
          <w:tcPr>
            <w:tcW w:w="1451" w:type="dxa"/>
            <w:tcBorders>
              <w:top w:val="single" w:color="000000" w:sz="2" w:space="0"/>
              <w:left w:val="single" w:color="000000" w:sz="2" w:space="0"/>
              <w:bottom w:val="single" w:color="000000" w:sz="2" w:space="0"/>
            </w:tcBorders>
            <w:shd w:val="clear" w:color="C0C0C0" w:fill="FFFFFF"/>
            <w:noWrap w:val="0"/>
            <w:tcMar>
              <w:top w:w="0" w:type="dxa"/>
              <w:left w:w="108" w:type="dxa"/>
              <w:bottom w:w="0" w:type="dxa"/>
              <w:right w:w="108" w:type="dxa"/>
            </w:tcMar>
            <w:vAlign w:val="center"/>
          </w:tcPr>
          <w:p>
            <w:pPr>
              <w:autoSpaceDN w:val="0"/>
              <w:jc w:val="center"/>
              <w:textAlignment w:val="center"/>
              <w:rPr>
                <w:rFonts w:hint="default" w:hAnsi="宋体" w:eastAsia="宋体"/>
                <w:color w:val="auto"/>
                <w:sz w:val="21"/>
                <w:szCs w:val="21"/>
                <w:lang w:val="en-US" w:eastAsia="zh-CN"/>
              </w:rPr>
            </w:pPr>
            <w:r>
              <w:rPr>
                <w:rFonts w:hint="eastAsia" w:hAnsi="宋体"/>
                <w:color w:val="auto"/>
                <w:sz w:val="21"/>
                <w:szCs w:val="21"/>
                <w:lang w:val="en-US" w:eastAsia="zh-CN"/>
              </w:rPr>
              <w:t>3.1</w:t>
            </w:r>
          </w:p>
        </w:tc>
      </w:tr>
      <w:tr>
        <w:tblPrEx>
          <w:tblLayout w:type="fixed"/>
          <w:tblCellMar>
            <w:top w:w="0" w:type="dxa"/>
            <w:left w:w="108" w:type="dxa"/>
            <w:bottom w:w="0" w:type="dxa"/>
            <w:right w:w="108" w:type="dxa"/>
          </w:tblCellMar>
        </w:tblPrEx>
        <w:trPr>
          <w:trHeight w:val="340" w:hRule="atLeast"/>
        </w:trPr>
        <w:tc>
          <w:tcPr>
            <w:tcW w:w="566" w:type="dxa"/>
            <w:tcBorders>
              <w:left w:val="nil"/>
              <w:bottom w:val="single" w:color="000000" w:sz="2" w:space="0"/>
              <w:right w:val="single" w:color="000000" w:sz="2" w:space="0"/>
            </w:tcBorders>
            <w:shd w:val="clear" w:color="auto" w:fill="auto"/>
            <w:noWrap w:val="0"/>
            <w:tcMar>
              <w:top w:w="0" w:type="dxa"/>
              <w:left w:w="108" w:type="dxa"/>
              <w:bottom w:w="0" w:type="dxa"/>
              <w:right w:w="108" w:type="dxa"/>
            </w:tcMar>
            <w:vAlign w:val="center"/>
          </w:tcPr>
          <w:p>
            <w:pPr>
              <w:rPr>
                <w:color w:val="auto"/>
                <w:sz w:val="21"/>
                <w:szCs w:val="21"/>
              </w:rPr>
            </w:pPr>
          </w:p>
        </w:tc>
        <w:tc>
          <w:tcPr>
            <w:tcW w:w="2555" w:type="dxa"/>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int="eastAsia" w:hAnsi="宋体"/>
                <w:color w:val="auto"/>
                <w:sz w:val="21"/>
                <w:szCs w:val="21"/>
              </w:rPr>
            </w:pPr>
            <w:r>
              <w:rPr>
                <w:rFonts w:hint="eastAsia" w:hAnsi="宋体"/>
                <w:color w:val="auto"/>
                <w:sz w:val="21"/>
                <w:szCs w:val="21"/>
              </w:rPr>
              <w:t>总计</w:t>
            </w:r>
          </w:p>
        </w:tc>
        <w:tc>
          <w:tcPr>
            <w:tcW w:w="4714" w:type="dxa"/>
            <w:gridSpan w:val="2"/>
            <w:tcBorders>
              <w:top w:val="single" w:color="000000" w:sz="2" w:space="0"/>
              <w:left w:val="single" w:color="000000" w:sz="2" w:space="0"/>
              <w:bottom w:val="single" w:color="000000" w:sz="2" w:space="0"/>
              <w:right w:val="single" w:color="000000" w:sz="2" w:space="0"/>
            </w:tcBorders>
            <w:shd w:val="clear" w:color="C0C0C0" w:fill="FFFFFF"/>
            <w:noWrap w:val="0"/>
            <w:tcMar>
              <w:top w:w="0" w:type="dxa"/>
              <w:left w:w="108" w:type="dxa"/>
              <w:bottom w:w="0" w:type="dxa"/>
              <w:right w:w="108" w:type="dxa"/>
            </w:tcMar>
            <w:vAlign w:val="center"/>
          </w:tcPr>
          <w:p>
            <w:pPr>
              <w:widowControl/>
              <w:autoSpaceDN w:val="0"/>
              <w:snapToGrid w:val="0"/>
              <w:jc w:val="center"/>
              <w:rPr>
                <w:rFonts w:hAnsi="宋体"/>
                <w:color w:val="auto"/>
                <w:sz w:val="21"/>
                <w:szCs w:val="21"/>
              </w:rPr>
            </w:pPr>
            <w:r>
              <w:rPr>
                <w:rFonts w:hAnsi="宋体"/>
                <w:color w:val="auto"/>
                <w:sz w:val="21"/>
                <w:szCs w:val="21"/>
              </w:rPr>
              <w:t>——</w:t>
            </w:r>
          </w:p>
        </w:tc>
        <w:tc>
          <w:tcPr>
            <w:tcW w:w="1451" w:type="dxa"/>
            <w:tcBorders>
              <w:top w:val="single" w:color="000000" w:sz="2" w:space="0"/>
              <w:left w:val="single" w:color="000000" w:sz="2" w:space="0"/>
              <w:bottom w:val="single" w:color="000000" w:sz="2" w:space="0"/>
            </w:tcBorders>
            <w:shd w:val="clear" w:color="C0C0C0" w:fill="FFFFFF"/>
            <w:noWrap w:val="0"/>
            <w:tcMar>
              <w:top w:w="0" w:type="dxa"/>
              <w:left w:w="108" w:type="dxa"/>
              <w:bottom w:w="0" w:type="dxa"/>
              <w:right w:w="108" w:type="dxa"/>
            </w:tcMar>
            <w:vAlign w:val="center"/>
          </w:tcPr>
          <w:p>
            <w:pPr>
              <w:autoSpaceDN w:val="0"/>
              <w:jc w:val="center"/>
              <w:textAlignment w:val="center"/>
              <w:rPr>
                <w:rFonts w:hint="default" w:hAnsi="宋体" w:eastAsia="宋体"/>
                <w:color w:val="auto"/>
                <w:sz w:val="21"/>
                <w:szCs w:val="21"/>
                <w:lang w:val="en-US" w:eastAsia="zh-CN"/>
              </w:rPr>
            </w:pPr>
            <w:r>
              <w:rPr>
                <w:rFonts w:hint="eastAsia" w:hAnsi="宋体"/>
                <w:color w:val="auto"/>
                <w:sz w:val="21"/>
                <w:szCs w:val="21"/>
                <w:lang w:val="en-US" w:eastAsia="zh-CN"/>
              </w:rPr>
              <w:t>30.814</w:t>
            </w:r>
          </w:p>
        </w:tc>
      </w:tr>
    </w:tbl>
    <w:p>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Fonts w:hint="eastAsia"/>
          <w:b/>
          <w:color w:val="auto"/>
          <w:sz w:val="24"/>
        </w:rPr>
      </w:pPr>
      <w:r>
        <w:rPr>
          <w:rFonts w:hint="eastAsia"/>
          <w:b/>
          <w:color w:val="auto"/>
          <w:sz w:val="24"/>
        </w:rPr>
        <w:t>表5.</w:t>
      </w:r>
      <w:r>
        <w:rPr>
          <w:rFonts w:hint="eastAsia"/>
          <w:b/>
          <w:color w:val="auto"/>
          <w:sz w:val="24"/>
          <w:lang w:val="en-US" w:eastAsia="zh-CN"/>
        </w:rPr>
        <w:t>2-8</w:t>
      </w:r>
      <w:r>
        <w:rPr>
          <w:rFonts w:hint="eastAsia"/>
          <w:b/>
          <w:color w:val="auto"/>
          <w:sz w:val="24"/>
        </w:rPr>
        <w:t xml:space="preserve"> </w:t>
      </w:r>
      <w:r>
        <w:rPr>
          <w:rFonts w:hint="eastAsia"/>
          <w:b/>
          <w:color w:val="auto"/>
          <w:sz w:val="24"/>
          <w:lang w:val="en-US" w:eastAsia="zh-CN"/>
        </w:rPr>
        <w:t xml:space="preserve"> </w:t>
      </w:r>
      <w:r>
        <w:rPr>
          <w:rFonts w:hint="eastAsia"/>
          <w:b/>
          <w:color w:val="auto"/>
          <w:sz w:val="24"/>
        </w:rPr>
        <w:t xml:space="preserve">项目废水核算结果一览表    </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1"/>
        <w:gridCol w:w="3360"/>
        <w:gridCol w:w="35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jc w:val="center"/>
              <w:rPr>
                <w:color w:val="auto"/>
                <w:sz w:val="21"/>
                <w:szCs w:val="21"/>
              </w:rPr>
            </w:pPr>
            <w:r>
              <w:rPr>
                <w:color w:val="auto"/>
                <w:sz w:val="21"/>
                <w:szCs w:val="21"/>
              </w:rPr>
              <w:t>废水种类</w:t>
            </w:r>
          </w:p>
        </w:tc>
        <w:tc>
          <w:tcPr>
            <w:tcW w:w="3360" w:type="dxa"/>
            <w:noWrap w:val="0"/>
            <w:vAlign w:val="center"/>
          </w:tcPr>
          <w:p>
            <w:pPr>
              <w:ind w:firstLine="458"/>
              <w:jc w:val="center"/>
              <w:rPr>
                <w:color w:val="auto"/>
                <w:sz w:val="21"/>
                <w:szCs w:val="21"/>
              </w:rPr>
            </w:pPr>
            <w:r>
              <w:rPr>
                <w:rFonts w:hint="eastAsia"/>
                <w:color w:val="auto"/>
                <w:sz w:val="21"/>
                <w:szCs w:val="21"/>
              </w:rPr>
              <w:t>总</w:t>
            </w:r>
            <w:r>
              <w:rPr>
                <w:color w:val="auto"/>
                <w:sz w:val="21"/>
                <w:szCs w:val="21"/>
              </w:rPr>
              <w:t>产生量</w:t>
            </w:r>
            <w:r>
              <w:rPr>
                <w:rFonts w:hint="eastAsia"/>
                <w:color w:val="auto"/>
                <w:sz w:val="21"/>
                <w:szCs w:val="21"/>
              </w:rPr>
              <w:t>(</w:t>
            </w:r>
            <w:r>
              <w:rPr>
                <w:color w:val="auto"/>
                <w:sz w:val="24"/>
                <w:szCs w:val="24"/>
              </w:rPr>
              <w:t>m</w:t>
            </w:r>
            <w:r>
              <w:rPr>
                <w:color w:val="auto"/>
                <w:sz w:val="24"/>
                <w:szCs w:val="24"/>
                <w:vertAlign w:val="superscript"/>
              </w:rPr>
              <w:t>3</w:t>
            </w:r>
            <w:r>
              <w:rPr>
                <w:color w:val="auto"/>
                <w:sz w:val="24"/>
                <w:szCs w:val="24"/>
              </w:rPr>
              <w:t>/d</w:t>
            </w:r>
            <w:r>
              <w:rPr>
                <w:rFonts w:hint="eastAsia"/>
                <w:color w:val="auto"/>
                <w:sz w:val="21"/>
                <w:szCs w:val="21"/>
              </w:rPr>
              <w:t>)</w:t>
            </w:r>
          </w:p>
        </w:tc>
        <w:tc>
          <w:tcPr>
            <w:tcW w:w="3525" w:type="dxa"/>
            <w:noWrap w:val="0"/>
            <w:vAlign w:val="center"/>
          </w:tcPr>
          <w:p>
            <w:pPr>
              <w:ind w:firstLine="458"/>
              <w:jc w:val="center"/>
              <w:rPr>
                <w:rFonts w:hint="eastAsia"/>
                <w:color w:val="auto"/>
                <w:sz w:val="21"/>
                <w:szCs w:val="21"/>
              </w:rPr>
            </w:pPr>
            <w:r>
              <w:rPr>
                <w:rFonts w:hint="eastAsia"/>
                <w:color w:val="auto"/>
                <w:sz w:val="21"/>
                <w:szCs w:val="21"/>
              </w:rPr>
              <w:t>总</w:t>
            </w:r>
            <w:r>
              <w:rPr>
                <w:color w:val="auto"/>
                <w:sz w:val="21"/>
                <w:szCs w:val="21"/>
              </w:rPr>
              <w:t>产生量</w:t>
            </w:r>
            <w:r>
              <w:rPr>
                <w:rFonts w:hint="eastAsia"/>
                <w:color w:val="auto"/>
                <w:sz w:val="21"/>
                <w:szCs w:val="21"/>
              </w:rPr>
              <w:t>(</w:t>
            </w:r>
            <w:r>
              <w:rPr>
                <w:color w:val="auto"/>
                <w:sz w:val="24"/>
                <w:szCs w:val="24"/>
              </w:rPr>
              <w:t>m</w:t>
            </w:r>
            <w:r>
              <w:rPr>
                <w:color w:val="auto"/>
                <w:sz w:val="24"/>
                <w:szCs w:val="24"/>
                <w:vertAlign w:val="superscript"/>
              </w:rPr>
              <w:t>3</w:t>
            </w:r>
            <w:r>
              <w:rPr>
                <w:color w:val="auto"/>
                <w:sz w:val="24"/>
                <w:szCs w:val="24"/>
              </w:rPr>
              <w:t>/</w:t>
            </w:r>
            <w:r>
              <w:rPr>
                <w:rFonts w:hint="eastAsia"/>
                <w:color w:val="auto"/>
                <w:sz w:val="24"/>
                <w:szCs w:val="24"/>
                <w:lang w:val="en-US" w:eastAsia="zh-CN"/>
              </w:rPr>
              <w:t>a</w:t>
            </w: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jc w:val="center"/>
              <w:rPr>
                <w:color w:val="auto"/>
                <w:sz w:val="21"/>
                <w:szCs w:val="21"/>
              </w:rPr>
            </w:pPr>
            <w:r>
              <w:rPr>
                <w:rFonts w:hint="eastAsia"/>
                <w:color w:val="auto"/>
                <w:sz w:val="21"/>
                <w:szCs w:val="21"/>
              </w:rPr>
              <w:t>含铬废水</w:t>
            </w:r>
            <w:r>
              <w:rPr>
                <w:color w:val="auto"/>
                <w:sz w:val="21"/>
                <w:szCs w:val="21"/>
              </w:rPr>
              <w:t xml:space="preserve"> </w:t>
            </w:r>
          </w:p>
        </w:tc>
        <w:tc>
          <w:tcPr>
            <w:tcW w:w="336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4.054</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1054.04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widowControl/>
              <w:autoSpaceDN w:val="0"/>
              <w:snapToGrid w:val="0"/>
              <w:jc w:val="center"/>
              <w:rPr>
                <w:color w:val="auto"/>
                <w:sz w:val="21"/>
                <w:szCs w:val="21"/>
              </w:rPr>
            </w:pPr>
            <w:r>
              <w:rPr>
                <w:rFonts w:hint="eastAsia" w:hAnsi="宋体"/>
                <w:color w:val="auto"/>
                <w:sz w:val="21"/>
                <w:szCs w:val="21"/>
              </w:rPr>
              <w:t>含氰废水</w:t>
            </w:r>
          </w:p>
        </w:tc>
        <w:tc>
          <w:tcPr>
            <w:tcW w:w="33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11.19</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2909.4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widowControl/>
              <w:autoSpaceDN w:val="0"/>
              <w:snapToGrid w:val="0"/>
              <w:jc w:val="center"/>
              <w:rPr>
                <w:color w:val="auto"/>
                <w:sz w:val="21"/>
                <w:szCs w:val="21"/>
              </w:rPr>
            </w:pPr>
            <w:r>
              <w:rPr>
                <w:rFonts w:hint="eastAsia" w:hAnsi="宋体"/>
                <w:color w:val="auto"/>
                <w:sz w:val="21"/>
                <w:szCs w:val="21"/>
              </w:rPr>
              <w:t>含镍废水</w:t>
            </w:r>
          </w:p>
        </w:tc>
        <w:tc>
          <w:tcPr>
            <w:tcW w:w="336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4.354</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1132.04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widowControl/>
              <w:autoSpaceDN w:val="0"/>
              <w:snapToGrid w:val="0"/>
              <w:jc w:val="center"/>
              <w:rPr>
                <w:rFonts w:hint="eastAsia"/>
                <w:color w:val="auto"/>
                <w:sz w:val="21"/>
                <w:szCs w:val="21"/>
              </w:rPr>
            </w:pPr>
            <w:r>
              <w:rPr>
                <w:rFonts w:hint="eastAsia" w:hAnsi="宋体"/>
                <w:color w:val="auto"/>
                <w:sz w:val="21"/>
                <w:szCs w:val="21"/>
              </w:rPr>
              <w:t>含油废水</w:t>
            </w:r>
          </w:p>
        </w:tc>
        <w:tc>
          <w:tcPr>
            <w:tcW w:w="3360" w:type="dxa"/>
            <w:noWrap w:val="0"/>
            <w:vAlign w:val="center"/>
          </w:tcPr>
          <w:p>
            <w:pPr>
              <w:autoSpaceDN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hAnsi="宋体"/>
                <w:color w:val="auto"/>
                <w:sz w:val="21"/>
                <w:szCs w:val="21"/>
                <w:lang w:val="en-US" w:eastAsia="zh-CN"/>
              </w:rPr>
              <w:t>8.116</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2110.16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widowControl/>
              <w:autoSpaceDN w:val="0"/>
              <w:snapToGrid w:val="0"/>
              <w:jc w:val="center"/>
              <w:rPr>
                <w:rFonts w:hint="eastAsia"/>
                <w:color w:val="auto"/>
                <w:sz w:val="21"/>
                <w:szCs w:val="21"/>
              </w:rPr>
            </w:pPr>
            <w:r>
              <w:rPr>
                <w:rFonts w:hint="eastAsia" w:hAnsi="宋体"/>
                <w:color w:val="auto"/>
                <w:sz w:val="21"/>
                <w:szCs w:val="21"/>
              </w:rPr>
              <w:t>综合废水</w:t>
            </w:r>
          </w:p>
        </w:tc>
        <w:tc>
          <w:tcPr>
            <w:tcW w:w="3360" w:type="dxa"/>
            <w:noWrap w:val="0"/>
            <w:vAlign w:val="center"/>
          </w:tcPr>
          <w:p>
            <w:pPr>
              <w:autoSpaceDN w:val="0"/>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hAnsi="宋体"/>
                <w:color w:val="auto"/>
                <w:sz w:val="21"/>
                <w:szCs w:val="21"/>
                <w:lang w:val="en-US" w:eastAsia="zh-CN"/>
              </w:rPr>
              <w:t>3.1</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01" w:type="dxa"/>
            <w:noWrap w:val="0"/>
            <w:vAlign w:val="center"/>
          </w:tcPr>
          <w:p>
            <w:pPr>
              <w:jc w:val="center"/>
              <w:rPr>
                <w:color w:val="auto"/>
                <w:sz w:val="21"/>
                <w:szCs w:val="21"/>
              </w:rPr>
            </w:pPr>
            <w:r>
              <w:rPr>
                <w:rFonts w:hint="eastAsia"/>
                <w:color w:val="auto"/>
                <w:sz w:val="21"/>
                <w:szCs w:val="21"/>
              </w:rPr>
              <w:t>合</w:t>
            </w:r>
            <w:r>
              <w:rPr>
                <w:color w:val="auto"/>
                <w:sz w:val="21"/>
                <w:szCs w:val="21"/>
              </w:rPr>
              <w:t>计</w:t>
            </w:r>
          </w:p>
        </w:tc>
        <w:tc>
          <w:tcPr>
            <w:tcW w:w="33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30.814</w:t>
            </w:r>
          </w:p>
        </w:tc>
        <w:tc>
          <w:tcPr>
            <w:tcW w:w="352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8011.64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86" w:type="dxa"/>
            <w:gridSpan w:val="3"/>
            <w:noWrap w:val="0"/>
            <w:vAlign w:val="center"/>
          </w:tcPr>
          <w:p>
            <w:pPr>
              <w:ind w:firstLine="458"/>
              <w:jc w:val="left"/>
              <w:rPr>
                <w:rFonts w:hint="default" w:eastAsia="宋体"/>
                <w:color w:val="auto"/>
                <w:sz w:val="21"/>
                <w:szCs w:val="21"/>
                <w:lang w:val="en-US" w:eastAsia="zh-CN"/>
              </w:rPr>
            </w:pPr>
            <w:r>
              <w:rPr>
                <w:rFonts w:hint="eastAsia"/>
                <w:color w:val="auto"/>
                <w:sz w:val="21"/>
                <w:szCs w:val="21"/>
                <w:lang w:val="en-US" w:eastAsia="zh-CN"/>
              </w:rPr>
              <w:t>注：年生产按照260天计。</w:t>
            </w:r>
          </w:p>
        </w:tc>
      </w:tr>
    </w:tbl>
    <w:p>
      <w:pPr>
        <w:keepNext w:val="0"/>
        <w:keepLines w:val="0"/>
        <w:pageBreakBefore w:val="0"/>
        <w:widowControl w:val="0"/>
        <w:kinsoku/>
        <w:wordWrap/>
        <w:overflowPunct/>
        <w:topLinePunct w:val="0"/>
        <w:autoSpaceDE/>
        <w:autoSpaceDN/>
        <w:bidi w:val="0"/>
        <w:adjustRightInd/>
        <w:snapToGrid/>
        <w:spacing w:before="0" w:beforeLines="50" w:line="240" w:lineRule="auto"/>
        <w:jc w:val="center"/>
        <w:textAlignment w:val="auto"/>
        <w:rPr>
          <w:b/>
          <w:color w:val="auto"/>
          <w:sz w:val="24"/>
        </w:rPr>
      </w:pPr>
      <w:r>
        <w:rPr>
          <w:rFonts w:hint="eastAsia"/>
          <w:b/>
          <w:color w:val="auto"/>
          <w:sz w:val="24"/>
        </w:rPr>
        <w:t>表5.2-</w:t>
      </w:r>
      <w:r>
        <w:rPr>
          <w:rFonts w:hint="eastAsia"/>
          <w:b/>
          <w:color w:val="auto"/>
          <w:sz w:val="24"/>
          <w:lang w:val="en-US" w:eastAsia="zh-CN"/>
        </w:rPr>
        <w:t>9</w:t>
      </w:r>
      <w:r>
        <w:rPr>
          <w:rFonts w:hint="eastAsia"/>
          <w:b/>
          <w:color w:val="auto"/>
          <w:sz w:val="24"/>
        </w:rPr>
        <w:t xml:space="preserve"> </w:t>
      </w:r>
      <w:r>
        <w:rPr>
          <w:rFonts w:hint="eastAsia"/>
          <w:b/>
          <w:color w:val="auto"/>
          <w:sz w:val="24"/>
          <w:lang w:val="en-US" w:eastAsia="zh-CN"/>
        </w:rPr>
        <w:t xml:space="preserve"> </w:t>
      </w:r>
      <w:r>
        <w:rPr>
          <w:rFonts w:hint="eastAsia"/>
          <w:b/>
          <w:color w:val="auto"/>
          <w:sz w:val="24"/>
        </w:rPr>
        <w:t>企业生产废水</w:t>
      </w:r>
      <w:r>
        <w:rPr>
          <w:rFonts w:hint="eastAsia"/>
          <w:b/>
          <w:color w:val="auto"/>
          <w:sz w:val="24"/>
          <w:lang w:eastAsia="zh-CN"/>
        </w:rPr>
        <w:t>产排放量</w:t>
      </w:r>
      <w:r>
        <w:rPr>
          <w:rFonts w:hint="eastAsia"/>
          <w:b/>
          <w:color w:val="auto"/>
          <w:sz w:val="24"/>
        </w:rPr>
        <w:t>一览表</w:t>
      </w:r>
    </w:p>
    <w:tbl>
      <w:tblPr>
        <w:tblStyle w:val="23"/>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615"/>
        <w:gridCol w:w="825"/>
        <w:gridCol w:w="795"/>
        <w:gridCol w:w="1080"/>
        <w:gridCol w:w="1095"/>
        <w:gridCol w:w="825"/>
        <w:gridCol w:w="885"/>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086" w:type="dxa"/>
            <w:vMerge w:val="restart"/>
            <w:tcBorders>
              <w:tl2br w:val="nil"/>
              <w:tr2bl w:val="nil"/>
            </w:tcBorders>
            <w:vAlign w:val="center"/>
          </w:tcPr>
          <w:p>
            <w:pPr>
              <w:pStyle w:val="41"/>
              <w:rPr>
                <w:rFonts w:hint="eastAsia" w:eastAsia="宋体"/>
                <w:color w:val="auto"/>
                <w:lang w:eastAsia="zh-CN"/>
              </w:rPr>
            </w:pPr>
            <w:r>
              <w:rPr>
                <w:rFonts w:hint="eastAsia"/>
                <w:color w:val="auto"/>
                <w:lang w:eastAsia="zh-CN"/>
              </w:rPr>
              <w:t>项目</w:t>
            </w:r>
          </w:p>
        </w:tc>
        <w:tc>
          <w:tcPr>
            <w:tcW w:w="7200" w:type="dxa"/>
            <w:gridSpan w:val="8"/>
            <w:tcBorders>
              <w:tl2br w:val="nil"/>
              <w:tr2bl w:val="nil"/>
            </w:tcBorders>
            <w:vAlign w:val="center"/>
          </w:tcPr>
          <w:p>
            <w:pPr>
              <w:pStyle w:val="41"/>
              <w:rPr>
                <w:color w:val="auto"/>
              </w:rPr>
            </w:pPr>
            <w:r>
              <w:rPr>
                <w:rFonts w:hint="eastAsia"/>
                <w:color w:val="auto"/>
              </w:rPr>
              <w:t>监测结果（mg/L，pH除外）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086" w:type="dxa"/>
            <w:vMerge w:val="continue"/>
            <w:tcBorders>
              <w:tl2br w:val="nil"/>
              <w:tr2bl w:val="nil"/>
            </w:tcBorders>
            <w:vAlign w:val="center"/>
          </w:tcPr>
          <w:p>
            <w:pPr>
              <w:pStyle w:val="41"/>
              <w:rPr>
                <w:color w:val="auto"/>
              </w:rPr>
            </w:pPr>
          </w:p>
        </w:tc>
        <w:tc>
          <w:tcPr>
            <w:tcW w:w="2235" w:type="dxa"/>
            <w:gridSpan w:val="3"/>
            <w:tcBorders>
              <w:tl2br w:val="nil"/>
              <w:tr2bl w:val="nil"/>
            </w:tcBorders>
            <w:vAlign w:val="center"/>
          </w:tcPr>
          <w:p>
            <w:pPr>
              <w:pStyle w:val="41"/>
              <w:rPr>
                <w:color w:val="auto"/>
              </w:rPr>
            </w:pPr>
            <w:r>
              <w:rPr>
                <w:rFonts w:hint="eastAsia"/>
                <w:color w:val="auto"/>
              </w:rPr>
              <w:t>综合废水</w:t>
            </w:r>
          </w:p>
        </w:tc>
        <w:tc>
          <w:tcPr>
            <w:tcW w:w="1080" w:type="dxa"/>
            <w:tcBorders>
              <w:tl2br w:val="nil"/>
              <w:tr2bl w:val="nil"/>
            </w:tcBorders>
            <w:vAlign w:val="center"/>
          </w:tcPr>
          <w:p>
            <w:pPr>
              <w:pStyle w:val="41"/>
              <w:rPr>
                <w:color w:val="auto"/>
              </w:rPr>
            </w:pPr>
            <w:r>
              <w:rPr>
                <w:rFonts w:hint="eastAsia"/>
                <w:color w:val="auto"/>
              </w:rPr>
              <w:t>含镍废水</w:t>
            </w:r>
          </w:p>
        </w:tc>
        <w:tc>
          <w:tcPr>
            <w:tcW w:w="1095" w:type="dxa"/>
            <w:tcBorders>
              <w:tl2br w:val="nil"/>
              <w:tr2bl w:val="nil"/>
            </w:tcBorders>
            <w:vAlign w:val="center"/>
          </w:tcPr>
          <w:p>
            <w:pPr>
              <w:pStyle w:val="41"/>
              <w:rPr>
                <w:color w:val="auto"/>
              </w:rPr>
            </w:pPr>
            <w:r>
              <w:rPr>
                <w:rFonts w:hint="eastAsia"/>
                <w:color w:val="auto"/>
              </w:rPr>
              <w:t>含油废水</w:t>
            </w:r>
          </w:p>
        </w:tc>
        <w:tc>
          <w:tcPr>
            <w:tcW w:w="1710" w:type="dxa"/>
            <w:gridSpan w:val="2"/>
            <w:tcBorders>
              <w:tl2br w:val="nil"/>
              <w:tr2bl w:val="nil"/>
            </w:tcBorders>
            <w:vAlign w:val="center"/>
          </w:tcPr>
          <w:p>
            <w:pPr>
              <w:pStyle w:val="41"/>
              <w:rPr>
                <w:color w:val="auto"/>
              </w:rPr>
            </w:pPr>
            <w:r>
              <w:rPr>
                <w:rFonts w:hint="eastAsia"/>
                <w:color w:val="auto"/>
              </w:rPr>
              <w:t>含铬废水</w:t>
            </w:r>
          </w:p>
        </w:tc>
        <w:tc>
          <w:tcPr>
            <w:tcW w:w="1080" w:type="dxa"/>
            <w:tcBorders>
              <w:tl2br w:val="nil"/>
              <w:tr2bl w:val="nil"/>
            </w:tcBorders>
            <w:vAlign w:val="center"/>
          </w:tcPr>
          <w:p>
            <w:pPr>
              <w:pStyle w:val="41"/>
              <w:rPr>
                <w:color w:val="auto"/>
              </w:rPr>
            </w:pPr>
            <w:r>
              <w:rPr>
                <w:rFonts w:hint="eastAsia"/>
                <w:color w:val="auto"/>
              </w:rPr>
              <w:t>含氰废水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086" w:type="dxa"/>
            <w:vMerge w:val="continue"/>
            <w:tcBorders>
              <w:tl2br w:val="nil"/>
              <w:tr2bl w:val="nil"/>
            </w:tcBorders>
            <w:vAlign w:val="center"/>
          </w:tcPr>
          <w:p>
            <w:pPr>
              <w:pStyle w:val="41"/>
              <w:rPr>
                <w:color w:val="auto"/>
              </w:rPr>
            </w:pPr>
          </w:p>
        </w:tc>
        <w:tc>
          <w:tcPr>
            <w:tcW w:w="615" w:type="dxa"/>
            <w:tcBorders>
              <w:tl2br w:val="nil"/>
              <w:tr2bl w:val="nil"/>
            </w:tcBorders>
            <w:vAlign w:val="center"/>
          </w:tcPr>
          <w:p>
            <w:pPr>
              <w:pStyle w:val="41"/>
              <w:rPr>
                <w:color w:val="auto"/>
              </w:rPr>
            </w:pPr>
            <w:r>
              <w:rPr>
                <w:rFonts w:hint="eastAsia"/>
                <w:color w:val="auto"/>
              </w:rPr>
              <w:t>pH</w:t>
            </w:r>
          </w:p>
        </w:tc>
        <w:tc>
          <w:tcPr>
            <w:tcW w:w="825" w:type="dxa"/>
            <w:tcBorders>
              <w:tl2br w:val="nil"/>
              <w:tr2bl w:val="nil"/>
            </w:tcBorders>
            <w:vAlign w:val="center"/>
          </w:tcPr>
          <w:p>
            <w:pPr>
              <w:pStyle w:val="41"/>
              <w:rPr>
                <w:color w:val="auto"/>
              </w:rPr>
            </w:pPr>
            <w:r>
              <w:rPr>
                <w:rFonts w:hint="eastAsia"/>
                <w:color w:val="auto"/>
              </w:rPr>
              <w:t>COD</w:t>
            </w:r>
          </w:p>
        </w:tc>
        <w:tc>
          <w:tcPr>
            <w:tcW w:w="795" w:type="dxa"/>
            <w:tcBorders>
              <w:tl2br w:val="nil"/>
              <w:tr2bl w:val="nil"/>
            </w:tcBorders>
            <w:vAlign w:val="center"/>
          </w:tcPr>
          <w:p>
            <w:pPr>
              <w:pStyle w:val="41"/>
              <w:rPr>
                <w:color w:val="auto"/>
              </w:rPr>
            </w:pPr>
            <w:r>
              <w:rPr>
                <w:rFonts w:hint="eastAsia"/>
                <w:color w:val="auto"/>
              </w:rPr>
              <w:t>氨氮</w:t>
            </w:r>
          </w:p>
        </w:tc>
        <w:tc>
          <w:tcPr>
            <w:tcW w:w="1080" w:type="dxa"/>
            <w:tcBorders>
              <w:tl2br w:val="nil"/>
              <w:tr2bl w:val="nil"/>
            </w:tcBorders>
            <w:vAlign w:val="center"/>
          </w:tcPr>
          <w:p>
            <w:pPr>
              <w:pStyle w:val="41"/>
              <w:rPr>
                <w:color w:val="auto"/>
              </w:rPr>
            </w:pPr>
            <w:r>
              <w:rPr>
                <w:rFonts w:hint="eastAsia"/>
                <w:color w:val="auto"/>
              </w:rPr>
              <w:t>总镍</w:t>
            </w:r>
          </w:p>
        </w:tc>
        <w:tc>
          <w:tcPr>
            <w:tcW w:w="1095" w:type="dxa"/>
            <w:tcBorders>
              <w:tl2br w:val="nil"/>
              <w:tr2bl w:val="nil"/>
            </w:tcBorders>
            <w:vAlign w:val="center"/>
          </w:tcPr>
          <w:p>
            <w:pPr>
              <w:pStyle w:val="41"/>
              <w:rPr>
                <w:color w:val="auto"/>
              </w:rPr>
            </w:pPr>
            <w:r>
              <w:rPr>
                <w:rFonts w:hint="eastAsia"/>
                <w:color w:val="auto"/>
              </w:rPr>
              <w:t>石油类</w:t>
            </w:r>
          </w:p>
        </w:tc>
        <w:tc>
          <w:tcPr>
            <w:tcW w:w="825" w:type="dxa"/>
            <w:tcBorders>
              <w:tl2br w:val="nil"/>
              <w:tr2bl w:val="nil"/>
            </w:tcBorders>
            <w:vAlign w:val="center"/>
          </w:tcPr>
          <w:p>
            <w:pPr>
              <w:pStyle w:val="41"/>
              <w:rPr>
                <w:color w:val="auto"/>
              </w:rPr>
            </w:pPr>
            <w:r>
              <w:rPr>
                <w:rFonts w:hint="eastAsia"/>
                <w:color w:val="auto"/>
              </w:rPr>
              <w:t>总铬</w:t>
            </w:r>
          </w:p>
        </w:tc>
        <w:tc>
          <w:tcPr>
            <w:tcW w:w="885" w:type="dxa"/>
            <w:tcBorders>
              <w:tl2br w:val="nil"/>
              <w:tr2bl w:val="nil"/>
            </w:tcBorders>
            <w:vAlign w:val="center"/>
          </w:tcPr>
          <w:p>
            <w:pPr>
              <w:pStyle w:val="41"/>
              <w:rPr>
                <w:color w:val="auto"/>
              </w:rPr>
            </w:pPr>
            <w:r>
              <w:rPr>
                <w:rFonts w:hint="eastAsia"/>
                <w:color w:val="auto"/>
              </w:rPr>
              <w:t>六价铬</w:t>
            </w:r>
          </w:p>
        </w:tc>
        <w:tc>
          <w:tcPr>
            <w:tcW w:w="1080" w:type="dxa"/>
            <w:tcBorders>
              <w:tl2br w:val="nil"/>
              <w:tr2bl w:val="nil"/>
            </w:tcBorders>
            <w:vAlign w:val="center"/>
          </w:tcPr>
          <w:p>
            <w:pPr>
              <w:pStyle w:val="41"/>
              <w:rPr>
                <w:color w:val="auto"/>
              </w:rPr>
            </w:pPr>
            <w:r>
              <w:rPr>
                <w:rFonts w:hint="eastAsia"/>
                <w:color w:val="auto"/>
              </w:rPr>
              <w:t>总氰化物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color w:val="auto"/>
              </w:rPr>
            </w:pPr>
            <w:r>
              <w:rPr>
                <w:rFonts w:hint="eastAsia"/>
                <w:color w:val="auto"/>
                <w:lang w:eastAsia="zh-CN"/>
              </w:rPr>
              <w:t>监测浓度</w:t>
            </w:r>
            <w:r>
              <w:rPr>
                <w:rFonts w:hint="eastAsia"/>
                <w:color w:val="auto"/>
              </w:rPr>
              <w:t>最大值</w:t>
            </w:r>
          </w:p>
        </w:tc>
        <w:tc>
          <w:tcPr>
            <w:tcW w:w="615" w:type="dxa"/>
            <w:tcBorders>
              <w:tl2br w:val="nil"/>
              <w:tr2bl w:val="nil"/>
            </w:tcBorders>
            <w:vAlign w:val="center"/>
          </w:tcPr>
          <w:p>
            <w:pPr>
              <w:pStyle w:val="41"/>
              <w:rPr>
                <w:color w:val="auto"/>
              </w:rPr>
            </w:pPr>
            <w:r>
              <w:rPr>
                <w:rFonts w:hint="eastAsia"/>
                <w:color w:val="auto"/>
              </w:rPr>
              <w:t>8.76</w:t>
            </w:r>
          </w:p>
        </w:tc>
        <w:tc>
          <w:tcPr>
            <w:tcW w:w="825" w:type="dxa"/>
            <w:tcBorders>
              <w:tl2br w:val="nil"/>
              <w:tr2bl w:val="nil"/>
            </w:tcBorders>
            <w:vAlign w:val="center"/>
          </w:tcPr>
          <w:p>
            <w:pPr>
              <w:pStyle w:val="41"/>
              <w:rPr>
                <w:color w:val="auto"/>
              </w:rPr>
            </w:pPr>
            <w:r>
              <w:rPr>
                <w:rFonts w:hint="eastAsia"/>
                <w:color w:val="auto"/>
              </w:rPr>
              <w:t>156</w:t>
            </w:r>
          </w:p>
        </w:tc>
        <w:tc>
          <w:tcPr>
            <w:tcW w:w="795" w:type="dxa"/>
            <w:tcBorders>
              <w:tl2br w:val="nil"/>
              <w:tr2bl w:val="nil"/>
            </w:tcBorders>
            <w:vAlign w:val="center"/>
          </w:tcPr>
          <w:p>
            <w:pPr>
              <w:pStyle w:val="41"/>
              <w:rPr>
                <w:color w:val="auto"/>
              </w:rPr>
            </w:pPr>
            <w:r>
              <w:rPr>
                <w:rFonts w:hint="eastAsia"/>
                <w:color w:val="auto"/>
              </w:rPr>
              <w:t>16.9</w:t>
            </w:r>
          </w:p>
        </w:tc>
        <w:tc>
          <w:tcPr>
            <w:tcW w:w="1080" w:type="dxa"/>
            <w:tcBorders>
              <w:right w:val="single" w:color="000000" w:sz="4" w:space="0"/>
              <w:tl2br w:val="nil"/>
              <w:tr2bl w:val="nil"/>
            </w:tcBorders>
            <w:vAlign w:val="center"/>
          </w:tcPr>
          <w:p>
            <w:pPr>
              <w:pStyle w:val="41"/>
              <w:rPr>
                <w:color w:val="auto"/>
              </w:rPr>
            </w:pPr>
            <w:r>
              <w:rPr>
                <w:rFonts w:hint="eastAsia"/>
                <w:color w:val="auto"/>
              </w:rPr>
              <w:t>75.6</w:t>
            </w:r>
          </w:p>
        </w:tc>
        <w:tc>
          <w:tcPr>
            <w:tcW w:w="1095" w:type="dxa"/>
            <w:tcBorders>
              <w:left w:val="single" w:color="000000" w:sz="4" w:space="0"/>
              <w:right w:val="single" w:color="000000" w:sz="4" w:space="0"/>
              <w:tl2br w:val="nil"/>
              <w:tr2bl w:val="nil"/>
            </w:tcBorders>
            <w:vAlign w:val="center"/>
          </w:tcPr>
          <w:p>
            <w:pPr>
              <w:pStyle w:val="41"/>
              <w:rPr>
                <w:color w:val="auto"/>
              </w:rPr>
            </w:pPr>
            <w:r>
              <w:rPr>
                <w:rFonts w:hint="eastAsia"/>
                <w:color w:val="auto"/>
              </w:rPr>
              <w:t>37.7</w:t>
            </w:r>
          </w:p>
        </w:tc>
        <w:tc>
          <w:tcPr>
            <w:tcW w:w="825" w:type="dxa"/>
            <w:tcBorders>
              <w:left w:val="single" w:color="000000" w:sz="4" w:space="0"/>
              <w:right w:val="single" w:color="000000" w:sz="4" w:space="0"/>
              <w:tl2br w:val="nil"/>
              <w:tr2bl w:val="nil"/>
            </w:tcBorders>
            <w:vAlign w:val="center"/>
          </w:tcPr>
          <w:p>
            <w:pPr>
              <w:pStyle w:val="41"/>
              <w:rPr>
                <w:color w:val="auto"/>
              </w:rPr>
            </w:pPr>
            <w:r>
              <w:rPr>
                <w:rFonts w:hint="eastAsia"/>
                <w:color w:val="auto"/>
              </w:rPr>
              <w:t>37.2</w:t>
            </w:r>
          </w:p>
        </w:tc>
        <w:tc>
          <w:tcPr>
            <w:tcW w:w="885" w:type="dxa"/>
            <w:tcBorders>
              <w:left w:val="single" w:color="000000" w:sz="4" w:space="0"/>
              <w:right w:val="single" w:color="000000" w:sz="4" w:space="0"/>
              <w:tl2br w:val="nil"/>
              <w:tr2bl w:val="nil"/>
            </w:tcBorders>
            <w:vAlign w:val="center"/>
          </w:tcPr>
          <w:p>
            <w:pPr>
              <w:pStyle w:val="41"/>
              <w:rPr>
                <w:color w:val="auto"/>
              </w:rPr>
            </w:pPr>
            <w:r>
              <w:rPr>
                <w:rFonts w:hint="eastAsia"/>
                <w:color w:val="auto"/>
              </w:rPr>
              <w:t>0.041</w:t>
            </w:r>
          </w:p>
        </w:tc>
        <w:tc>
          <w:tcPr>
            <w:tcW w:w="1080" w:type="dxa"/>
            <w:tcBorders>
              <w:left w:val="single" w:color="000000" w:sz="4" w:space="0"/>
              <w:tl2br w:val="nil"/>
              <w:tr2bl w:val="nil"/>
            </w:tcBorders>
            <w:vAlign w:val="center"/>
          </w:tcPr>
          <w:p>
            <w:pPr>
              <w:pStyle w:val="41"/>
              <w:rPr>
                <w:color w:val="auto"/>
              </w:rPr>
            </w:pPr>
            <w:r>
              <w:rPr>
                <w:rFonts w:hint="eastAsia"/>
                <w:color w:val="auto"/>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color w:val="auto"/>
              </w:rPr>
            </w:pPr>
            <w:r>
              <w:rPr>
                <w:rFonts w:hint="eastAsia"/>
                <w:color w:val="auto"/>
              </w:rPr>
              <w:t>水量（t/a）</w:t>
            </w:r>
          </w:p>
        </w:tc>
        <w:tc>
          <w:tcPr>
            <w:tcW w:w="2235" w:type="dxa"/>
            <w:gridSpan w:val="3"/>
            <w:tcBorders>
              <w:right w:val="single" w:color="000000" w:sz="4" w:space="0"/>
              <w:tl2br w:val="nil"/>
              <w:tr2bl w:val="nil"/>
            </w:tcBorders>
            <w:vAlign w:val="center"/>
          </w:tcPr>
          <w:p>
            <w:pPr>
              <w:pStyle w:val="41"/>
              <w:rPr>
                <w:rFonts w:hint="default"/>
                <w:color w:val="auto"/>
                <w:lang w:val="en-US"/>
              </w:rPr>
            </w:pPr>
            <w:r>
              <w:rPr>
                <w:rFonts w:hint="eastAsia" w:cs="Times New Roman"/>
                <w:i w:val="0"/>
                <w:color w:val="auto"/>
                <w:kern w:val="0"/>
                <w:sz w:val="21"/>
                <w:szCs w:val="21"/>
                <w:u w:val="none"/>
                <w:lang w:val="en-US" w:eastAsia="zh-CN" w:bidi="ar"/>
              </w:rPr>
              <w:t>806</w:t>
            </w:r>
          </w:p>
        </w:tc>
        <w:tc>
          <w:tcPr>
            <w:tcW w:w="1080" w:type="dxa"/>
            <w:tcBorders>
              <w:left w:val="single" w:color="000000" w:sz="4" w:space="0"/>
              <w:right w:val="single" w:color="000000" w:sz="4" w:space="0"/>
              <w:tl2br w:val="nil"/>
              <w:tr2bl w:val="nil"/>
            </w:tcBorders>
            <w:vAlign w:val="center"/>
          </w:tcPr>
          <w:p>
            <w:pPr>
              <w:pStyle w:val="41"/>
              <w:rPr>
                <w:color w:val="auto"/>
              </w:rPr>
            </w:pPr>
            <w:r>
              <w:rPr>
                <w:rFonts w:hint="default" w:ascii="Times New Roman" w:hAnsi="Times New Roman" w:eastAsia="宋体" w:cs="Times New Roman"/>
                <w:i w:val="0"/>
                <w:color w:val="auto"/>
                <w:kern w:val="0"/>
                <w:sz w:val="21"/>
                <w:szCs w:val="21"/>
                <w:u w:val="none"/>
                <w:lang w:val="en-US" w:eastAsia="zh-CN" w:bidi="ar"/>
              </w:rPr>
              <w:t>1132.04</w:t>
            </w:r>
          </w:p>
        </w:tc>
        <w:tc>
          <w:tcPr>
            <w:tcW w:w="1095" w:type="dxa"/>
            <w:tcBorders>
              <w:left w:val="single" w:color="000000" w:sz="4" w:space="0"/>
              <w:right w:val="single" w:color="000000" w:sz="4" w:space="0"/>
              <w:tl2br w:val="nil"/>
              <w:tr2bl w:val="nil"/>
            </w:tcBorders>
            <w:vAlign w:val="center"/>
          </w:tcPr>
          <w:p>
            <w:pPr>
              <w:pStyle w:val="41"/>
              <w:rPr>
                <w:color w:val="auto"/>
              </w:rPr>
            </w:pPr>
            <w:r>
              <w:rPr>
                <w:rFonts w:hint="default" w:ascii="Times New Roman" w:hAnsi="Times New Roman" w:eastAsia="宋体" w:cs="Times New Roman"/>
                <w:i w:val="0"/>
                <w:color w:val="auto"/>
                <w:kern w:val="0"/>
                <w:sz w:val="21"/>
                <w:szCs w:val="21"/>
                <w:u w:val="none"/>
                <w:lang w:val="en-US" w:eastAsia="zh-CN" w:bidi="ar"/>
              </w:rPr>
              <w:t>2110.16</w:t>
            </w:r>
          </w:p>
        </w:tc>
        <w:tc>
          <w:tcPr>
            <w:tcW w:w="1710" w:type="dxa"/>
            <w:gridSpan w:val="2"/>
            <w:tcBorders>
              <w:left w:val="single" w:color="000000" w:sz="4" w:space="0"/>
              <w:right w:val="single" w:color="000000" w:sz="4" w:space="0"/>
              <w:tl2br w:val="nil"/>
              <w:tr2bl w:val="nil"/>
            </w:tcBorders>
            <w:vAlign w:val="center"/>
          </w:tcPr>
          <w:p>
            <w:pPr>
              <w:widowControl/>
              <w:jc w:val="center"/>
              <w:textAlignment w:val="center"/>
              <w:rPr>
                <w:color w:val="auto"/>
              </w:rPr>
            </w:pPr>
            <w:r>
              <w:rPr>
                <w:rFonts w:hint="default" w:ascii="Times New Roman" w:hAnsi="Times New Roman" w:eastAsia="宋体" w:cs="Times New Roman"/>
                <w:i w:val="0"/>
                <w:color w:val="auto"/>
                <w:kern w:val="0"/>
                <w:sz w:val="21"/>
                <w:szCs w:val="21"/>
                <w:u w:val="none"/>
                <w:lang w:val="en-US" w:eastAsia="zh-CN" w:bidi="ar"/>
              </w:rPr>
              <w:t>1054.04</w:t>
            </w:r>
          </w:p>
        </w:tc>
        <w:tc>
          <w:tcPr>
            <w:tcW w:w="1080" w:type="dxa"/>
            <w:tcBorders>
              <w:left w:val="single" w:color="000000" w:sz="4" w:space="0"/>
              <w:tl2br w:val="nil"/>
              <w:tr2bl w:val="nil"/>
            </w:tcBorders>
            <w:vAlign w:val="center"/>
          </w:tcPr>
          <w:p>
            <w:pPr>
              <w:pStyle w:val="41"/>
              <w:rPr>
                <w:color w:val="auto"/>
              </w:rPr>
            </w:pPr>
            <w:r>
              <w:rPr>
                <w:rFonts w:hint="default" w:ascii="Times New Roman" w:hAnsi="Times New Roman" w:eastAsia="宋体" w:cs="Times New Roman"/>
                <w:i w:val="0"/>
                <w:color w:val="auto"/>
                <w:kern w:val="0"/>
                <w:sz w:val="21"/>
                <w:szCs w:val="21"/>
                <w:u w:val="none"/>
                <w:lang w:val="en-US" w:eastAsia="zh-CN" w:bidi="ar"/>
              </w:rPr>
              <w:t>2909.4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color w:val="auto"/>
              </w:rPr>
            </w:pPr>
            <w:r>
              <w:rPr>
                <w:rFonts w:hint="eastAsia"/>
                <w:color w:val="auto"/>
              </w:rPr>
              <w:t>污染物产生</w:t>
            </w:r>
            <w:r>
              <w:rPr>
                <w:rFonts w:hint="eastAsia"/>
                <w:color w:val="auto"/>
                <w:lang w:eastAsia="zh-CN"/>
              </w:rPr>
              <w:t>量</w:t>
            </w:r>
            <w:r>
              <w:rPr>
                <w:rFonts w:hint="eastAsia"/>
                <w:color w:val="auto"/>
              </w:rPr>
              <w:t>（kg/a）</w:t>
            </w:r>
          </w:p>
        </w:tc>
        <w:tc>
          <w:tcPr>
            <w:tcW w:w="615" w:type="dxa"/>
            <w:tcBorders>
              <w:tl2br w:val="nil"/>
              <w:tr2bl w:val="nil"/>
            </w:tcBorders>
            <w:vAlign w:val="center"/>
          </w:tcPr>
          <w:p>
            <w:pPr>
              <w:widowControl/>
              <w:jc w:val="center"/>
              <w:textAlignment w:val="center"/>
              <w:rPr>
                <w:color w:val="auto"/>
              </w:rPr>
            </w:pPr>
            <w:r>
              <w:rPr>
                <w:rFonts w:hint="eastAsia"/>
                <w:color w:val="auto"/>
              </w:rPr>
              <w:t>-</w:t>
            </w:r>
          </w:p>
        </w:tc>
        <w:tc>
          <w:tcPr>
            <w:tcW w:w="825"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125.74 </w:t>
            </w:r>
          </w:p>
        </w:tc>
        <w:tc>
          <w:tcPr>
            <w:tcW w:w="795" w:type="dxa"/>
            <w:tcBorders>
              <w:right w:val="single" w:color="000000" w:sz="4" w:space="0"/>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13.62 </w:t>
            </w:r>
          </w:p>
        </w:tc>
        <w:tc>
          <w:tcPr>
            <w:tcW w:w="1080" w:type="dxa"/>
            <w:tcBorders>
              <w:left w:val="single" w:color="000000" w:sz="4" w:space="0"/>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85.58</w:t>
            </w:r>
          </w:p>
        </w:tc>
        <w:tc>
          <w:tcPr>
            <w:tcW w:w="1095"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79.55 </w:t>
            </w:r>
          </w:p>
        </w:tc>
        <w:tc>
          <w:tcPr>
            <w:tcW w:w="825" w:type="dxa"/>
            <w:tcBorders>
              <w:tl2br w:val="nil"/>
              <w:tr2bl w:val="nil"/>
            </w:tcBorders>
            <w:vAlign w:val="center"/>
          </w:tcPr>
          <w:p>
            <w:pPr>
              <w:keepNext w:val="0"/>
              <w:keepLines w:val="0"/>
              <w:widowControl/>
              <w:suppressLineNumbers w:val="0"/>
              <w:jc w:val="right"/>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39.21</w:t>
            </w:r>
          </w:p>
        </w:tc>
        <w:tc>
          <w:tcPr>
            <w:tcW w:w="885"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0.043</w:t>
            </w:r>
          </w:p>
        </w:tc>
        <w:tc>
          <w:tcPr>
            <w:tcW w:w="1080" w:type="dxa"/>
            <w:tcBorders>
              <w:tl2br w:val="nil"/>
              <w:tr2bl w:val="nil"/>
            </w:tcBorders>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rFonts w:hint="eastAsia"/>
                <w:color w:val="auto"/>
                <w:lang w:eastAsia="zh-CN"/>
              </w:rPr>
            </w:pPr>
            <w:r>
              <w:rPr>
                <w:rFonts w:hint="eastAsia"/>
                <w:color w:val="auto"/>
                <w:lang w:eastAsia="zh-CN"/>
              </w:rPr>
              <w:t>集控中心废水</w:t>
            </w:r>
          </w:p>
          <w:p>
            <w:pPr>
              <w:pStyle w:val="41"/>
              <w:rPr>
                <w:rFonts w:hint="eastAsia" w:eastAsia="宋体"/>
                <w:color w:val="auto"/>
                <w:lang w:eastAsia="zh-CN"/>
              </w:rPr>
            </w:pPr>
            <w:r>
              <w:rPr>
                <w:rFonts w:hint="eastAsia"/>
                <w:color w:val="auto"/>
                <w:lang w:eastAsia="zh-CN"/>
              </w:rPr>
              <w:t>外排浓度</w:t>
            </w:r>
          </w:p>
        </w:tc>
        <w:tc>
          <w:tcPr>
            <w:tcW w:w="615" w:type="dxa"/>
            <w:tcBorders>
              <w:tl2br w:val="nil"/>
              <w:tr2bl w:val="nil"/>
            </w:tcBorders>
            <w:vAlign w:val="center"/>
          </w:tcPr>
          <w:p>
            <w:pPr>
              <w:widowControl/>
              <w:jc w:val="center"/>
              <w:textAlignment w:val="center"/>
              <w:rPr>
                <w:rFonts w:hint="eastAsia" w:eastAsia="宋体"/>
                <w:color w:val="auto"/>
                <w:lang w:val="en-US" w:eastAsia="zh-CN"/>
              </w:rPr>
            </w:pPr>
            <w:r>
              <w:rPr>
                <w:rFonts w:hint="eastAsia"/>
                <w:color w:val="auto"/>
                <w:lang w:val="en-US" w:eastAsia="zh-CN"/>
              </w:rPr>
              <w:t>-</w:t>
            </w:r>
          </w:p>
        </w:tc>
        <w:tc>
          <w:tcPr>
            <w:tcW w:w="825" w:type="dxa"/>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500</w:t>
            </w:r>
          </w:p>
        </w:tc>
        <w:tc>
          <w:tcPr>
            <w:tcW w:w="795" w:type="dxa"/>
            <w:tcBorders>
              <w:right w:val="single" w:color="000000" w:sz="4" w:space="0"/>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120</w:t>
            </w:r>
          </w:p>
        </w:tc>
        <w:tc>
          <w:tcPr>
            <w:tcW w:w="1080" w:type="dxa"/>
            <w:tcBorders>
              <w:left w:val="single" w:color="000000" w:sz="4" w:space="0"/>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0.5</w:t>
            </w:r>
          </w:p>
        </w:tc>
        <w:tc>
          <w:tcPr>
            <w:tcW w:w="1095" w:type="dxa"/>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3.0</w:t>
            </w:r>
          </w:p>
        </w:tc>
        <w:tc>
          <w:tcPr>
            <w:tcW w:w="825" w:type="dxa"/>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1.0</w:t>
            </w:r>
          </w:p>
        </w:tc>
        <w:tc>
          <w:tcPr>
            <w:tcW w:w="885" w:type="dxa"/>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0.2</w:t>
            </w:r>
          </w:p>
        </w:tc>
        <w:tc>
          <w:tcPr>
            <w:tcW w:w="1080" w:type="dxa"/>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rFonts w:hint="eastAsia"/>
                <w:color w:val="auto"/>
              </w:rPr>
            </w:pPr>
            <w:r>
              <w:rPr>
                <w:rFonts w:hint="eastAsia"/>
                <w:color w:val="auto"/>
              </w:rPr>
              <w:t>污染物</w:t>
            </w:r>
            <w:r>
              <w:rPr>
                <w:rFonts w:hint="eastAsia"/>
                <w:color w:val="auto"/>
                <w:lang w:eastAsia="zh-CN"/>
              </w:rPr>
              <w:t>外排文渡污水处理厂排放</w:t>
            </w:r>
            <w:r>
              <w:rPr>
                <w:rFonts w:hint="eastAsia"/>
                <w:color w:val="auto"/>
              </w:rPr>
              <w:t>量</w:t>
            </w:r>
            <w:r>
              <w:rPr>
                <w:rFonts w:hint="default" w:ascii="Calibri" w:hAnsi="Calibri" w:cs="Calibri"/>
                <w:color w:val="auto"/>
                <w:vertAlign w:val="superscript"/>
              </w:rPr>
              <w:t>①</w:t>
            </w:r>
            <w:r>
              <w:rPr>
                <w:rFonts w:hint="eastAsia"/>
                <w:color w:val="auto"/>
              </w:rPr>
              <w:t>（kg/a）</w:t>
            </w:r>
          </w:p>
        </w:tc>
        <w:tc>
          <w:tcPr>
            <w:tcW w:w="615" w:type="dxa"/>
            <w:tcBorders>
              <w:tl2br w:val="nil"/>
              <w:tr2bl w:val="nil"/>
            </w:tcBorders>
            <w:vAlign w:val="center"/>
          </w:tcPr>
          <w:p>
            <w:pPr>
              <w:widowControl/>
              <w:jc w:val="center"/>
              <w:textAlignment w:val="center"/>
              <w:rPr>
                <w:rFonts w:hint="eastAsia" w:eastAsia="宋体"/>
                <w:color w:val="auto"/>
                <w:lang w:val="en-US" w:eastAsia="zh-CN"/>
              </w:rPr>
            </w:pPr>
            <w:r>
              <w:rPr>
                <w:rFonts w:hint="eastAsia"/>
                <w:color w:val="auto"/>
                <w:lang w:val="en-US" w:eastAsia="zh-CN"/>
              </w:rPr>
              <w:t>-</w:t>
            </w:r>
          </w:p>
        </w:tc>
        <w:tc>
          <w:tcPr>
            <w:tcW w:w="825" w:type="dxa"/>
            <w:tcBorders>
              <w:tl2br w:val="nil"/>
              <w:tr2bl w:val="nil"/>
            </w:tcBorders>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 xml:space="preserve">125.74 </w:t>
            </w:r>
          </w:p>
        </w:tc>
        <w:tc>
          <w:tcPr>
            <w:tcW w:w="795" w:type="dxa"/>
            <w:tcBorders>
              <w:right w:val="single" w:color="000000" w:sz="4" w:space="0"/>
              <w:tl2br w:val="nil"/>
              <w:tr2bl w:val="nil"/>
            </w:tcBorders>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 xml:space="preserve">13.62 </w:t>
            </w:r>
          </w:p>
        </w:tc>
        <w:tc>
          <w:tcPr>
            <w:tcW w:w="108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eastAsia="宋体"/>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0.566 </w:t>
            </w:r>
          </w:p>
        </w:tc>
        <w:tc>
          <w:tcPr>
            <w:tcW w:w="1095" w:type="dxa"/>
            <w:tcBorders>
              <w:tl2br w:val="nil"/>
              <w:tr2bl w:val="nil"/>
            </w:tcBorders>
            <w:vAlign w:val="center"/>
          </w:tcPr>
          <w:p>
            <w:pPr>
              <w:keepNext w:val="0"/>
              <w:keepLines w:val="0"/>
              <w:widowControl/>
              <w:suppressLineNumbers w:val="0"/>
              <w:jc w:val="center"/>
              <w:textAlignment w:val="center"/>
              <w:rPr>
                <w:rFonts w:hint="default" w:eastAsia="宋体"/>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6.330 </w:t>
            </w:r>
          </w:p>
        </w:tc>
        <w:tc>
          <w:tcPr>
            <w:tcW w:w="825" w:type="dxa"/>
            <w:tcBorders>
              <w:tl2br w:val="nil"/>
              <w:tr2bl w:val="nil"/>
            </w:tcBorders>
            <w:vAlign w:val="center"/>
          </w:tcPr>
          <w:p>
            <w:pPr>
              <w:keepNext w:val="0"/>
              <w:keepLines w:val="0"/>
              <w:widowControl/>
              <w:suppressLineNumbers w:val="0"/>
              <w:jc w:val="center"/>
              <w:textAlignment w:val="center"/>
              <w:rPr>
                <w:rFonts w:hint="default" w:eastAsia="宋体"/>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1.054 </w:t>
            </w:r>
          </w:p>
        </w:tc>
        <w:tc>
          <w:tcPr>
            <w:tcW w:w="885" w:type="dxa"/>
            <w:tcBorders>
              <w:tl2br w:val="nil"/>
              <w:tr2bl w:val="nil"/>
            </w:tcBorders>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 xml:space="preserve">0.211 </w:t>
            </w:r>
          </w:p>
        </w:tc>
        <w:tc>
          <w:tcPr>
            <w:tcW w:w="1080" w:type="dxa"/>
            <w:tcBorders>
              <w:tl2br w:val="nil"/>
              <w:tr2bl w:val="nil"/>
            </w:tcBorders>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 xml:space="preserve">0.873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rFonts w:hint="default"/>
                <w:color w:val="auto"/>
                <w:lang w:val="en-US" w:eastAsia="zh-CN"/>
              </w:rPr>
            </w:pPr>
            <w:r>
              <w:rPr>
                <w:rFonts w:hint="eastAsia"/>
                <w:color w:val="auto"/>
                <w:lang w:val="en-US" w:eastAsia="zh-CN"/>
              </w:rPr>
              <w:t>排放指文渡污水处理厂水量</w:t>
            </w:r>
            <w:r>
              <w:rPr>
                <w:rFonts w:hint="default" w:ascii="Calibri" w:hAnsi="Calibri" w:cs="Calibri"/>
                <w:color w:val="auto"/>
                <w:vertAlign w:val="superscript"/>
                <w:lang w:val="en-US" w:eastAsia="zh-CN"/>
              </w:rPr>
              <w:t>②</w:t>
            </w:r>
            <w:r>
              <w:rPr>
                <w:rFonts w:hint="eastAsia"/>
                <w:color w:val="auto"/>
              </w:rPr>
              <w:t>（t/a）</w:t>
            </w:r>
          </w:p>
        </w:tc>
        <w:tc>
          <w:tcPr>
            <w:tcW w:w="2235" w:type="dxa"/>
            <w:gridSpan w:val="3"/>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403</w:t>
            </w:r>
          </w:p>
        </w:tc>
        <w:tc>
          <w:tcPr>
            <w:tcW w:w="108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566.02</w:t>
            </w:r>
          </w:p>
        </w:tc>
        <w:tc>
          <w:tcPr>
            <w:tcW w:w="10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1055.08</w:t>
            </w:r>
          </w:p>
        </w:tc>
        <w:tc>
          <w:tcPr>
            <w:tcW w:w="1710"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527.02</w:t>
            </w: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1454.7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rFonts w:hint="eastAsia" w:eastAsia="宋体"/>
                <w:color w:val="auto"/>
                <w:lang w:eastAsia="zh-CN"/>
              </w:rPr>
            </w:pPr>
            <w:r>
              <w:rPr>
                <w:rFonts w:hint="eastAsia"/>
                <w:color w:val="auto"/>
                <w:lang w:eastAsia="zh-CN"/>
              </w:rPr>
              <w:t>文渡污水处理厂外排浓度</w:t>
            </w:r>
            <w:r>
              <w:rPr>
                <w:rFonts w:hint="default" w:ascii="Calibri" w:hAnsi="Calibri" w:cs="Calibri"/>
                <w:color w:val="auto"/>
                <w:vertAlign w:val="superscript"/>
                <w:lang w:eastAsia="zh-CN"/>
              </w:rPr>
              <w:t>③</w:t>
            </w:r>
          </w:p>
        </w:tc>
        <w:tc>
          <w:tcPr>
            <w:tcW w:w="615" w:type="dxa"/>
            <w:tcBorders>
              <w:tl2br w:val="nil"/>
              <w:tr2bl w:val="nil"/>
            </w:tcBorders>
            <w:vAlign w:val="center"/>
          </w:tcPr>
          <w:p>
            <w:pPr>
              <w:widowControl/>
              <w:jc w:val="center"/>
              <w:textAlignment w:val="center"/>
              <w:rPr>
                <w:rFonts w:hint="eastAsia"/>
                <w:color w:val="auto"/>
                <w:lang w:val="en-US" w:eastAsia="zh-CN"/>
              </w:rPr>
            </w:pPr>
            <w:r>
              <w:rPr>
                <w:rFonts w:hint="eastAsia"/>
                <w:color w:val="auto"/>
                <w:lang w:val="en-US" w:eastAsia="zh-CN"/>
              </w:rPr>
              <w:t>-</w:t>
            </w:r>
          </w:p>
        </w:tc>
        <w:tc>
          <w:tcPr>
            <w:tcW w:w="825" w:type="dxa"/>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60</w:t>
            </w:r>
          </w:p>
        </w:tc>
        <w:tc>
          <w:tcPr>
            <w:tcW w:w="795" w:type="dxa"/>
            <w:tcBorders>
              <w:right w:val="single" w:color="000000" w:sz="4" w:space="0"/>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15</w:t>
            </w:r>
          </w:p>
        </w:tc>
        <w:tc>
          <w:tcPr>
            <w:tcW w:w="1080" w:type="dxa"/>
            <w:tcBorders>
              <w:left w:val="single" w:color="000000" w:sz="4" w:space="0"/>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lang w:val="en-US" w:eastAsia="zh-CN"/>
              </w:rPr>
              <w:t>-</w:t>
            </w:r>
          </w:p>
        </w:tc>
        <w:tc>
          <w:tcPr>
            <w:tcW w:w="1095" w:type="dxa"/>
            <w:tcBorders>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lang w:val="en-US" w:eastAsia="zh-CN"/>
              </w:rPr>
              <w:t>-</w:t>
            </w:r>
          </w:p>
        </w:tc>
        <w:tc>
          <w:tcPr>
            <w:tcW w:w="825" w:type="dxa"/>
            <w:tcBorders>
              <w:tl2br w:val="nil"/>
              <w:tr2bl w:val="nil"/>
            </w:tcBorders>
            <w:vAlign w:val="center"/>
          </w:tcPr>
          <w:p>
            <w:pPr>
              <w:widowControl/>
              <w:jc w:val="center"/>
              <w:textAlignment w:val="center"/>
              <w:rPr>
                <w:rFonts w:hint="eastAsia"/>
                <w:color w:val="auto"/>
                <w:kern w:val="0"/>
                <w:szCs w:val="21"/>
                <w:lang w:val="en-US" w:eastAsia="zh-CN" w:bidi="ar"/>
              </w:rPr>
            </w:pPr>
            <w:r>
              <w:rPr>
                <w:rFonts w:hint="eastAsia"/>
                <w:color w:val="auto"/>
                <w:lang w:val="en-US" w:eastAsia="zh-CN"/>
              </w:rPr>
              <w:t>-</w:t>
            </w:r>
          </w:p>
        </w:tc>
        <w:tc>
          <w:tcPr>
            <w:tcW w:w="885" w:type="dxa"/>
            <w:tcBorders>
              <w:tl2br w:val="nil"/>
              <w:tr2bl w:val="nil"/>
            </w:tcBorders>
            <w:vAlign w:val="center"/>
          </w:tcPr>
          <w:p>
            <w:pPr>
              <w:widowControl/>
              <w:jc w:val="center"/>
              <w:textAlignment w:val="center"/>
              <w:rPr>
                <w:color w:val="auto"/>
                <w:kern w:val="0"/>
                <w:szCs w:val="21"/>
                <w:lang w:bidi="ar"/>
              </w:rPr>
            </w:pPr>
            <w:r>
              <w:rPr>
                <w:rFonts w:hint="eastAsia"/>
                <w:color w:val="auto"/>
                <w:lang w:val="en-US" w:eastAsia="zh-CN"/>
              </w:rPr>
              <w:t>-</w:t>
            </w:r>
          </w:p>
        </w:tc>
        <w:tc>
          <w:tcPr>
            <w:tcW w:w="1080" w:type="dxa"/>
            <w:tcBorders>
              <w:tl2br w:val="nil"/>
              <w:tr2bl w:val="nil"/>
            </w:tcBorders>
            <w:vAlign w:val="center"/>
          </w:tcPr>
          <w:p>
            <w:pPr>
              <w:widowControl/>
              <w:jc w:val="center"/>
              <w:textAlignment w:val="center"/>
              <w:rPr>
                <w:color w:val="auto"/>
                <w:kern w:val="0"/>
                <w:szCs w:val="21"/>
                <w:lang w:bidi="ar"/>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86" w:type="dxa"/>
            <w:tcBorders>
              <w:tl2br w:val="nil"/>
              <w:tr2bl w:val="nil"/>
            </w:tcBorders>
            <w:vAlign w:val="center"/>
          </w:tcPr>
          <w:p>
            <w:pPr>
              <w:pStyle w:val="41"/>
              <w:rPr>
                <w:rFonts w:hint="eastAsia"/>
                <w:color w:val="auto"/>
              </w:rPr>
            </w:pPr>
            <w:r>
              <w:rPr>
                <w:rFonts w:hint="eastAsia"/>
                <w:color w:val="auto"/>
              </w:rPr>
              <w:t>污染物</w:t>
            </w:r>
            <w:r>
              <w:rPr>
                <w:rFonts w:hint="eastAsia"/>
                <w:color w:val="auto"/>
                <w:lang w:eastAsia="zh-CN"/>
              </w:rPr>
              <w:t>外排环境排放</w:t>
            </w:r>
            <w:r>
              <w:rPr>
                <w:rFonts w:hint="eastAsia"/>
                <w:color w:val="auto"/>
              </w:rPr>
              <w:t>量（kg/a）</w:t>
            </w:r>
          </w:p>
        </w:tc>
        <w:tc>
          <w:tcPr>
            <w:tcW w:w="615" w:type="dxa"/>
            <w:tcBorders>
              <w:tl2br w:val="nil"/>
              <w:tr2bl w:val="nil"/>
            </w:tcBorders>
            <w:vAlign w:val="center"/>
          </w:tcPr>
          <w:p>
            <w:pPr>
              <w:widowControl/>
              <w:jc w:val="center"/>
              <w:textAlignment w:val="center"/>
              <w:rPr>
                <w:rFonts w:hint="eastAsia"/>
                <w:color w:val="auto"/>
                <w:lang w:val="en-US" w:eastAsia="zh-CN"/>
              </w:rPr>
            </w:pPr>
            <w:r>
              <w:rPr>
                <w:rFonts w:hint="eastAsia"/>
                <w:color w:val="auto"/>
                <w:lang w:val="en-US" w:eastAsia="zh-CN"/>
              </w:rPr>
              <w:t>-</w:t>
            </w:r>
          </w:p>
        </w:tc>
        <w:tc>
          <w:tcPr>
            <w:tcW w:w="825" w:type="dxa"/>
            <w:tcBorders>
              <w:tl2br w:val="nil"/>
              <w:tr2bl w:val="nil"/>
            </w:tcBorders>
            <w:vAlign w:val="center"/>
          </w:tcPr>
          <w:p>
            <w:pPr>
              <w:keepNext w:val="0"/>
              <w:keepLines w:val="0"/>
              <w:widowControl/>
              <w:suppressLineNumbers w:val="0"/>
              <w:jc w:val="center"/>
              <w:textAlignment w:val="center"/>
              <w:rPr>
                <w:rFonts w:hint="default" w:eastAsia="宋体"/>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24.18</w:t>
            </w:r>
          </w:p>
        </w:tc>
        <w:tc>
          <w:tcPr>
            <w:tcW w:w="795"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6.045</w:t>
            </w:r>
          </w:p>
        </w:tc>
        <w:tc>
          <w:tcPr>
            <w:tcW w:w="108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0.283</w:t>
            </w:r>
          </w:p>
        </w:tc>
        <w:tc>
          <w:tcPr>
            <w:tcW w:w="10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3.165</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0.527 </w:t>
            </w:r>
          </w:p>
        </w:tc>
        <w:tc>
          <w:tcPr>
            <w:tcW w:w="88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 xml:space="preserve">0.106 </w:t>
            </w:r>
          </w:p>
        </w:tc>
        <w:tc>
          <w:tcPr>
            <w:tcW w:w="108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color w:val="auto"/>
                <w:kern w:val="0"/>
                <w:sz w:val="21"/>
                <w:szCs w:val="21"/>
                <w:u w:val="none"/>
                <w:lang w:val="en-US" w:eastAsia="zh-CN" w:bidi="ar"/>
              </w:rPr>
              <w:t xml:space="preserve">0.437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86" w:type="dxa"/>
            <w:gridSpan w:val="9"/>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宋体" w:hAnsi="宋体" w:eastAsia="宋体" w:cs="宋体"/>
                <w:color w:val="auto"/>
                <w:sz w:val="21"/>
                <w:szCs w:val="21"/>
                <w:lang w:eastAsia="zh-CN"/>
              </w:rPr>
            </w:pPr>
            <w:r>
              <w:rPr>
                <w:rFonts w:hint="eastAsia"/>
                <w:color w:val="auto"/>
                <w:sz w:val="21"/>
                <w:szCs w:val="21"/>
                <w:lang w:eastAsia="zh-CN"/>
              </w:rPr>
              <w:t>注：</w:t>
            </w:r>
            <w:r>
              <w:rPr>
                <w:rFonts w:hint="eastAsia" w:ascii="宋体" w:hAnsi="宋体" w:eastAsia="宋体" w:cs="宋体"/>
                <w:color w:val="auto"/>
                <w:sz w:val="21"/>
                <w:szCs w:val="21"/>
                <w:lang w:eastAsia="zh-CN"/>
              </w:rPr>
              <w:t>①污染物产生浓度小于集控中心外排浓度的，外排量以产生量计</w:t>
            </w:r>
            <w:r>
              <w:rPr>
                <w:rFonts w:hint="eastAsia" w:ascii="宋体" w:hAnsi="宋体" w:cs="宋体"/>
                <w:color w:val="auto"/>
                <w:sz w:val="21"/>
                <w:szCs w:val="21"/>
                <w:lang w:eastAsia="zh-CN"/>
              </w:rPr>
              <w:t>；</w:t>
            </w:r>
          </w:p>
          <w:p>
            <w:pPr>
              <w:widowControl/>
              <w:spacing w:line="240" w:lineRule="auto"/>
              <w:ind w:firstLine="420" w:firstLineChars="200"/>
              <w:jc w:val="left"/>
              <w:rPr>
                <w:rFonts w:hint="default" w:eastAsia="宋体"/>
                <w:color w:val="auto"/>
                <w:sz w:val="24"/>
                <w:lang w:val="en-US" w:eastAsia="zh-CN"/>
              </w:rPr>
            </w:pPr>
            <w:r>
              <w:rPr>
                <w:rFonts w:hint="eastAsia" w:ascii="宋体" w:hAnsi="宋体" w:eastAsia="宋体" w:cs="宋体"/>
                <w:color w:val="auto"/>
                <w:sz w:val="21"/>
                <w:szCs w:val="21"/>
                <w:lang w:eastAsia="zh-CN"/>
              </w:rPr>
              <w:t>②</w:t>
            </w:r>
            <w:r>
              <w:rPr>
                <w:rFonts w:hint="eastAsia" w:ascii="宋体" w:hAnsi="宋体" w:cs="宋体"/>
                <w:color w:val="auto"/>
                <w:sz w:val="21"/>
                <w:szCs w:val="21"/>
                <w:lang w:eastAsia="zh-CN"/>
              </w:rPr>
              <w:t>文渡众鑫金属表面处理集控中心生产废水经处理后应回用于生产，回用率不得低于50%。因此</w:t>
            </w:r>
            <w:r>
              <w:rPr>
                <w:rFonts w:hint="eastAsia" w:ascii="宋体" w:hAnsi="宋体" w:cs="宋体"/>
                <w:color w:val="auto"/>
                <w:sz w:val="21"/>
                <w:szCs w:val="21"/>
                <w:lang w:val="en-US" w:eastAsia="zh-CN"/>
              </w:rPr>
              <w:t>排放指文渡污水处理厂</w:t>
            </w:r>
            <w:r>
              <w:rPr>
                <w:rFonts w:hint="eastAsia"/>
                <w:color w:val="auto"/>
                <w:lang w:val="en-US" w:eastAsia="zh-CN"/>
              </w:rPr>
              <w:t>水量以产生水量50%计；</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420" w:firstLineChars="200"/>
              <w:jc w:val="left"/>
              <w:textAlignment w:val="auto"/>
              <w:rPr>
                <w:color w:val="auto"/>
                <w:kern w:val="0"/>
                <w:szCs w:val="21"/>
                <w:lang w:bidi="ar"/>
              </w:rPr>
            </w:pPr>
            <w:r>
              <w:rPr>
                <w:rFonts w:hint="eastAsia" w:ascii="宋体" w:hAnsi="宋体" w:eastAsia="宋体" w:cs="宋体"/>
                <w:color w:val="auto"/>
                <w:sz w:val="21"/>
                <w:szCs w:val="21"/>
                <w:lang w:eastAsia="zh-CN"/>
              </w:rPr>
              <w:t>③</w:t>
            </w:r>
            <w:r>
              <w:rPr>
                <w:rFonts w:hint="eastAsia"/>
                <w:color w:val="auto"/>
                <w:sz w:val="21"/>
                <w:szCs w:val="21"/>
                <w:lang w:eastAsia="zh-CN"/>
              </w:rPr>
              <w:t>文渡污水处理厂对第一类污染物无处理能力，因此该类污染物外排环境的排放量以文渡众鑫金属表面处理集控中心污水处理站外排放量计。</w:t>
            </w:r>
          </w:p>
        </w:tc>
      </w:tr>
    </w:tbl>
    <w:p>
      <w:pPr>
        <w:snapToGrid w:val="0"/>
        <w:spacing w:before="120" w:beforeLines="50" w:line="360" w:lineRule="auto"/>
        <w:outlineLvl w:val="2"/>
        <w:rPr>
          <w:rFonts w:hint="eastAsia" w:eastAsia="宋体"/>
          <w:b/>
          <w:color w:val="auto"/>
          <w:sz w:val="24"/>
          <w:lang w:eastAsia="zh-CN"/>
        </w:rPr>
      </w:pPr>
      <w:r>
        <w:rPr>
          <w:b/>
          <w:color w:val="auto"/>
          <w:sz w:val="24"/>
        </w:rPr>
        <w:t>5.</w:t>
      </w:r>
      <w:r>
        <w:rPr>
          <w:rFonts w:hint="eastAsia"/>
          <w:b/>
          <w:color w:val="auto"/>
          <w:sz w:val="24"/>
        </w:rPr>
        <w:t>2.2大气污染源强分析</w:t>
      </w:r>
    </w:p>
    <w:p>
      <w:pPr>
        <w:pStyle w:val="2"/>
        <w:ind w:firstLine="420"/>
        <w:rPr>
          <w:rFonts w:hint="eastAsia" w:eastAsia="宋体"/>
          <w:color w:val="auto"/>
          <w:lang w:val="en-US" w:eastAsia="zh-CN"/>
        </w:rPr>
      </w:pPr>
      <w:r>
        <w:rPr>
          <w:rFonts w:hint="eastAsia" w:hAnsi="宋体"/>
          <w:color w:val="auto"/>
        </w:rPr>
        <w:t>由于本项目原有工程已经运行多年，本次迁建不涉及产能新增以及生产工艺改变，因此拟建工程废气源强参考原有工程稳定运行后的验收监测数据进行分析，详见附录：大气环境影响专题评价。</w:t>
      </w:r>
      <w:r>
        <w:rPr>
          <w:rFonts w:hint="eastAsia" w:hAnsi="宋体"/>
          <w:color w:val="auto"/>
          <w:lang w:val="en-US" w:eastAsia="zh-CN"/>
        </w:rPr>
        <w:t xml:space="preserve"> </w:t>
      </w:r>
    </w:p>
    <w:p>
      <w:pPr>
        <w:snapToGrid w:val="0"/>
        <w:spacing w:before="120" w:beforeLines="50" w:line="360" w:lineRule="auto"/>
        <w:outlineLvl w:val="2"/>
        <w:rPr>
          <w:b/>
          <w:color w:val="auto"/>
          <w:sz w:val="24"/>
        </w:rPr>
      </w:pPr>
      <w:r>
        <w:rPr>
          <w:b/>
          <w:color w:val="auto"/>
          <w:sz w:val="24"/>
        </w:rPr>
        <w:t>5.</w:t>
      </w:r>
      <w:r>
        <w:rPr>
          <w:rFonts w:hint="eastAsia"/>
          <w:b/>
          <w:color w:val="auto"/>
          <w:sz w:val="24"/>
        </w:rPr>
        <w:t>2.3噪声污染源强分析</w:t>
      </w:r>
    </w:p>
    <w:p>
      <w:pPr>
        <w:pStyle w:val="2"/>
        <w:ind w:firstLine="420"/>
        <w:rPr>
          <w:color w:val="auto"/>
        </w:rPr>
      </w:pPr>
      <w:r>
        <w:rPr>
          <w:rFonts w:hint="eastAsia" w:hAnsi="宋体"/>
          <w:color w:val="auto"/>
        </w:rPr>
        <w:t>本项目噪声主要来自于废气处理引风设备等产生的噪声，噪声级约85dB。</w:t>
      </w:r>
    </w:p>
    <w:p>
      <w:pPr>
        <w:snapToGrid w:val="0"/>
        <w:spacing w:before="120" w:beforeLines="50" w:line="360" w:lineRule="auto"/>
        <w:outlineLvl w:val="2"/>
        <w:rPr>
          <w:b/>
          <w:color w:val="auto"/>
          <w:sz w:val="24"/>
        </w:rPr>
      </w:pPr>
      <w:r>
        <w:rPr>
          <w:b/>
          <w:color w:val="auto"/>
          <w:sz w:val="24"/>
        </w:rPr>
        <w:t>5.</w:t>
      </w:r>
      <w:r>
        <w:rPr>
          <w:rFonts w:hint="eastAsia"/>
          <w:b/>
          <w:color w:val="auto"/>
          <w:sz w:val="24"/>
        </w:rPr>
        <w:t>2.4固体废物源强分析</w:t>
      </w:r>
    </w:p>
    <w:p>
      <w:pPr>
        <w:pStyle w:val="86"/>
        <w:ind w:firstLine="480"/>
        <w:rPr>
          <w:rFonts w:ascii="Times New Roman" w:hAnsi="宋体"/>
          <w:color w:val="auto"/>
          <w:sz w:val="24"/>
        </w:rPr>
      </w:pPr>
      <w:r>
        <w:rPr>
          <w:rFonts w:ascii="Times New Roman" w:hAnsi="宋体"/>
          <w:color w:val="auto"/>
          <w:sz w:val="24"/>
        </w:rPr>
        <w:t>本项目产生的固体废物包括</w:t>
      </w:r>
      <w:r>
        <w:rPr>
          <w:rFonts w:hint="eastAsia" w:ascii="Times New Roman" w:hAnsi="宋体"/>
          <w:color w:val="auto"/>
          <w:sz w:val="24"/>
        </w:rPr>
        <w:t>生活垃圾和生产固废。</w:t>
      </w:r>
    </w:p>
    <w:p>
      <w:pPr>
        <w:pStyle w:val="86"/>
        <w:ind w:firstLine="480"/>
        <w:rPr>
          <w:rFonts w:ascii="Times New Roman" w:hAnsi="宋体"/>
          <w:color w:val="auto"/>
          <w:sz w:val="24"/>
        </w:rPr>
      </w:pPr>
      <w:r>
        <w:rPr>
          <w:rFonts w:ascii="Times New Roman" w:hAnsi="宋体"/>
          <w:color w:val="auto"/>
          <w:sz w:val="24"/>
        </w:rPr>
        <w:t>项目共有职工</w:t>
      </w:r>
      <w:r>
        <w:rPr>
          <w:rFonts w:hint="eastAsia" w:ascii="Times New Roman" w:hAnsi="宋体"/>
          <w:color w:val="auto"/>
          <w:sz w:val="24"/>
        </w:rPr>
        <w:t>20</w:t>
      </w:r>
      <w:r>
        <w:rPr>
          <w:rFonts w:ascii="Times New Roman" w:hAnsi="宋体"/>
          <w:color w:val="auto"/>
          <w:sz w:val="24"/>
        </w:rPr>
        <w:t>人，职工每人每天产生的生活垃圾约为</w:t>
      </w:r>
      <w:r>
        <w:rPr>
          <w:rFonts w:hint="eastAsia" w:ascii="Times New Roman" w:hAnsi="宋体"/>
          <w:color w:val="auto"/>
          <w:sz w:val="24"/>
        </w:rPr>
        <w:t>2</w:t>
      </w:r>
      <w:r>
        <w:rPr>
          <w:rFonts w:ascii="Times New Roman" w:hAnsi="宋体"/>
          <w:color w:val="auto"/>
          <w:sz w:val="24"/>
        </w:rPr>
        <w:t>kg/d，则生活垃圾年产生量约为</w:t>
      </w:r>
      <w:r>
        <w:rPr>
          <w:rFonts w:hint="eastAsia" w:ascii="Times New Roman" w:hAnsi="宋体"/>
          <w:color w:val="auto"/>
          <w:sz w:val="24"/>
        </w:rPr>
        <w:t>6.0</w:t>
      </w:r>
      <w:r>
        <w:rPr>
          <w:rFonts w:ascii="Times New Roman" w:hAnsi="宋体"/>
          <w:color w:val="auto"/>
          <w:sz w:val="24"/>
        </w:rPr>
        <w:t>t（按年</w:t>
      </w:r>
      <w:r>
        <w:rPr>
          <w:rFonts w:hint="eastAsia" w:ascii="Times New Roman" w:hAnsi="宋体"/>
          <w:color w:val="auto"/>
          <w:sz w:val="24"/>
          <w:lang w:val="en-US" w:eastAsia="zh-CN"/>
        </w:rPr>
        <w:t>26</w:t>
      </w:r>
      <w:r>
        <w:rPr>
          <w:rFonts w:ascii="Times New Roman" w:hAnsi="宋体"/>
          <w:color w:val="auto"/>
          <w:sz w:val="24"/>
        </w:rPr>
        <w:t>0天计）。</w:t>
      </w:r>
    </w:p>
    <w:p>
      <w:pPr>
        <w:pStyle w:val="86"/>
        <w:ind w:firstLine="480"/>
        <w:rPr>
          <w:rFonts w:ascii="Times New Roman" w:hAnsi="宋体"/>
          <w:color w:val="auto"/>
          <w:sz w:val="24"/>
        </w:rPr>
      </w:pPr>
      <w:r>
        <w:rPr>
          <w:rFonts w:hint="eastAsia" w:ascii="Times New Roman" w:hAnsi="宋体"/>
          <w:color w:val="auto"/>
          <w:sz w:val="24"/>
        </w:rPr>
        <w:t>项目产生的生产固废主要为定期更换的老化液、</w:t>
      </w:r>
      <w:r>
        <w:rPr>
          <w:rFonts w:hint="eastAsia" w:ascii="Times New Roman" w:hAnsi="宋体"/>
          <w:color w:val="auto"/>
          <w:sz w:val="24"/>
          <w:lang w:eastAsia="zh-CN"/>
        </w:rPr>
        <w:t>废槽渣、</w:t>
      </w:r>
      <w:r>
        <w:rPr>
          <w:rFonts w:hint="eastAsia" w:ascii="Times New Roman" w:hAnsi="宋体"/>
          <w:color w:val="auto"/>
          <w:sz w:val="24"/>
        </w:rPr>
        <w:t>废包装材料、废过滤芯、废填料、废树脂等。参考原有工程稳定运行后统计数据，拟建项目生产过程产生的固体废物如下：</w:t>
      </w:r>
    </w:p>
    <w:p>
      <w:pPr>
        <w:ind w:firstLine="482"/>
        <w:jc w:val="center"/>
        <w:rPr>
          <w:rFonts w:hAnsi="宋体"/>
          <w:b/>
          <w:color w:val="auto"/>
          <w:sz w:val="24"/>
        </w:rPr>
      </w:pPr>
      <w:r>
        <w:rPr>
          <w:rFonts w:hAnsi="宋体"/>
          <w:b/>
          <w:color w:val="auto"/>
          <w:sz w:val="24"/>
        </w:rPr>
        <w:t>表</w:t>
      </w:r>
      <w:r>
        <w:rPr>
          <w:rFonts w:hint="eastAsia" w:hAnsi="宋体"/>
          <w:b/>
          <w:color w:val="auto"/>
          <w:sz w:val="24"/>
        </w:rPr>
        <w:t>5.2-</w:t>
      </w:r>
      <w:r>
        <w:rPr>
          <w:rFonts w:hint="eastAsia" w:hAnsi="宋体"/>
          <w:b/>
          <w:color w:val="auto"/>
          <w:sz w:val="24"/>
          <w:lang w:val="en-US" w:eastAsia="zh-CN"/>
        </w:rPr>
        <w:t>10</w:t>
      </w:r>
      <w:r>
        <w:rPr>
          <w:rFonts w:hint="eastAsia" w:hAnsi="宋体"/>
          <w:b/>
          <w:color w:val="auto"/>
          <w:sz w:val="24"/>
        </w:rPr>
        <w:t xml:space="preserve"> </w:t>
      </w:r>
      <w:r>
        <w:rPr>
          <w:rFonts w:hAnsi="宋体"/>
          <w:b/>
          <w:color w:val="auto"/>
          <w:sz w:val="24"/>
        </w:rPr>
        <w:t>本项目固体废物产生量一览表</w:t>
      </w:r>
    </w:p>
    <w:tbl>
      <w:tblPr>
        <w:tblStyle w:val="22"/>
        <w:tblW w:w="928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1419"/>
        <w:gridCol w:w="2089"/>
        <w:gridCol w:w="1283"/>
        <w:gridCol w:w="1309"/>
        <w:gridCol w:w="19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名称</w:t>
            </w:r>
          </w:p>
        </w:tc>
        <w:tc>
          <w:tcPr>
            <w:tcW w:w="141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分类</w:t>
            </w:r>
          </w:p>
        </w:tc>
        <w:tc>
          <w:tcPr>
            <w:tcW w:w="208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类别编号</w:t>
            </w:r>
          </w:p>
        </w:tc>
        <w:tc>
          <w:tcPr>
            <w:tcW w:w="1283"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产生量（t/a）</w:t>
            </w:r>
          </w:p>
        </w:tc>
        <w:tc>
          <w:tcPr>
            <w:tcW w:w="130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利用方式</w:t>
            </w:r>
          </w:p>
        </w:tc>
        <w:tc>
          <w:tcPr>
            <w:tcW w:w="1915"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处置方式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废化学品包装袋</w:t>
            </w:r>
          </w:p>
        </w:tc>
        <w:tc>
          <w:tcPr>
            <w:tcW w:w="141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危险废物</w:t>
            </w:r>
          </w:p>
        </w:tc>
        <w:tc>
          <w:tcPr>
            <w:tcW w:w="208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HW49</w:t>
            </w:r>
            <w:r>
              <w:rPr>
                <w:rFonts w:hint="eastAsia" w:hAnsi="宋体"/>
                <w:color w:val="auto"/>
                <w:szCs w:val="21"/>
                <w:lang w:eastAsia="zh-CN"/>
              </w:rPr>
              <w:t>（</w:t>
            </w:r>
            <w:r>
              <w:rPr>
                <w:rFonts w:hAnsi="宋体"/>
                <w:color w:val="auto"/>
                <w:szCs w:val="21"/>
              </w:rPr>
              <w:t>900-041-49</w:t>
            </w:r>
            <w:r>
              <w:rPr>
                <w:rFonts w:hint="eastAsia" w:hAnsi="宋体"/>
                <w:color w:val="auto"/>
                <w:szCs w:val="21"/>
                <w:lang w:eastAsia="zh-CN"/>
              </w:rPr>
              <w:t>）</w:t>
            </w:r>
          </w:p>
        </w:tc>
        <w:tc>
          <w:tcPr>
            <w:tcW w:w="128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0.18</w:t>
            </w:r>
          </w:p>
        </w:tc>
        <w:tc>
          <w:tcPr>
            <w:tcW w:w="130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供应商回收</w:t>
            </w:r>
          </w:p>
        </w:tc>
        <w:tc>
          <w:tcPr>
            <w:tcW w:w="1915"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8" w:hRule="atLeast"/>
        </w:trPr>
        <w:tc>
          <w:tcPr>
            <w:tcW w:w="1271"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废滤芯</w:t>
            </w:r>
          </w:p>
        </w:tc>
        <w:tc>
          <w:tcPr>
            <w:tcW w:w="1419"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危险废物</w:t>
            </w:r>
          </w:p>
        </w:tc>
        <w:tc>
          <w:tcPr>
            <w:tcW w:w="208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HW49</w:t>
            </w:r>
            <w:r>
              <w:rPr>
                <w:rFonts w:hint="eastAsia" w:hAnsi="宋体"/>
                <w:color w:val="auto"/>
                <w:szCs w:val="21"/>
                <w:lang w:eastAsia="zh-CN"/>
              </w:rPr>
              <w:t>（</w:t>
            </w:r>
            <w:r>
              <w:rPr>
                <w:rFonts w:hAnsi="宋体"/>
                <w:color w:val="auto"/>
                <w:szCs w:val="21"/>
              </w:rPr>
              <w:t>900-041-49</w:t>
            </w:r>
            <w:r>
              <w:rPr>
                <w:rFonts w:hint="eastAsia" w:hAnsi="宋体"/>
                <w:color w:val="auto"/>
                <w:szCs w:val="21"/>
                <w:lang w:eastAsia="zh-CN"/>
              </w:rPr>
              <w:t>）</w:t>
            </w:r>
          </w:p>
        </w:tc>
        <w:tc>
          <w:tcPr>
            <w:tcW w:w="128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0.0</w:t>
            </w:r>
            <w:r>
              <w:rPr>
                <w:rFonts w:hint="eastAsia" w:hAnsi="宋体"/>
                <w:color w:val="auto"/>
                <w:szCs w:val="21"/>
                <w:lang w:val="en-US" w:eastAsia="zh-CN"/>
              </w:rPr>
              <w:t>3</w:t>
            </w:r>
            <w:r>
              <w:rPr>
                <w:rFonts w:hint="eastAsia" w:hAnsi="宋体"/>
                <w:color w:val="auto"/>
                <w:szCs w:val="21"/>
              </w:rPr>
              <w:t>8</w:t>
            </w:r>
          </w:p>
        </w:tc>
        <w:tc>
          <w:tcPr>
            <w:tcW w:w="1309"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w:t>
            </w:r>
          </w:p>
        </w:tc>
        <w:tc>
          <w:tcPr>
            <w:tcW w:w="1915" w:type="dxa"/>
            <w:vMerge w:val="restart"/>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依托集控中心危险废物暂存间，由集控中心委托有资质单位处置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8" w:hRule="atLeast"/>
        </w:trPr>
        <w:tc>
          <w:tcPr>
            <w:tcW w:w="1271" w:type="dxa"/>
            <w:tcMar>
              <w:top w:w="0" w:type="dxa"/>
              <w:left w:w="108" w:type="dxa"/>
              <w:bottom w:w="0" w:type="dxa"/>
              <w:right w:w="108" w:type="dxa"/>
            </w:tcMar>
            <w:vAlign w:val="center"/>
          </w:tcPr>
          <w:p>
            <w:pPr>
              <w:jc w:val="center"/>
              <w:rPr>
                <w:rFonts w:hint="eastAsia" w:hAnsi="宋体" w:eastAsia="宋体"/>
                <w:color w:val="auto"/>
                <w:szCs w:val="21"/>
                <w:lang w:eastAsia="zh-CN"/>
              </w:rPr>
            </w:pPr>
            <w:r>
              <w:rPr>
                <w:rFonts w:hint="eastAsia" w:hAnsi="宋体"/>
                <w:color w:val="auto"/>
                <w:szCs w:val="21"/>
                <w:lang w:eastAsia="zh-CN"/>
              </w:rPr>
              <w:t>过滤残渣</w:t>
            </w:r>
          </w:p>
        </w:tc>
        <w:tc>
          <w:tcPr>
            <w:tcW w:w="1419"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危险废物</w:t>
            </w:r>
          </w:p>
        </w:tc>
        <w:tc>
          <w:tcPr>
            <w:tcW w:w="2089" w:type="dxa"/>
            <w:tcMar>
              <w:top w:w="0" w:type="dxa"/>
              <w:left w:w="108" w:type="dxa"/>
              <w:bottom w:w="0" w:type="dxa"/>
              <w:right w:w="108" w:type="dxa"/>
            </w:tcMar>
            <w:vAlign w:val="center"/>
          </w:tcPr>
          <w:p>
            <w:pPr>
              <w:jc w:val="center"/>
              <w:rPr>
                <w:rFonts w:hint="eastAsia" w:hAnsi="宋体"/>
                <w:color w:val="auto"/>
                <w:szCs w:val="21"/>
              </w:rPr>
            </w:pPr>
            <w:r>
              <w:rPr>
                <w:rFonts w:hAnsi="宋体"/>
                <w:color w:val="auto"/>
                <w:szCs w:val="21"/>
              </w:rPr>
              <w:t>HW49</w:t>
            </w:r>
            <w:r>
              <w:rPr>
                <w:rFonts w:hint="eastAsia" w:hAnsi="宋体"/>
                <w:color w:val="auto"/>
                <w:szCs w:val="21"/>
                <w:lang w:eastAsia="zh-CN"/>
              </w:rPr>
              <w:t>（</w:t>
            </w:r>
            <w:r>
              <w:rPr>
                <w:rFonts w:hAnsi="宋体"/>
                <w:color w:val="auto"/>
                <w:szCs w:val="21"/>
              </w:rPr>
              <w:t>900-041-49</w:t>
            </w:r>
            <w:r>
              <w:rPr>
                <w:rFonts w:hint="eastAsia" w:hAnsi="宋体"/>
                <w:color w:val="auto"/>
                <w:szCs w:val="21"/>
                <w:lang w:eastAsia="zh-CN"/>
              </w:rPr>
              <w:t>）</w:t>
            </w:r>
          </w:p>
        </w:tc>
        <w:tc>
          <w:tcPr>
            <w:tcW w:w="1283" w:type="dxa"/>
            <w:tcMar>
              <w:top w:w="0" w:type="dxa"/>
              <w:left w:w="108" w:type="dxa"/>
              <w:bottom w:w="0" w:type="dxa"/>
              <w:right w:w="108" w:type="dxa"/>
            </w:tcMar>
            <w:vAlign w:val="center"/>
          </w:tcPr>
          <w:p>
            <w:pPr>
              <w:jc w:val="center"/>
              <w:rPr>
                <w:rFonts w:hint="default" w:hAnsi="宋体" w:eastAsia="宋体"/>
                <w:color w:val="auto"/>
                <w:szCs w:val="21"/>
                <w:lang w:val="en-US" w:eastAsia="zh-CN"/>
              </w:rPr>
            </w:pPr>
            <w:r>
              <w:rPr>
                <w:rFonts w:hint="eastAsia" w:hAnsi="宋体"/>
                <w:color w:val="auto"/>
                <w:szCs w:val="21"/>
                <w:lang w:val="en-US" w:eastAsia="zh-CN"/>
              </w:rPr>
              <w:t>0.01</w:t>
            </w:r>
          </w:p>
        </w:tc>
        <w:tc>
          <w:tcPr>
            <w:tcW w:w="1309"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w:t>
            </w:r>
          </w:p>
        </w:tc>
        <w:tc>
          <w:tcPr>
            <w:tcW w:w="1915" w:type="dxa"/>
            <w:vMerge w:val="continue"/>
            <w:tcMar>
              <w:top w:w="0" w:type="dxa"/>
              <w:left w:w="108" w:type="dxa"/>
              <w:bottom w:w="0" w:type="dxa"/>
              <w:right w:w="108" w:type="dxa"/>
            </w:tcMar>
            <w:vAlign w:val="center"/>
          </w:tcPr>
          <w:p>
            <w:pPr>
              <w:jc w:val="center"/>
              <w:rPr>
                <w:rFonts w:hint="eastAsia"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Ansi="宋体"/>
                <w:color w:val="auto"/>
                <w:szCs w:val="21"/>
              </w:rPr>
            </w:pPr>
            <w:bookmarkStart w:id="17" w:name="OLE_LINK20" w:colFirst="3" w:colLast="3"/>
            <w:r>
              <w:rPr>
                <w:rFonts w:hint="eastAsia" w:hAnsi="宋体"/>
                <w:color w:val="auto"/>
                <w:szCs w:val="21"/>
              </w:rPr>
              <w:t>老化液</w:t>
            </w:r>
          </w:p>
        </w:tc>
        <w:tc>
          <w:tcPr>
            <w:tcW w:w="1419"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危险废物</w:t>
            </w:r>
          </w:p>
        </w:tc>
        <w:tc>
          <w:tcPr>
            <w:tcW w:w="2089" w:type="dxa"/>
            <w:tcMar>
              <w:top w:w="0" w:type="dxa"/>
              <w:left w:w="108" w:type="dxa"/>
              <w:bottom w:w="0" w:type="dxa"/>
              <w:right w:w="108" w:type="dxa"/>
            </w:tcMar>
            <w:vAlign w:val="center"/>
          </w:tcPr>
          <w:p>
            <w:pPr>
              <w:jc w:val="center"/>
              <w:rPr>
                <w:rFonts w:hint="default" w:hAnsi="宋体" w:eastAsia="宋体"/>
                <w:color w:val="auto"/>
                <w:szCs w:val="21"/>
                <w:lang w:val="en-US" w:eastAsia="zh-CN"/>
              </w:rPr>
            </w:pPr>
            <w:bookmarkStart w:id="18" w:name="OLE_LINK5"/>
            <w:r>
              <w:rPr>
                <w:rFonts w:hint="eastAsia" w:hAnsi="宋体"/>
                <w:color w:val="auto"/>
                <w:szCs w:val="21"/>
              </w:rPr>
              <w:t>HW</w:t>
            </w:r>
            <w:bookmarkEnd w:id="18"/>
            <w:r>
              <w:rPr>
                <w:rFonts w:hint="eastAsia" w:hAnsi="宋体"/>
                <w:color w:val="auto"/>
                <w:szCs w:val="21"/>
                <w:lang w:val="en-US" w:eastAsia="zh-CN"/>
              </w:rPr>
              <w:t>17（336-055-17、336-058-17、336-060-17、336-063-17）</w:t>
            </w:r>
          </w:p>
        </w:tc>
        <w:tc>
          <w:tcPr>
            <w:tcW w:w="1283" w:type="dxa"/>
            <w:tcMar>
              <w:top w:w="0" w:type="dxa"/>
              <w:left w:w="108" w:type="dxa"/>
              <w:bottom w:w="0" w:type="dxa"/>
              <w:right w:w="108" w:type="dxa"/>
            </w:tcMar>
            <w:vAlign w:val="center"/>
          </w:tcPr>
          <w:p>
            <w:pPr>
              <w:jc w:val="center"/>
              <w:rPr>
                <w:rFonts w:hint="default" w:hAnsi="宋体" w:eastAsia="宋体"/>
                <w:color w:val="auto"/>
                <w:szCs w:val="21"/>
                <w:lang w:val="en-US" w:eastAsia="zh-CN"/>
              </w:rPr>
            </w:pPr>
            <w:r>
              <w:rPr>
                <w:rFonts w:hint="eastAsia" w:hAnsi="宋体"/>
                <w:color w:val="auto"/>
                <w:szCs w:val="21"/>
              </w:rPr>
              <w:t>0.</w:t>
            </w:r>
            <w:r>
              <w:rPr>
                <w:rFonts w:hint="eastAsia" w:hAnsi="宋体"/>
                <w:color w:val="auto"/>
                <w:szCs w:val="21"/>
                <w:lang w:val="en-US" w:eastAsia="zh-CN"/>
              </w:rPr>
              <w:t>628</w:t>
            </w:r>
          </w:p>
        </w:tc>
        <w:tc>
          <w:tcPr>
            <w:tcW w:w="1309"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w:t>
            </w:r>
          </w:p>
        </w:tc>
        <w:tc>
          <w:tcPr>
            <w:tcW w:w="1915" w:type="dxa"/>
            <w:vMerge w:val="continue"/>
            <w:tcMar>
              <w:top w:w="0" w:type="dxa"/>
              <w:left w:w="108" w:type="dxa"/>
              <w:bottom w:w="0" w:type="dxa"/>
              <w:right w:w="108" w:type="dxa"/>
            </w:tcMar>
            <w:vAlign w:val="center"/>
          </w:tcPr>
          <w:p>
            <w:pPr>
              <w:jc w:val="center"/>
              <w:rPr>
                <w:rFonts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int="eastAsia" w:hAnsi="宋体" w:eastAsia="宋体"/>
                <w:color w:val="auto"/>
                <w:szCs w:val="21"/>
                <w:lang w:eastAsia="zh-CN"/>
              </w:rPr>
            </w:pPr>
            <w:r>
              <w:rPr>
                <w:rFonts w:hint="eastAsia" w:hAnsi="宋体"/>
                <w:color w:val="auto"/>
                <w:szCs w:val="21"/>
                <w:lang w:eastAsia="zh-CN"/>
              </w:rPr>
              <w:t>废槽渣</w:t>
            </w:r>
          </w:p>
        </w:tc>
        <w:tc>
          <w:tcPr>
            <w:tcW w:w="1419" w:type="dxa"/>
            <w:tcMar>
              <w:top w:w="0" w:type="dxa"/>
              <w:left w:w="108" w:type="dxa"/>
              <w:bottom w:w="0" w:type="dxa"/>
              <w:right w:w="108" w:type="dxa"/>
            </w:tcMar>
            <w:vAlign w:val="center"/>
          </w:tcPr>
          <w:p>
            <w:pPr>
              <w:jc w:val="center"/>
              <w:rPr>
                <w:rFonts w:hint="eastAsia" w:hAnsi="宋体" w:eastAsia="宋体"/>
                <w:color w:val="auto"/>
                <w:szCs w:val="21"/>
                <w:lang w:eastAsia="zh-CN"/>
              </w:rPr>
            </w:pPr>
            <w:r>
              <w:rPr>
                <w:rFonts w:hint="eastAsia" w:hAnsi="宋体"/>
                <w:color w:val="auto"/>
                <w:szCs w:val="21"/>
                <w:lang w:eastAsia="zh-CN"/>
              </w:rPr>
              <w:t>危险废物</w:t>
            </w:r>
          </w:p>
        </w:tc>
        <w:tc>
          <w:tcPr>
            <w:tcW w:w="2089"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HW</w:t>
            </w:r>
            <w:r>
              <w:rPr>
                <w:rFonts w:hint="eastAsia" w:hAnsi="宋体"/>
                <w:color w:val="auto"/>
                <w:szCs w:val="21"/>
                <w:lang w:val="en-US" w:eastAsia="zh-CN"/>
              </w:rPr>
              <w:t>17（336-055-17、336-058-17、336-060-17、336-063-17）</w:t>
            </w:r>
          </w:p>
        </w:tc>
        <w:tc>
          <w:tcPr>
            <w:tcW w:w="1283" w:type="dxa"/>
            <w:tcMar>
              <w:top w:w="0" w:type="dxa"/>
              <w:left w:w="108" w:type="dxa"/>
              <w:bottom w:w="0" w:type="dxa"/>
              <w:right w:w="108" w:type="dxa"/>
            </w:tcMar>
            <w:vAlign w:val="center"/>
          </w:tcPr>
          <w:p>
            <w:pPr>
              <w:jc w:val="center"/>
              <w:rPr>
                <w:rFonts w:hint="default" w:hAnsi="宋体" w:eastAsia="宋体"/>
                <w:color w:val="auto"/>
                <w:szCs w:val="21"/>
                <w:lang w:val="en-US" w:eastAsia="zh-CN"/>
              </w:rPr>
            </w:pPr>
            <w:r>
              <w:rPr>
                <w:rFonts w:hint="eastAsia" w:hAnsi="宋体"/>
                <w:color w:val="auto"/>
                <w:szCs w:val="21"/>
                <w:lang w:val="en-US" w:eastAsia="zh-CN"/>
              </w:rPr>
              <w:t>0.269</w:t>
            </w:r>
          </w:p>
        </w:tc>
        <w:tc>
          <w:tcPr>
            <w:tcW w:w="1309"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w:t>
            </w:r>
          </w:p>
        </w:tc>
        <w:tc>
          <w:tcPr>
            <w:tcW w:w="1915" w:type="dxa"/>
            <w:vMerge w:val="continue"/>
            <w:tcMar>
              <w:top w:w="0" w:type="dxa"/>
              <w:left w:w="108" w:type="dxa"/>
              <w:bottom w:w="0" w:type="dxa"/>
              <w:right w:w="108" w:type="dxa"/>
            </w:tcMar>
            <w:vAlign w:val="center"/>
          </w:tcPr>
          <w:p>
            <w:pPr>
              <w:jc w:val="center"/>
              <w:rPr>
                <w:rFonts w:hAnsi="宋体"/>
                <w:color w:val="auto"/>
                <w:szCs w:val="21"/>
              </w:rPr>
            </w:pPr>
          </w:p>
        </w:tc>
      </w:tr>
      <w:bookmarkEnd w:id="17"/>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trPr>
        <w:tc>
          <w:tcPr>
            <w:tcW w:w="1271"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生活垃圾</w:t>
            </w:r>
          </w:p>
        </w:tc>
        <w:tc>
          <w:tcPr>
            <w:tcW w:w="1419"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一般固废</w:t>
            </w:r>
          </w:p>
        </w:tc>
        <w:tc>
          <w:tcPr>
            <w:tcW w:w="208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w:t>
            </w:r>
          </w:p>
        </w:tc>
        <w:tc>
          <w:tcPr>
            <w:tcW w:w="128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6.0</w:t>
            </w:r>
          </w:p>
        </w:tc>
        <w:tc>
          <w:tcPr>
            <w:tcW w:w="1309"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w:t>
            </w:r>
          </w:p>
        </w:tc>
        <w:tc>
          <w:tcPr>
            <w:tcW w:w="1915"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环卫部门统一处置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4779" w:type="dxa"/>
            <w:gridSpan w:val="3"/>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合计</w:t>
            </w:r>
          </w:p>
        </w:tc>
        <w:tc>
          <w:tcPr>
            <w:tcW w:w="1283" w:type="dxa"/>
            <w:tcMar>
              <w:top w:w="0" w:type="dxa"/>
              <w:left w:w="108" w:type="dxa"/>
              <w:bottom w:w="0" w:type="dxa"/>
              <w:right w:w="108" w:type="dxa"/>
            </w:tcMar>
            <w:vAlign w:val="center"/>
          </w:tcPr>
          <w:p>
            <w:pPr>
              <w:jc w:val="center"/>
              <w:rPr>
                <w:rFonts w:ascii="宋体" w:hAnsi="宋体" w:cs="宋体"/>
                <w:color w:val="auto"/>
                <w:sz w:val="22"/>
                <w:szCs w:val="22"/>
              </w:rPr>
            </w:pPr>
            <w:r>
              <w:rPr>
                <w:rFonts w:hint="eastAsia" w:hAnsi="宋体"/>
                <w:color w:val="auto"/>
                <w:szCs w:val="21"/>
              </w:rPr>
              <w:t>7.125</w:t>
            </w:r>
          </w:p>
        </w:tc>
        <w:tc>
          <w:tcPr>
            <w:tcW w:w="1309" w:type="dxa"/>
            <w:tcMar>
              <w:top w:w="0" w:type="dxa"/>
              <w:left w:w="108" w:type="dxa"/>
              <w:bottom w:w="0" w:type="dxa"/>
              <w:right w:w="108" w:type="dxa"/>
            </w:tcMar>
            <w:vAlign w:val="center"/>
          </w:tcPr>
          <w:p>
            <w:pPr>
              <w:jc w:val="center"/>
              <w:rPr>
                <w:rFonts w:hAnsi="宋体"/>
                <w:color w:val="auto"/>
                <w:szCs w:val="21"/>
              </w:rPr>
            </w:pPr>
          </w:p>
        </w:tc>
        <w:tc>
          <w:tcPr>
            <w:tcW w:w="1915" w:type="dxa"/>
            <w:tcMar>
              <w:top w:w="0" w:type="dxa"/>
              <w:left w:w="108" w:type="dxa"/>
              <w:bottom w:w="0" w:type="dxa"/>
              <w:right w:w="108" w:type="dxa"/>
            </w:tcMar>
            <w:vAlign w:val="center"/>
          </w:tcPr>
          <w:p>
            <w:pPr>
              <w:jc w:val="center"/>
              <w:rPr>
                <w:rFonts w:hAnsi="宋体"/>
                <w:color w:val="auto"/>
                <w:szCs w:val="21"/>
              </w:rPr>
            </w:pPr>
          </w:p>
        </w:tc>
      </w:tr>
    </w:tbl>
    <w:p>
      <w:pPr>
        <w:snapToGrid w:val="0"/>
        <w:spacing w:line="360" w:lineRule="auto"/>
        <w:outlineLvl w:val="1"/>
        <w:rPr>
          <w:b/>
          <w:color w:val="auto"/>
          <w:sz w:val="28"/>
          <w:szCs w:val="28"/>
        </w:rPr>
      </w:pPr>
      <w:r>
        <w:rPr>
          <w:b/>
          <w:color w:val="auto"/>
          <w:sz w:val="28"/>
          <w:szCs w:val="28"/>
        </w:rPr>
        <w:t>5.</w:t>
      </w:r>
      <w:r>
        <w:rPr>
          <w:rFonts w:hint="eastAsia"/>
          <w:b/>
          <w:color w:val="auto"/>
          <w:sz w:val="28"/>
          <w:szCs w:val="28"/>
        </w:rPr>
        <w:t>3水平衡与物料平衡</w:t>
      </w:r>
    </w:p>
    <w:p>
      <w:pPr>
        <w:snapToGrid w:val="0"/>
        <w:spacing w:before="120" w:beforeLines="50" w:line="360" w:lineRule="auto"/>
        <w:outlineLvl w:val="2"/>
        <w:rPr>
          <w:rFonts w:hint="eastAsia"/>
          <w:b/>
          <w:color w:val="auto"/>
          <w:sz w:val="24"/>
        </w:rPr>
      </w:pPr>
      <w:r>
        <w:rPr>
          <w:b/>
          <w:color w:val="auto"/>
          <w:sz w:val="24"/>
        </w:rPr>
        <w:t>5.</w:t>
      </w:r>
      <w:r>
        <w:rPr>
          <w:rFonts w:hint="eastAsia"/>
          <w:b/>
          <w:color w:val="auto"/>
          <w:sz w:val="24"/>
        </w:rPr>
        <w:t>3.1水平衡</w:t>
      </w:r>
    </w:p>
    <w:p>
      <w:pPr>
        <w:snapToGrid w:val="0"/>
        <w:spacing w:before="120" w:beforeLines="50" w:line="360" w:lineRule="auto"/>
        <w:outlineLvl w:val="2"/>
        <w:rPr>
          <w:rFonts w:hint="eastAsia" w:eastAsia="宋体"/>
          <w:b/>
          <w:color w:val="auto"/>
          <w:sz w:val="24"/>
          <w:lang w:val="en-US" w:eastAsia="zh-CN"/>
        </w:rPr>
      </w:pPr>
      <w:r>
        <w:rPr>
          <w:rFonts w:hint="eastAsia"/>
          <w:color w:val="auto"/>
          <w:lang w:val="en-US" w:eastAsia="zh-CN"/>
        </w:rPr>
        <w:t xml:space="preserve">     </w:t>
      </w:r>
      <w:r>
        <w:rPr>
          <w:rFonts w:hint="eastAsia" w:ascii="Times New Roman" w:hAnsi="宋体" w:eastAsia="宋体" w:cs="Times New Roman"/>
          <w:snapToGrid w:val="0"/>
          <w:color w:val="auto"/>
          <w:kern w:val="2"/>
          <w:sz w:val="24"/>
          <w:szCs w:val="24"/>
          <w:lang w:val="en-US" w:eastAsia="zh-CN" w:bidi="ar-SA"/>
        </w:rPr>
        <w:t>本项目租赁福鼎市众鑫金属表面处理集控中心已建厂房内车间进行生产，所涉及共用工程均依托集控中心，无共用工程用水量，根据“5.2.1水污染源强分析”分析计算，项目生产、生活用水平衡如下图5.3-1。</w:t>
      </w:r>
    </w:p>
    <w:p>
      <w:pPr>
        <w:snapToGrid w:val="0"/>
        <w:spacing w:before="120" w:beforeLines="50" w:line="360" w:lineRule="auto"/>
        <w:outlineLvl w:val="2"/>
        <w:rPr>
          <w:rFonts w:hint="eastAsia" w:eastAsia="宋体"/>
          <w:b/>
          <w:color w:val="auto"/>
          <w:sz w:val="24"/>
          <w:lang w:eastAsia="zh-CN"/>
        </w:rPr>
      </w:pPr>
    </w:p>
    <w:p>
      <w:pPr>
        <w:spacing w:line="360" w:lineRule="auto"/>
        <w:jc w:val="right"/>
        <w:rPr>
          <w:color w:val="auto"/>
          <w:highlight w:val="none"/>
        </w:rPr>
      </w:pPr>
      <w:r>
        <w:rPr>
          <w:color w:val="auto"/>
          <w:highlight w:val="none"/>
        </w:rPr>
        <w:object>
          <v:shape id="_x0000_i1033" o:spt="75" type="#_x0000_t75" style="height:584.9pt;width:429.15pt;" o:ole="t" filled="f" o:preferrelative="t" stroked="f" coordsize="21600,21600">
            <v:path/>
            <v:fill on="f" focussize="0,0"/>
            <v:stroke on="f"/>
            <v:imagedata r:id="rId43" o:title=""/>
            <o:lock v:ext="edit" aspectratio="t"/>
            <w10:wrap type="none"/>
            <w10:anchorlock/>
          </v:shape>
          <o:OLEObject Type="Embed" ProgID="Visio.Drawing.11" ShapeID="_x0000_i1033" DrawAspect="Content" ObjectID="_1468075733" r:id="rId42">
            <o:LockedField>false</o:LockedField>
          </o:OLEObject>
        </w:object>
      </w:r>
    </w:p>
    <w:p>
      <w:pPr>
        <w:spacing w:line="360" w:lineRule="auto"/>
        <w:jc w:val="center"/>
        <w:rPr>
          <w:rFonts w:hint="eastAsia" w:eastAsia="宋体"/>
          <w:color w:val="auto"/>
          <w:sz w:val="24"/>
          <w:highlight w:val="none"/>
          <w:lang w:eastAsia="zh-CN"/>
        </w:rPr>
      </w:pPr>
      <w:r>
        <w:rPr>
          <w:rFonts w:hint="eastAsia"/>
          <w:b/>
          <w:color w:val="auto"/>
          <w:sz w:val="24"/>
          <w:highlight w:val="none"/>
        </w:rPr>
        <w:t>图5.3-1 项目水平衡</w:t>
      </w:r>
      <w:r>
        <w:rPr>
          <w:rFonts w:hint="eastAsia"/>
          <w:b/>
          <w:color w:val="auto"/>
          <w:sz w:val="24"/>
          <w:highlight w:val="none"/>
          <w:lang w:eastAsia="zh-CN"/>
        </w:rPr>
        <w:t>（单位：</w:t>
      </w:r>
      <w:r>
        <w:rPr>
          <w:rFonts w:hint="eastAsia"/>
          <w:b/>
          <w:color w:val="auto"/>
          <w:sz w:val="24"/>
          <w:highlight w:val="none"/>
          <w:lang w:val="en-US" w:eastAsia="zh-CN"/>
        </w:rPr>
        <w:t>t/d</w:t>
      </w:r>
      <w:r>
        <w:rPr>
          <w:rFonts w:hint="eastAsia"/>
          <w:b/>
          <w:color w:val="auto"/>
          <w:sz w:val="24"/>
          <w:highlight w:val="none"/>
          <w:lang w:eastAsia="zh-CN"/>
        </w:rPr>
        <w:t>）</w:t>
      </w:r>
    </w:p>
    <w:p>
      <w:pPr>
        <w:snapToGrid w:val="0"/>
        <w:spacing w:before="120" w:beforeLines="50" w:line="360" w:lineRule="auto"/>
        <w:outlineLvl w:val="2"/>
        <w:rPr>
          <w:b/>
          <w:color w:val="auto"/>
          <w:sz w:val="24"/>
          <w:highlight w:val="none"/>
        </w:rPr>
      </w:pPr>
      <w:r>
        <w:rPr>
          <w:b/>
          <w:color w:val="auto"/>
          <w:sz w:val="24"/>
          <w:highlight w:val="none"/>
        </w:rPr>
        <w:t>5.</w:t>
      </w:r>
      <w:r>
        <w:rPr>
          <w:rFonts w:hint="eastAsia"/>
          <w:b/>
          <w:color w:val="auto"/>
          <w:sz w:val="24"/>
          <w:highlight w:val="none"/>
        </w:rPr>
        <w:t>3.2物料平衡</w:t>
      </w:r>
    </w:p>
    <w:p>
      <w:pPr>
        <w:spacing w:line="360" w:lineRule="auto"/>
        <w:ind w:firstLine="480"/>
        <w:rPr>
          <w:rFonts w:hAnsi="宋体"/>
          <w:color w:val="auto"/>
          <w:kern w:val="0"/>
          <w:sz w:val="24"/>
          <w:highlight w:val="none"/>
        </w:rPr>
      </w:pPr>
      <w:r>
        <w:rPr>
          <w:rFonts w:hint="eastAsia" w:hAnsi="宋体"/>
          <w:color w:val="auto"/>
          <w:kern w:val="0"/>
          <w:sz w:val="24"/>
          <w:highlight w:val="none"/>
        </w:rPr>
        <w:t>（1）总铬平衡</w:t>
      </w:r>
    </w:p>
    <w:p>
      <w:pPr>
        <w:spacing w:line="360" w:lineRule="auto"/>
        <w:ind w:firstLine="480"/>
        <w:rPr>
          <w:rFonts w:hint="eastAsia" w:hAnsi="宋体" w:eastAsia="宋体"/>
          <w:color w:val="auto"/>
          <w:kern w:val="0"/>
          <w:sz w:val="24"/>
          <w:highlight w:val="none"/>
          <w:lang w:eastAsia="zh-CN"/>
        </w:rPr>
      </w:pPr>
      <w:r>
        <w:rPr>
          <w:rFonts w:hint="eastAsia" w:hAnsi="宋体"/>
          <w:color w:val="auto"/>
          <w:kern w:val="0"/>
          <w:sz w:val="24"/>
          <w:highlight w:val="none"/>
        </w:rPr>
        <w:t>本项目涉铬工序为镀铬工序，铬的来源主要为</w:t>
      </w:r>
      <w:bookmarkStart w:id="19" w:name="OLE_LINK18"/>
      <w:bookmarkStart w:id="20" w:name="OLE_LINK17"/>
      <w:r>
        <w:rPr>
          <w:rFonts w:hint="eastAsia" w:hAnsi="宋体"/>
          <w:color w:val="auto"/>
          <w:kern w:val="0"/>
          <w:sz w:val="24"/>
          <w:highlight w:val="none"/>
        </w:rPr>
        <w:t>铬酸酐</w:t>
      </w:r>
      <w:bookmarkEnd w:id="19"/>
      <w:bookmarkEnd w:id="20"/>
      <w:r>
        <w:rPr>
          <w:rFonts w:hint="eastAsia" w:hAnsi="宋体"/>
          <w:color w:val="auto"/>
          <w:kern w:val="0"/>
          <w:sz w:val="24"/>
          <w:highlight w:val="none"/>
        </w:rPr>
        <w:t>（</w:t>
      </w:r>
      <w:r>
        <w:rPr>
          <w:rFonts w:hAnsi="宋体"/>
          <w:color w:val="auto"/>
          <w:kern w:val="0"/>
          <w:sz w:val="24"/>
          <w:highlight w:val="none"/>
        </w:rPr>
        <w:t>CrO</w:t>
      </w:r>
      <w:r>
        <w:rPr>
          <w:rFonts w:hint="eastAsia" w:hAnsi="宋体"/>
          <w:color w:val="auto"/>
          <w:kern w:val="0"/>
          <w:sz w:val="24"/>
          <w:highlight w:val="none"/>
          <w:vertAlign w:val="subscript"/>
        </w:rPr>
        <w:t>3</w:t>
      </w:r>
      <w:r>
        <w:rPr>
          <w:rFonts w:hint="eastAsia" w:hAnsi="宋体"/>
          <w:color w:val="auto"/>
          <w:kern w:val="0"/>
          <w:sz w:val="24"/>
          <w:highlight w:val="none"/>
        </w:rPr>
        <w:t>）、三价铬蓝白钝化剂，铬酸酐的用量为500kg/a、三价铬钝化剂使用量4800kg/a（含三价铬盐（硫酸铬）按照5%计），其中铬酸酐含铬总量为260kg/a、三价铬钝化剂含铬总量为</w:t>
      </w:r>
      <w:r>
        <w:rPr>
          <w:rFonts w:hint="eastAsia" w:hAnsi="宋体"/>
          <w:color w:val="auto"/>
          <w:kern w:val="0"/>
          <w:sz w:val="24"/>
          <w:highlight w:val="none"/>
          <w:lang w:val="en-US" w:eastAsia="zh-CN"/>
        </w:rPr>
        <w:t>124.8</w:t>
      </w:r>
      <w:r>
        <w:rPr>
          <w:rFonts w:hint="eastAsia" w:hAnsi="宋体"/>
          <w:color w:val="auto"/>
          <w:kern w:val="0"/>
          <w:sz w:val="24"/>
          <w:highlight w:val="none"/>
        </w:rPr>
        <w:t>kg/a，项目原料含铬总量为</w:t>
      </w:r>
      <w:r>
        <w:rPr>
          <w:rFonts w:hint="eastAsia" w:hAnsi="宋体"/>
          <w:color w:val="auto"/>
          <w:kern w:val="0"/>
          <w:sz w:val="24"/>
          <w:highlight w:val="none"/>
          <w:lang w:val="en-US" w:eastAsia="zh-CN"/>
        </w:rPr>
        <w:t>384.8</w:t>
      </w:r>
      <w:r>
        <w:rPr>
          <w:rFonts w:hint="eastAsia" w:hAnsi="宋体"/>
          <w:color w:val="auto"/>
          <w:kern w:val="0"/>
          <w:sz w:val="24"/>
          <w:highlight w:val="none"/>
        </w:rPr>
        <w:t>kg/a。铬的消耗主要为铬镀层、含铬废水</w:t>
      </w:r>
      <w:r>
        <w:rPr>
          <w:rFonts w:hint="eastAsia" w:hAnsi="宋体"/>
          <w:color w:val="auto"/>
          <w:kern w:val="0"/>
          <w:sz w:val="24"/>
          <w:highlight w:val="none"/>
          <w:lang w:eastAsia="zh-CN"/>
        </w:rPr>
        <w:t>、铬酸雾废气</w:t>
      </w:r>
      <w:r>
        <w:rPr>
          <w:rFonts w:hint="eastAsia" w:hAnsi="宋体"/>
          <w:color w:val="auto"/>
          <w:kern w:val="0"/>
          <w:sz w:val="24"/>
          <w:highlight w:val="none"/>
        </w:rPr>
        <w:t>，其中进入铬镀层的铬量为3</w:t>
      </w:r>
      <w:r>
        <w:rPr>
          <w:rFonts w:hint="eastAsia" w:hAnsi="宋体"/>
          <w:color w:val="auto"/>
          <w:kern w:val="0"/>
          <w:sz w:val="24"/>
          <w:highlight w:val="none"/>
          <w:lang w:val="en-US" w:eastAsia="zh-CN"/>
        </w:rPr>
        <w:t>45.5467</w:t>
      </w:r>
      <w:r>
        <w:rPr>
          <w:rFonts w:hint="eastAsia" w:hAnsi="宋体"/>
          <w:color w:val="auto"/>
          <w:kern w:val="0"/>
          <w:sz w:val="24"/>
          <w:highlight w:val="none"/>
        </w:rPr>
        <w:t>kg/a，进入含铬废水中的铬量为</w:t>
      </w:r>
      <w:r>
        <w:rPr>
          <w:rFonts w:hint="eastAsia" w:hAnsi="宋体"/>
          <w:color w:val="auto"/>
          <w:kern w:val="0"/>
          <w:sz w:val="24"/>
          <w:highlight w:val="none"/>
          <w:lang w:val="en-US" w:eastAsia="zh-CN"/>
        </w:rPr>
        <w:t>39.253</w:t>
      </w:r>
      <w:r>
        <w:rPr>
          <w:rFonts w:hint="eastAsia" w:hAnsi="宋体"/>
          <w:color w:val="auto"/>
          <w:kern w:val="0"/>
          <w:sz w:val="24"/>
          <w:highlight w:val="none"/>
        </w:rPr>
        <w:t>kg/a</w:t>
      </w:r>
      <w:r>
        <w:rPr>
          <w:rFonts w:hint="eastAsia" w:hAnsi="宋体"/>
          <w:color w:val="auto"/>
          <w:kern w:val="0"/>
          <w:sz w:val="24"/>
          <w:highlight w:val="none"/>
          <w:lang w:eastAsia="zh-CN"/>
        </w:rPr>
        <w:t>，铬酸雾废气产生量</w:t>
      </w:r>
      <w:r>
        <w:rPr>
          <w:rFonts w:hint="eastAsia" w:hAnsi="宋体"/>
          <w:color w:val="auto"/>
          <w:kern w:val="0"/>
          <w:sz w:val="24"/>
          <w:highlight w:val="none"/>
        </w:rPr>
        <w:t>0.000</w:t>
      </w:r>
      <w:r>
        <w:rPr>
          <w:rFonts w:hint="eastAsia" w:hAnsi="宋体"/>
          <w:color w:val="auto"/>
          <w:kern w:val="0"/>
          <w:sz w:val="24"/>
          <w:highlight w:val="none"/>
          <w:lang w:val="en-US" w:eastAsia="zh-CN"/>
        </w:rPr>
        <w:t>3</w:t>
      </w:r>
      <w:r>
        <w:rPr>
          <w:rFonts w:hint="eastAsia" w:hAnsi="宋体"/>
          <w:color w:val="auto"/>
          <w:kern w:val="0"/>
          <w:sz w:val="24"/>
          <w:highlight w:val="none"/>
        </w:rPr>
        <w:t>kg/a。项目总铬的物料平衡如下图5.3-2所示</w:t>
      </w:r>
      <w:r>
        <w:rPr>
          <w:rFonts w:hint="eastAsia" w:hAnsi="宋体"/>
          <w:color w:val="auto"/>
          <w:kern w:val="0"/>
          <w:sz w:val="24"/>
          <w:highlight w:val="none"/>
          <w:lang w:eastAsia="zh-CN"/>
        </w:rPr>
        <w:t>。</w:t>
      </w:r>
    </w:p>
    <w:p>
      <w:pPr>
        <w:jc w:val="center"/>
        <w:rPr>
          <w:rFonts w:hAnsi="宋体"/>
          <w:b/>
          <w:color w:val="auto"/>
          <w:sz w:val="24"/>
          <w:highlight w:val="none"/>
        </w:rPr>
      </w:pPr>
      <w:bookmarkStart w:id="21" w:name="_Ref380318959"/>
      <w:r>
        <w:rPr>
          <w:rFonts w:hAnsi="宋体"/>
          <w:b/>
          <w:color w:val="auto"/>
          <w:sz w:val="24"/>
          <w:highlight w:val="none"/>
        </w:rPr>
        <w:object>
          <v:shape id="_x0000_i1034" o:spt="75" type="#_x0000_t75" style="height:80.95pt;width:381.6pt;" o:ole="t" filled="f" o:preferrelative="t" stroked="f" coordsize="21600,21600">
            <v:path/>
            <v:fill on="f" focussize="0,0"/>
            <v:stroke on="f"/>
            <v:imagedata r:id="rId45" o:title=""/>
            <o:lock v:ext="edit" aspectratio="f"/>
            <w10:wrap type="none"/>
            <w10:anchorlock/>
          </v:shape>
          <o:OLEObject Type="Embed" ProgID="Visio.Drawing.11" ShapeID="_x0000_i1034" DrawAspect="Content" ObjectID="_1468075734" r:id="rId44">
            <o:LockedField>false</o:LockedField>
          </o:OLEObject>
        </w:object>
      </w:r>
    </w:p>
    <w:p>
      <w:pPr>
        <w:ind w:firstLine="480"/>
        <w:jc w:val="center"/>
        <w:rPr>
          <w:rFonts w:hAnsi="宋体"/>
          <w:b/>
          <w:color w:val="auto"/>
          <w:sz w:val="24"/>
          <w:highlight w:val="none"/>
        </w:rPr>
      </w:pPr>
    </w:p>
    <w:p>
      <w:pPr>
        <w:ind w:firstLine="480"/>
        <w:jc w:val="center"/>
        <w:rPr>
          <w:rFonts w:hAnsi="宋体"/>
          <w:b/>
          <w:color w:val="auto"/>
          <w:sz w:val="24"/>
          <w:highlight w:val="none"/>
        </w:rPr>
      </w:pPr>
      <w:r>
        <w:rPr>
          <w:rFonts w:hint="eastAsia" w:hAnsi="宋体"/>
          <w:b/>
          <w:color w:val="auto"/>
          <w:sz w:val="24"/>
          <w:highlight w:val="none"/>
        </w:rPr>
        <w:t>图5.3-2 总铬物料平衡图</w:t>
      </w:r>
      <w:bookmarkEnd w:id="21"/>
      <w:r>
        <w:rPr>
          <w:rFonts w:hint="eastAsia" w:hAnsi="宋体"/>
          <w:b/>
          <w:color w:val="auto"/>
          <w:sz w:val="24"/>
          <w:highlight w:val="none"/>
        </w:rPr>
        <w:t>（单位：kg/a）</w:t>
      </w:r>
    </w:p>
    <w:p>
      <w:pPr>
        <w:spacing w:line="460" w:lineRule="exact"/>
        <w:ind w:firstLine="480"/>
        <w:rPr>
          <w:rFonts w:cs="宋体"/>
          <w:color w:val="auto"/>
          <w:sz w:val="24"/>
          <w:highlight w:val="none"/>
        </w:rPr>
      </w:pPr>
      <w:r>
        <w:rPr>
          <w:rFonts w:hint="eastAsia" w:cs="宋体"/>
          <w:color w:val="auto"/>
          <w:sz w:val="24"/>
          <w:highlight w:val="none"/>
        </w:rPr>
        <w:t>（2）总镍物料平衡</w:t>
      </w:r>
    </w:p>
    <w:p>
      <w:pPr>
        <w:spacing w:line="460" w:lineRule="exact"/>
        <w:ind w:firstLine="480"/>
        <w:rPr>
          <w:rFonts w:cs="宋体"/>
          <w:color w:val="auto"/>
          <w:sz w:val="24"/>
          <w:highlight w:val="none"/>
        </w:rPr>
      </w:pPr>
      <w:r>
        <w:rPr>
          <w:rFonts w:cs="宋体"/>
          <w:color w:val="auto"/>
          <w:sz w:val="24"/>
          <w:highlight w:val="none"/>
        </w:rPr>
        <w:t>本</w:t>
      </w:r>
      <w:r>
        <w:rPr>
          <w:rFonts w:hint="eastAsia" w:cs="宋体"/>
          <w:color w:val="auto"/>
          <w:sz w:val="24"/>
          <w:highlight w:val="none"/>
        </w:rPr>
        <w:t>项目涉镍工序主要为镀镍工序，镍的来源主要为硫酸镍（</w:t>
      </w:r>
      <w:r>
        <w:rPr>
          <w:rFonts w:cs="宋体"/>
          <w:color w:val="auto"/>
          <w:sz w:val="24"/>
          <w:highlight w:val="none"/>
        </w:rPr>
        <w:t>NiSO</w:t>
      </w:r>
      <w:r>
        <w:rPr>
          <w:rFonts w:cs="宋体"/>
          <w:color w:val="auto"/>
          <w:sz w:val="24"/>
          <w:highlight w:val="none"/>
          <w:vertAlign w:val="subscript"/>
        </w:rPr>
        <w:t>4</w:t>
      </w:r>
      <w:r>
        <w:rPr>
          <w:rFonts w:cs="宋体"/>
          <w:color w:val="auto"/>
          <w:sz w:val="24"/>
          <w:highlight w:val="none"/>
        </w:rPr>
        <w:t>·6H</w:t>
      </w:r>
      <w:r>
        <w:rPr>
          <w:rFonts w:cs="宋体"/>
          <w:color w:val="auto"/>
          <w:sz w:val="24"/>
          <w:highlight w:val="none"/>
          <w:vertAlign w:val="subscript"/>
        </w:rPr>
        <w:t>2</w:t>
      </w:r>
      <w:r>
        <w:rPr>
          <w:rFonts w:cs="宋体"/>
          <w:color w:val="auto"/>
          <w:sz w:val="24"/>
          <w:highlight w:val="none"/>
        </w:rPr>
        <w:t>O</w:t>
      </w:r>
      <w:r>
        <w:rPr>
          <w:rFonts w:hint="eastAsia" w:cs="宋体"/>
          <w:color w:val="auto"/>
          <w:sz w:val="24"/>
          <w:highlight w:val="none"/>
        </w:rPr>
        <w:t>）、氯化镍（</w:t>
      </w:r>
      <w:r>
        <w:rPr>
          <w:rFonts w:cs="宋体"/>
          <w:color w:val="auto"/>
          <w:sz w:val="24"/>
          <w:highlight w:val="none"/>
        </w:rPr>
        <w:t>NiCl</w:t>
      </w:r>
      <w:r>
        <w:rPr>
          <w:rFonts w:cs="宋体"/>
          <w:color w:val="auto"/>
          <w:sz w:val="24"/>
          <w:highlight w:val="none"/>
          <w:vertAlign w:val="subscript"/>
        </w:rPr>
        <w:t>2</w:t>
      </w:r>
      <w:r>
        <w:rPr>
          <w:rFonts w:hint="eastAsia" w:cs="宋体"/>
          <w:color w:val="auto"/>
          <w:sz w:val="24"/>
          <w:highlight w:val="none"/>
        </w:rPr>
        <w:t>）等物质。硫酸镍总用量为1.8t/a，氯化镍总量用为1.8t/a，则镍的总用量为1216.86kg/a，镍的消耗主要为成品镍镀层、含镍废水等途径，其中镍镀层的镍含量为</w:t>
      </w:r>
      <w:r>
        <w:rPr>
          <w:rFonts w:hint="eastAsia" w:cs="宋体"/>
          <w:color w:val="auto"/>
          <w:sz w:val="24"/>
          <w:highlight w:val="none"/>
          <w:lang w:val="en-US" w:eastAsia="zh-CN"/>
        </w:rPr>
        <w:t>1129.48</w:t>
      </w:r>
      <w:r>
        <w:rPr>
          <w:rFonts w:hint="eastAsia" w:cs="宋体"/>
          <w:color w:val="auto"/>
          <w:sz w:val="24"/>
          <w:highlight w:val="none"/>
        </w:rPr>
        <w:t>kg/a，进入含镍废水中的镍为</w:t>
      </w:r>
      <w:r>
        <w:rPr>
          <w:rFonts w:hint="eastAsia" w:cs="宋体"/>
          <w:color w:val="auto"/>
          <w:sz w:val="24"/>
          <w:highlight w:val="none"/>
          <w:lang w:val="en-US" w:eastAsia="zh-CN"/>
        </w:rPr>
        <w:t>85.58</w:t>
      </w:r>
      <w:r>
        <w:rPr>
          <w:rFonts w:hint="eastAsia" w:cs="宋体"/>
          <w:color w:val="auto"/>
          <w:sz w:val="24"/>
          <w:highlight w:val="none"/>
        </w:rPr>
        <w:t>kg/a。项目的镍元素物料平衡如下图5.3-3所示。</w:t>
      </w:r>
    </w:p>
    <w:p>
      <w:pPr>
        <w:jc w:val="center"/>
        <w:rPr>
          <w:color w:val="auto"/>
          <w:highlight w:val="none"/>
        </w:rPr>
      </w:pPr>
      <w:r>
        <w:rPr>
          <w:color w:val="auto"/>
          <w:highlight w:val="none"/>
        </w:rPr>
        <w:object>
          <v:shape id="_x0000_i1035" o:spt="75" type="#_x0000_t75" style="height:92.9pt;width:428.25pt;" o:ole="t" filled="f" o:preferrelative="t" stroked="f" coordsize="21600,21600">
            <v:path/>
            <v:fill on="f" focussize="0,0"/>
            <v:stroke on="f"/>
            <v:imagedata r:id="rId47" o:title=""/>
            <o:lock v:ext="edit" aspectratio="t"/>
            <w10:wrap type="none"/>
            <w10:anchorlock/>
          </v:shape>
          <o:OLEObject Type="Embed" ProgID="Visio.Drawing.11" ShapeID="_x0000_i1035" DrawAspect="Content" ObjectID="_1468075735" r:id="rId46">
            <o:LockedField>false</o:LockedField>
          </o:OLEObject>
        </w:object>
      </w:r>
    </w:p>
    <w:p>
      <w:pPr>
        <w:jc w:val="center"/>
        <w:rPr>
          <w:rFonts w:hAnsi="宋体"/>
          <w:b/>
          <w:color w:val="auto"/>
          <w:highlight w:val="none"/>
        </w:rPr>
      </w:pPr>
      <w:r>
        <w:rPr>
          <w:rFonts w:hint="eastAsia" w:hAnsi="宋体"/>
          <w:b/>
          <w:color w:val="auto"/>
          <w:sz w:val="24"/>
          <w:highlight w:val="none"/>
        </w:rPr>
        <w:t>图5.3-3 总镍物料平衡图（单位：kg/a）</w:t>
      </w:r>
    </w:p>
    <w:p>
      <w:pPr>
        <w:spacing w:line="460" w:lineRule="exact"/>
        <w:ind w:firstLine="480"/>
        <w:rPr>
          <w:rFonts w:cs="宋体"/>
          <w:color w:val="auto"/>
          <w:sz w:val="24"/>
          <w:highlight w:val="none"/>
        </w:rPr>
      </w:pPr>
      <w:r>
        <w:rPr>
          <w:rFonts w:hint="eastAsia" w:cs="宋体"/>
          <w:color w:val="auto"/>
          <w:sz w:val="24"/>
          <w:highlight w:val="none"/>
        </w:rPr>
        <w:t>（3）总氰物料平衡</w:t>
      </w:r>
    </w:p>
    <w:p>
      <w:pPr>
        <w:spacing w:line="460" w:lineRule="exact"/>
        <w:ind w:firstLine="480"/>
        <w:rPr>
          <w:rFonts w:cs="宋体"/>
          <w:color w:val="auto"/>
          <w:sz w:val="24"/>
          <w:highlight w:val="none"/>
        </w:rPr>
      </w:pPr>
      <w:r>
        <w:rPr>
          <w:rFonts w:cs="宋体"/>
          <w:color w:val="auto"/>
          <w:sz w:val="24"/>
          <w:highlight w:val="none"/>
        </w:rPr>
        <w:t>本</w:t>
      </w:r>
      <w:r>
        <w:rPr>
          <w:rFonts w:hint="eastAsia" w:cs="宋体"/>
          <w:color w:val="auto"/>
          <w:sz w:val="24"/>
          <w:highlight w:val="none"/>
        </w:rPr>
        <w:t>项目涉氰工序主要为镀铜工序，氰的来源主要为氰化亚铜（</w:t>
      </w:r>
      <w:r>
        <w:rPr>
          <w:rFonts w:cs="宋体"/>
          <w:color w:val="auto"/>
          <w:sz w:val="24"/>
          <w:highlight w:val="none"/>
        </w:rPr>
        <w:t>CuCN</w:t>
      </w:r>
      <w:r>
        <w:rPr>
          <w:rFonts w:hint="eastAsia" w:cs="宋体"/>
          <w:color w:val="auto"/>
          <w:sz w:val="24"/>
          <w:highlight w:val="none"/>
        </w:rPr>
        <w:t>）、氰化钠（</w:t>
      </w:r>
      <w:r>
        <w:rPr>
          <w:rFonts w:cs="宋体"/>
          <w:color w:val="auto"/>
          <w:sz w:val="24"/>
          <w:highlight w:val="none"/>
        </w:rPr>
        <w:t>NaCN</w:t>
      </w:r>
      <w:r>
        <w:rPr>
          <w:rFonts w:hint="eastAsia" w:cs="宋体"/>
          <w:color w:val="auto"/>
          <w:sz w:val="24"/>
          <w:highlight w:val="none"/>
        </w:rPr>
        <w:t>）等物质。氰化亚铜总用量为0.6t/a，氰化钠总量用为0.6t/a，则氰的总用量为686kg/a，氰的消耗主要为成品氰镀层、含氰废水等途径，其中氰镀层的氰含量为685.6</w:t>
      </w:r>
      <w:r>
        <w:rPr>
          <w:rFonts w:hint="eastAsia" w:cs="宋体"/>
          <w:color w:val="auto"/>
          <w:sz w:val="24"/>
          <w:highlight w:val="none"/>
          <w:lang w:val="en-US" w:eastAsia="zh-CN"/>
        </w:rPr>
        <w:t>87</w:t>
      </w:r>
      <w:r>
        <w:rPr>
          <w:rFonts w:hint="eastAsia" w:cs="宋体"/>
          <w:color w:val="auto"/>
          <w:sz w:val="24"/>
          <w:highlight w:val="none"/>
        </w:rPr>
        <w:t>t/a，进入含氰废水中的总氰为0.0</w:t>
      </w:r>
      <w:r>
        <w:rPr>
          <w:rFonts w:hint="eastAsia" w:cs="宋体"/>
          <w:color w:val="auto"/>
          <w:sz w:val="24"/>
          <w:highlight w:val="none"/>
          <w:lang w:val="en-US" w:eastAsia="zh-CN"/>
        </w:rPr>
        <w:t>12</w:t>
      </w:r>
      <w:r>
        <w:rPr>
          <w:rFonts w:hint="eastAsia" w:cs="宋体"/>
          <w:color w:val="auto"/>
          <w:sz w:val="24"/>
          <w:highlight w:val="none"/>
        </w:rPr>
        <w:t>kg/a</w:t>
      </w:r>
      <w:r>
        <w:rPr>
          <w:rFonts w:hint="eastAsia" w:hAnsi="宋体"/>
          <w:color w:val="auto"/>
          <w:kern w:val="0"/>
          <w:sz w:val="24"/>
          <w:highlight w:val="none"/>
        </w:rPr>
        <w:t>，还有部分（0.3</w:t>
      </w:r>
      <w:r>
        <w:rPr>
          <w:rFonts w:hint="eastAsia" w:cs="宋体"/>
          <w:color w:val="auto"/>
          <w:sz w:val="24"/>
          <w:highlight w:val="none"/>
        </w:rPr>
        <w:t xml:space="preserve"> kg/a</w:t>
      </w:r>
      <w:r>
        <w:rPr>
          <w:rFonts w:hint="eastAsia" w:hAnsi="宋体"/>
          <w:color w:val="auto"/>
          <w:kern w:val="0"/>
          <w:sz w:val="24"/>
          <w:highlight w:val="none"/>
        </w:rPr>
        <w:t>）排入大气中</w:t>
      </w:r>
      <w:r>
        <w:rPr>
          <w:rFonts w:hint="eastAsia" w:cs="宋体"/>
          <w:color w:val="auto"/>
          <w:sz w:val="24"/>
          <w:highlight w:val="none"/>
        </w:rPr>
        <w:t>。项目的氰元素物料平衡如下图5.3-4所示。</w:t>
      </w:r>
    </w:p>
    <w:p>
      <w:pPr>
        <w:jc w:val="center"/>
        <w:rPr>
          <w:color w:val="auto"/>
          <w:highlight w:val="none"/>
        </w:rPr>
      </w:pPr>
      <w:r>
        <w:rPr>
          <w:color w:val="auto"/>
          <w:highlight w:val="none"/>
        </w:rPr>
        <w:object>
          <v:shape id="_x0000_i1036" o:spt="75" type="#_x0000_t75" style="height:135pt;width:428.25pt;" o:ole="t" filled="f" o:preferrelative="t" stroked="f" coordsize="21600,21600">
            <v:path/>
            <v:fill on="f" focussize="0,0"/>
            <v:stroke on="f"/>
            <v:imagedata r:id="rId49" o:title=""/>
            <o:lock v:ext="edit" aspectratio="t"/>
            <w10:wrap type="none"/>
            <w10:anchorlock/>
          </v:shape>
          <o:OLEObject Type="Embed" ProgID="Visio.Drawing.11" ShapeID="_x0000_i1036" DrawAspect="Content" ObjectID="_1468075736" r:id="rId48">
            <o:LockedField>false</o:LockedField>
          </o:OLEObject>
        </w:object>
      </w:r>
    </w:p>
    <w:p>
      <w:pPr>
        <w:jc w:val="center"/>
        <w:rPr>
          <w:rFonts w:hAnsi="宋体"/>
          <w:b/>
          <w:color w:val="auto"/>
          <w:sz w:val="24"/>
          <w:highlight w:val="none"/>
        </w:rPr>
      </w:pPr>
      <w:r>
        <w:rPr>
          <w:rFonts w:hint="eastAsia" w:hAnsi="宋体"/>
          <w:b/>
          <w:color w:val="auto"/>
          <w:sz w:val="24"/>
          <w:highlight w:val="none"/>
        </w:rPr>
        <w:t>图5.3-4 总氰物料平衡图（单位：kg/a）</w:t>
      </w:r>
    </w:p>
    <w:p>
      <w:pPr>
        <w:pStyle w:val="2"/>
        <w:rPr>
          <w:color w:val="auto"/>
        </w:rPr>
      </w:pPr>
    </w:p>
    <w:p>
      <w:pPr>
        <w:snapToGrid w:val="0"/>
        <w:spacing w:line="360" w:lineRule="auto"/>
        <w:outlineLvl w:val="1"/>
        <w:rPr>
          <w:b/>
          <w:color w:val="auto"/>
          <w:sz w:val="28"/>
          <w:szCs w:val="28"/>
        </w:rPr>
      </w:pPr>
      <w:r>
        <w:rPr>
          <w:b/>
          <w:color w:val="auto"/>
          <w:sz w:val="28"/>
          <w:szCs w:val="28"/>
        </w:rPr>
        <w:t>5.</w:t>
      </w:r>
      <w:r>
        <w:rPr>
          <w:rFonts w:hint="eastAsia"/>
          <w:b/>
          <w:color w:val="auto"/>
          <w:sz w:val="28"/>
          <w:szCs w:val="28"/>
        </w:rPr>
        <w:t>4与区域基础配套设施的依托关系</w:t>
      </w:r>
    </w:p>
    <w:p>
      <w:pPr>
        <w:spacing w:line="360" w:lineRule="auto"/>
        <w:ind w:firstLine="480"/>
        <w:rPr>
          <w:color w:val="auto"/>
          <w:sz w:val="24"/>
        </w:rPr>
      </w:pPr>
      <w:r>
        <w:rPr>
          <w:rFonts w:hint="eastAsia"/>
          <w:color w:val="auto"/>
          <w:sz w:val="24"/>
        </w:rPr>
        <w:t>本项目的污水处理、供水、供电等基础设施均依托文渡金属表面处理集控中心，主要依托情况见表5.4-1。</w:t>
      </w:r>
    </w:p>
    <w:p>
      <w:pPr>
        <w:spacing w:line="360" w:lineRule="auto"/>
        <w:ind w:firstLine="482"/>
        <w:jc w:val="center"/>
        <w:rPr>
          <w:b/>
          <w:color w:val="auto"/>
          <w:sz w:val="24"/>
        </w:rPr>
      </w:pPr>
      <w:r>
        <w:rPr>
          <w:rFonts w:hint="eastAsia"/>
          <w:b/>
          <w:color w:val="auto"/>
          <w:sz w:val="24"/>
        </w:rPr>
        <w:t>表5.4-1  与区域基础配套设施的依托关系一览表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7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234" w:type="dxa"/>
            <w:vMerge w:val="restart"/>
            <w:vAlign w:val="center"/>
          </w:tcPr>
          <w:p>
            <w:pPr>
              <w:jc w:val="center"/>
              <w:rPr>
                <w:b/>
                <w:color w:val="auto"/>
                <w:szCs w:val="21"/>
              </w:rPr>
            </w:pPr>
            <w:r>
              <w:rPr>
                <w:b/>
                <w:color w:val="auto"/>
                <w:szCs w:val="21"/>
              </w:rPr>
              <w:t>工程名称</w:t>
            </w:r>
          </w:p>
        </w:tc>
        <w:tc>
          <w:tcPr>
            <w:tcW w:w="7052" w:type="dxa"/>
            <w:vMerge w:val="restart"/>
            <w:vAlign w:val="center"/>
          </w:tcPr>
          <w:p>
            <w:pPr>
              <w:jc w:val="center"/>
              <w:rPr>
                <w:b/>
                <w:color w:val="auto"/>
                <w:szCs w:val="21"/>
              </w:rPr>
            </w:pPr>
            <w:r>
              <w:rPr>
                <w:b/>
                <w:color w:val="auto"/>
                <w:szCs w:val="21"/>
              </w:rPr>
              <w:t>依托关系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9" w:hRule="exact"/>
          <w:jc w:val="center"/>
        </w:trPr>
        <w:tc>
          <w:tcPr>
            <w:tcW w:w="2234" w:type="dxa"/>
            <w:vMerge w:val="continue"/>
            <w:vAlign w:val="center"/>
          </w:tcPr>
          <w:p>
            <w:pPr>
              <w:jc w:val="center"/>
              <w:rPr>
                <w:color w:val="auto"/>
                <w:szCs w:val="21"/>
              </w:rPr>
            </w:pPr>
          </w:p>
        </w:tc>
        <w:tc>
          <w:tcPr>
            <w:tcW w:w="7052" w:type="dxa"/>
            <w:vMerge w:val="continue"/>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2234" w:type="dxa"/>
            <w:vAlign w:val="center"/>
          </w:tcPr>
          <w:p>
            <w:pPr>
              <w:jc w:val="center"/>
              <w:rPr>
                <w:color w:val="auto"/>
                <w:szCs w:val="21"/>
              </w:rPr>
            </w:pPr>
            <w:r>
              <w:rPr>
                <w:rFonts w:hint="eastAsia"/>
                <w:color w:val="auto"/>
                <w:szCs w:val="21"/>
              </w:rPr>
              <w:t>供水、供电工程</w:t>
            </w:r>
          </w:p>
        </w:tc>
        <w:tc>
          <w:tcPr>
            <w:tcW w:w="7052" w:type="dxa"/>
            <w:vAlign w:val="center"/>
          </w:tcPr>
          <w:p>
            <w:pPr>
              <w:jc w:val="center"/>
              <w:rPr>
                <w:color w:val="auto"/>
                <w:szCs w:val="21"/>
              </w:rPr>
            </w:pPr>
            <w:r>
              <w:rPr>
                <w:rFonts w:hint="eastAsia"/>
                <w:color w:val="auto"/>
                <w:szCs w:val="21"/>
              </w:rPr>
              <w:t>依托文渡金属表面处理集控中心的供水系统和供电网络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2234" w:type="dxa"/>
            <w:vAlign w:val="center"/>
          </w:tcPr>
          <w:p>
            <w:pPr>
              <w:jc w:val="center"/>
              <w:rPr>
                <w:color w:val="auto"/>
                <w:szCs w:val="21"/>
              </w:rPr>
            </w:pPr>
            <w:r>
              <w:rPr>
                <w:rFonts w:hint="eastAsia"/>
                <w:color w:val="auto"/>
                <w:szCs w:val="21"/>
              </w:rPr>
              <w:t>职工生活、办公设施</w:t>
            </w:r>
          </w:p>
        </w:tc>
        <w:tc>
          <w:tcPr>
            <w:tcW w:w="7052" w:type="dxa"/>
            <w:vAlign w:val="center"/>
          </w:tcPr>
          <w:p>
            <w:pPr>
              <w:jc w:val="center"/>
              <w:rPr>
                <w:rFonts w:hint="eastAsia" w:eastAsia="宋体"/>
                <w:color w:val="auto"/>
                <w:szCs w:val="21"/>
                <w:lang w:eastAsia="zh-CN"/>
              </w:rPr>
            </w:pPr>
            <w:r>
              <w:rPr>
                <w:rFonts w:hint="eastAsia"/>
                <w:color w:val="auto"/>
                <w:szCs w:val="21"/>
                <w:lang w:eastAsia="zh-CN"/>
              </w:rPr>
              <w:t>职工生活</w:t>
            </w:r>
            <w:r>
              <w:rPr>
                <w:rFonts w:hint="eastAsia"/>
                <w:color w:val="auto"/>
                <w:szCs w:val="21"/>
              </w:rPr>
              <w:t>依托周边村庄或社区</w:t>
            </w:r>
            <w:r>
              <w:rPr>
                <w:rFonts w:hint="eastAsia"/>
                <w:color w:val="auto"/>
                <w:szCs w:val="21"/>
                <w:lang w:eastAsia="zh-CN"/>
              </w:rPr>
              <w:t>，办公设施依托文渡金属表面处理集控中心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8" w:hRule="exact"/>
          <w:jc w:val="center"/>
        </w:trPr>
        <w:tc>
          <w:tcPr>
            <w:tcW w:w="2234" w:type="dxa"/>
            <w:vAlign w:val="center"/>
          </w:tcPr>
          <w:p>
            <w:pPr>
              <w:jc w:val="center"/>
              <w:rPr>
                <w:color w:val="auto"/>
                <w:szCs w:val="21"/>
              </w:rPr>
            </w:pPr>
            <w:r>
              <w:rPr>
                <w:rFonts w:hint="eastAsia"/>
                <w:color w:val="auto"/>
                <w:szCs w:val="21"/>
              </w:rPr>
              <w:t>生活污水</w:t>
            </w:r>
          </w:p>
        </w:tc>
        <w:tc>
          <w:tcPr>
            <w:tcW w:w="7052" w:type="dxa"/>
            <w:vAlign w:val="center"/>
          </w:tcPr>
          <w:p>
            <w:pPr>
              <w:jc w:val="center"/>
              <w:rPr>
                <w:color w:val="auto"/>
                <w:szCs w:val="21"/>
              </w:rPr>
            </w:pPr>
            <w:r>
              <w:rPr>
                <w:rFonts w:hint="eastAsia"/>
                <w:color w:val="auto"/>
                <w:szCs w:val="21"/>
              </w:rPr>
              <w:t>依托文渡金属表面处理集控中心化粪池预处理后纳入文渡</w:t>
            </w:r>
            <w:r>
              <w:rPr>
                <w:color w:val="auto"/>
                <w:szCs w:val="21"/>
              </w:rPr>
              <w:t>污水处理厂</w:t>
            </w:r>
            <w:r>
              <w:rPr>
                <w:rFonts w:hint="eastAsia"/>
                <w:color w:val="auto"/>
                <w:szCs w:val="21"/>
              </w:rPr>
              <w:t>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0" w:hRule="exact"/>
          <w:jc w:val="center"/>
        </w:trPr>
        <w:tc>
          <w:tcPr>
            <w:tcW w:w="2234" w:type="dxa"/>
            <w:vAlign w:val="center"/>
          </w:tcPr>
          <w:p>
            <w:pPr>
              <w:jc w:val="center"/>
              <w:rPr>
                <w:color w:val="auto"/>
                <w:szCs w:val="21"/>
              </w:rPr>
            </w:pPr>
            <w:r>
              <w:rPr>
                <w:rFonts w:hint="eastAsia"/>
                <w:color w:val="auto"/>
                <w:szCs w:val="21"/>
              </w:rPr>
              <w:t>电镀废水</w:t>
            </w:r>
          </w:p>
        </w:tc>
        <w:tc>
          <w:tcPr>
            <w:tcW w:w="7052" w:type="dxa"/>
            <w:vAlign w:val="center"/>
          </w:tcPr>
          <w:p>
            <w:pPr>
              <w:jc w:val="center"/>
              <w:rPr>
                <w:color w:val="auto"/>
                <w:szCs w:val="21"/>
              </w:rPr>
            </w:pPr>
            <w:r>
              <w:rPr>
                <w:rFonts w:hint="eastAsia"/>
                <w:color w:val="auto"/>
                <w:szCs w:val="21"/>
              </w:rPr>
              <w:t>依托文渡金属表面处理集控中心电镀污水处理站分（分质分流：含氰废水、含铬废水、含镍废水、含油废水、其他废水）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2234" w:type="dxa"/>
            <w:vAlign w:val="center"/>
          </w:tcPr>
          <w:p>
            <w:pPr>
              <w:jc w:val="center"/>
              <w:rPr>
                <w:color w:val="auto"/>
                <w:szCs w:val="21"/>
              </w:rPr>
            </w:pPr>
            <w:r>
              <w:rPr>
                <w:rFonts w:hint="eastAsia"/>
                <w:color w:val="auto"/>
                <w:szCs w:val="21"/>
              </w:rPr>
              <w:t>电镀废水回用</w:t>
            </w:r>
          </w:p>
        </w:tc>
        <w:tc>
          <w:tcPr>
            <w:tcW w:w="7052" w:type="dxa"/>
            <w:vAlign w:val="center"/>
          </w:tcPr>
          <w:p>
            <w:pPr>
              <w:jc w:val="center"/>
              <w:rPr>
                <w:color w:val="auto"/>
                <w:szCs w:val="21"/>
              </w:rPr>
            </w:pPr>
            <w:r>
              <w:rPr>
                <w:rFonts w:hint="eastAsia"/>
                <w:color w:val="auto"/>
                <w:szCs w:val="21"/>
              </w:rPr>
              <w:t>依托文渡金属表面处理集控中心电镀污水处理站统一处理后回用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jc w:val="center"/>
        </w:trPr>
        <w:tc>
          <w:tcPr>
            <w:tcW w:w="2234" w:type="dxa"/>
            <w:vAlign w:val="center"/>
          </w:tcPr>
          <w:p>
            <w:pPr>
              <w:jc w:val="center"/>
              <w:rPr>
                <w:color w:val="auto"/>
                <w:szCs w:val="21"/>
              </w:rPr>
            </w:pPr>
            <w:r>
              <w:rPr>
                <w:rFonts w:hint="eastAsia"/>
                <w:color w:val="auto"/>
                <w:szCs w:val="21"/>
              </w:rPr>
              <w:t>危险废物暂存</w:t>
            </w:r>
          </w:p>
        </w:tc>
        <w:tc>
          <w:tcPr>
            <w:tcW w:w="7052" w:type="dxa"/>
            <w:vAlign w:val="center"/>
          </w:tcPr>
          <w:p>
            <w:pPr>
              <w:jc w:val="center"/>
              <w:rPr>
                <w:color w:val="auto"/>
                <w:szCs w:val="21"/>
              </w:rPr>
            </w:pPr>
            <w:r>
              <w:rPr>
                <w:rFonts w:hint="eastAsia"/>
                <w:color w:val="auto"/>
                <w:szCs w:val="21"/>
              </w:rPr>
              <w:t>依托文渡金属表面处理集控中心危废暂存间统一管理</w:t>
            </w:r>
          </w:p>
        </w:tc>
      </w:tr>
    </w:tbl>
    <w:p>
      <w:pPr>
        <w:pStyle w:val="37"/>
        <w:snapToGrid w:val="0"/>
        <w:spacing w:line="360" w:lineRule="auto"/>
        <w:rPr>
          <w:rFonts w:ascii="Times New Roman" w:hAnsi="Times New Roman"/>
          <w:color w:val="auto"/>
        </w:rPr>
      </w:pPr>
      <w:r>
        <w:rPr>
          <w:rFonts w:ascii="Times New Roman" w:hAnsi="Times New Roman"/>
          <w:color w:val="auto"/>
        </w:rPr>
        <w:t>5.</w:t>
      </w:r>
      <w:r>
        <w:rPr>
          <w:rFonts w:hint="eastAsia" w:ascii="Times New Roman" w:hAnsi="Times New Roman"/>
          <w:color w:val="auto"/>
        </w:rPr>
        <w:t>5产业政策符合性及选址布局合理性分析</w:t>
      </w:r>
    </w:p>
    <w:p>
      <w:pPr>
        <w:spacing w:line="360" w:lineRule="auto"/>
        <w:outlineLvl w:val="2"/>
        <w:rPr>
          <w:b/>
          <w:color w:val="auto"/>
          <w:sz w:val="24"/>
        </w:rPr>
      </w:pPr>
      <w:r>
        <w:rPr>
          <w:rFonts w:hint="eastAsia"/>
          <w:b/>
          <w:color w:val="auto"/>
          <w:sz w:val="24"/>
        </w:rPr>
        <w:t>5.5</w:t>
      </w:r>
      <w:r>
        <w:rPr>
          <w:b/>
          <w:color w:val="auto"/>
          <w:sz w:val="24"/>
        </w:rPr>
        <w:t xml:space="preserve">.1 </w:t>
      </w:r>
      <w:r>
        <w:rPr>
          <w:rFonts w:hint="eastAsia"/>
          <w:b/>
          <w:color w:val="auto"/>
          <w:sz w:val="24"/>
        </w:rPr>
        <w:t>产业政策符合性分析</w:t>
      </w:r>
    </w:p>
    <w:p>
      <w:pPr>
        <w:spacing w:line="360" w:lineRule="auto"/>
        <w:outlineLvl w:val="3"/>
        <w:rPr>
          <w:color w:val="auto"/>
          <w:sz w:val="24"/>
        </w:rPr>
      </w:pPr>
      <w:r>
        <w:rPr>
          <w:rFonts w:hint="eastAsia"/>
          <w:color w:val="auto"/>
          <w:sz w:val="24"/>
        </w:rPr>
        <w:t>5.5</w:t>
      </w:r>
      <w:r>
        <w:rPr>
          <w:color w:val="auto"/>
          <w:sz w:val="24"/>
        </w:rPr>
        <w:t xml:space="preserve">.1.1 </w:t>
      </w:r>
      <w:r>
        <w:rPr>
          <w:rFonts w:hint="eastAsia"/>
          <w:color w:val="auto"/>
          <w:sz w:val="24"/>
        </w:rPr>
        <w:t>电镀相关产业政策</w:t>
      </w:r>
    </w:p>
    <w:p>
      <w:pPr>
        <w:spacing w:line="360" w:lineRule="auto"/>
        <w:ind w:firstLine="480" w:firstLineChars="200"/>
        <w:jc w:val="left"/>
        <w:rPr>
          <w:color w:val="auto"/>
          <w:sz w:val="24"/>
        </w:rPr>
      </w:pPr>
      <w:r>
        <w:rPr>
          <w:rFonts w:hint="eastAsia"/>
          <w:color w:val="auto"/>
          <w:sz w:val="24"/>
        </w:rPr>
        <w:t>与本项目有关的产业政策主要为：</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）《产业结构调整指导目录（</w:t>
      </w:r>
      <w:r>
        <w:rPr>
          <w:color w:val="auto"/>
          <w:sz w:val="24"/>
        </w:rPr>
        <w:t>2011</w:t>
      </w:r>
      <w:r>
        <w:rPr>
          <w:rFonts w:hint="eastAsia"/>
          <w:color w:val="auto"/>
          <w:sz w:val="24"/>
        </w:rPr>
        <w:t>年本）》（</w:t>
      </w:r>
      <w:r>
        <w:rPr>
          <w:color w:val="auto"/>
          <w:sz w:val="24"/>
        </w:rPr>
        <w:t>2013</w:t>
      </w:r>
      <w:r>
        <w:rPr>
          <w:rFonts w:hint="eastAsia"/>
          <w:color w:val="auto"/>
          <w:sz w:val="24"/>
        </w:rPr>
        <w:t>年修订）；</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）《部分工业行业淘汰落后生产工艺装备和产品指导目录（</w:t>
      </w:r>
      <w:r>
        <w:rPr>
          <w:color w:val="auto"/>
          <w:sz w:val="24"/>
        </w:rPr>
        <w:t>2010</w:t>
      </w:r>
      <w:r>
        <w:rPr>
          <w:rFonts w:hint="eastAsia"/>
          <w:color w:val="auto"/>
          <w:sz w:val="24"/>
        </w:rPr>
        <w:t>年本）》，中华人民共和国工业和信息化部；</w:t>
      </w:r>
    </w:p>
    <w:p>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）《限制用地项目目录</w:t>
      </w:r>
      <w:r>
        <w:rPr>
          <w:color w:val="auto"/>
          <w:sz w:val="24"/>
        </w:rPr>
        <w:t>(2006</w:t>
      </w:r>
      <w:r>
        <w:rPr>
          <w:rFonts w:hint="eastAsia"/>
          <w:color w:val="auto"/>
          <w:sz w:val="24"/>
        </w:rPr>
        <w:t>年本</w:t>
      </w:r>
      <w:r>
        <w:rPr>
          <w:color w:val="auto"/>
          <w:sz w:val="24"/>
        </w:rPr>
        <w:t>)</w:t>
      </w:r>
      <w:r>
        <w:rPr>
          <w:rFonts w:hint="eastAsia"/>
          <w:color w:val="auto"/>
          <w:sz w:val="24"/>
        </w:rPr>
        <w:t>》和《禁止用地项目目录</w:t>
      </w:r>
      <w:r>
        <w:rPr>
          <w:color w:val="auto"/>
          <w:sz w:val="24"/>
        </w:rPr>
        <w:t>(2006</w:t>
      </w:r>
      <w:r>
        <w:rPr>
          <w:rFonts w:hint="eastAsia"/>
          <w:color w:val="auto"/>
          <w:sz w:val="24"/>
        </w:rPr>
        <w:t>年本</w:t>
      </w:r>
      <w:r>
        <w:rPr>
          <w:color w:val="auto"/>
          <w:sz w:val="24"/>
        </w:rPr>
        <w:t>)</w:t>
      </w:r>
      <w:r>
        <w:rPr>
          <w:rFonts w:hint="eastAsia"/>
          <w:color w:val="auto"/>
          <w:sz w:val="24"/>
        </w:rPr>
        <w:t>》，国土资发</w:t>
      </w:r>
      <w:r>
        <w:rPr>
          <w:color w:val="auto"/>
          <w:sz w:val="24"/>
        </w:rPr>
        <w:t>[2006]296</w:t>
      </w:r>
      <w:r>
        <w:rPr>
          <w:rFonts w:hint="eastAsia"/>
          <w:color w:val="auto"/>
          <w:sz w:val="24"/>
        </w:rPr>
        <w:t>号，</w:t>
      </w:r>
      <w:r>
        <w:rPr>
          <w:color w:val="auto"/>
          <w:sz w:val="24"/>
        </w:rPr>
        <w:t>2006</w:t>
      </w:r>
      <w:r>
        <w:rPr>
          <w:rFonts w:hint="eastAsia"/>
          <w:color w:val="auto"/>
          <w:sz w:val="24"/>
        </w:rPr>
        <w:t>年</w:t>
      </w:r>
      <w:r>
        <w:rPr>
          <w:color w:val="auto"/>
          <w:sz w:val="24"/>
        </w:rPr>
        <w:t>12</w:t>
      </w:r>
      <w:r>
        <w:rPr>
          <w:rFonts w:hint="eastAsia"/>
          <w:color w:val="auto"/>
          <w:sz w:val="24"/>
        </w:rPr>
        <w:t>月；</w:t>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）《限制用地项目目录（</w:t>
      </w:r>
      <w:r>
        <w:rPr>
          <w:color w:val="auto"/>
          <w:sz w:val="24"/>
        </w:rPr>
        <w:t>2006</w:t>
      </w:r>
      <w:r>
        <w:rPr>
          <w:rFonts w:hint="eastAsia"/>
          <w:color w:val="auto"/>
          <w:sz w:val="24"/>
        </w:rPr>
        <w:t>年本增补本）》和《禁止用地项目目录（</w:t>
      </w:r>
      <w:r>
        <w:rPr>
          <w:color w:val="auto"/>
          <w:sz w:val="24"/>
        </w:rPr>
        <w:t>2006</w:t>
      </w:r>
      <w:r>
        <w:rPr>
          <w:rFonts w:hint="eastAsia"/>
          <w:color w:val="auto"/>
          <w:sz w:val="24"/>
        </w:rPr>
        <w:t>年本增补本）》，国土资发</w:t>
      </w:r>
      <w:r>
        <w:rPr>
          <w:color w:val="auto"/>
          <w:sz w:val="24"/>
        </w:rPr>
        <w:t>[2009]154</w:t>
      </w:r>
      <w:r>
        <w:rPr>
          <w:rFonts w:hint="eastAsia"/>
          <w:color w:val="auto"/>
          <w:sz w:val="24"/>
        </w:rPr>
        <w:t>号，</w:t>
      </w:r>
      <w:r>
        <w:rPr>
          <w:color w:val="auto"/>
          <w:sz w:val="24"/>
        </w:rPr>
        <w:t>2009</w:t>
      </w:r>
      <w:r>
        <w:rPr>
          <w:rFonts w:hint="eastAsia"/>
          <w:color w:val="auto"/>
          <w:sz w:val="24"/>
        </w:rPr>
        <w:t>年</w:t>
      </w:r>
      <w:r>
        <w:rPr>
          <w:color w:val="auto"/>
          <w:sz w:val="24"/>
        </w:rPr>
        <w:t>11</w:t>
      </w:r>
      <w:r>
        <w:rPr>
          <w:rFonts w:hint="eastAsia"/>
          <w:color w:val="auto"/>
          <w:sz w:val="24"/>
        </w:rPr>
        <w:t>月；</w:t>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）《电镀行业规范条件》工信部【</w:t>
      </w:r>
      <w:r>
        <w:rPr>
          <w:color w:val="auto"/>
          <w:sz w:val="24"/>
        </w:rPr>
        <w:t>2015</w:t>
      </w:r>
      <w:r>
        <w:rPr>
          <w:rFonts w:hint="eastAsia"/>
          <w:color w:val="auto"/>
          <w:sz w:val="24"/>
        </w:rPr>
        <w:t>】</w:t>
      </w:r>
      <w:r>
        <w:rPr>
          <w:color w:val="auto"/>
          <w:sz w:val="24"/>
        </w:rPr>
        <w:t>64</w:t>
      </w:r>
      <w:r>
        <w:rPr>
          <w:rFonts w:hint="eastAsia"/>
          <w:color w:val="auto"/>
          <w:sz w:val="24"/>
        </w:rPr>
        <w:t>号，</w:t>
      </w:r>
      <w:r>
        <w:rPr>
          <w:color w:val="auto"/>
          <w:sz w:val="24"/>
        </w:rPr>
        <w:t>2015</w:t>
      </w:r>
      <w:r>
        <w:rPr>
          <w:rFonts w:hint="eastAsia"/>
          <w:color w:val="auto"/>
          <w:sz w:val="24"/>
        </w:rPr>
        <w:t>年</w:t>
      </w:r>
      <w:r>
        <w:rPr>
          <w:color w:val="auto"/>
          <w:sz w:val="24"/>
        </w:rPr>
        <w:t>11</w:t>
      </w:r>
      <w:r>
        <w:rPr>
          <w:rFonts w:hint="eastAsia"/>
          <w:color w:val="auto"/>
          <w:sz w:val="24"/>
        </w:rPr>
        <w:t>月</w:t>
      </w:r>
      <w:r>
        <w:rPr>
          <w:color w:val="auto"/>
          <w:sz w:val="24"/>
        </w:rPr>
        <w:t>1</w:t>
      </w:r>
      <w:r>
        <w:rPr>
          <w:rFonts w:hint="eastAsia"/>
          <w:color w:val="auto"/>
          <w:sz w:val="24"/>
        </w:rPr>
        <w:t>日实施。</w:t>
      </w:r>
    </w:p>
    <w:p>
      <w:pPr>
        <w:spacing w:line="360" w:lineRule="auto"/>
        <w:outlineLvl w:val="3"/>
        <w:rPr>
          <w:color w:val="auto"/>
          <w:sz w:val="24"/>
        </w:rPr>
      </w:pPr>
      <w:r>
        <w:rPr>
          <w:rFonts w:hint="eastAsia"/>
          <w:color w:val="auto"/>
          <w:sz w:val="24"/>
        </w:rPr>
        <w:t>5.5</w:t>
      </w:r>
      <w:r>
        <w:rPr>
          <w:color w:val="auto"/>
          <w:sz w:val="24"/>
        </w:rPr>
        <w:t>.1.2</w:t>
      </w:r>
      <w:r>
        <w:rPr>
          <w:rFonts w:hint="eastAsia"/>
          <w:color w:val="auto"/>
          <w:sz w:val="24"/>
        </w:rPr>
        <w:t>产业政策符合性分析</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）《产业结构调整指导目录（</w:t>
      </w:r>
      <w:r>
        <w:rPr>
          <w:color w:val="auto"/>
          <w:sz w:val="24"/>
        </w:rPr>
        <w:t>2011</w:t>
      </w:r>
      <w:r>
        <w:rPr>
          <w:rFonts w:hint="eastAsia"/>
          <w:color w:val="auto"/>
          <w:sz w:val="24"/>
        </w:rPr>
        <w:t>年本）》</w:t>
      </w:r>
      <w:r>
        <w:rPr>
          <w:color w:val="auto"/>
          <w:sz w:val="24"/>
        </w:rPr>
        <w:t>2013</w:t>
      </w:r>
      <w:r>
        <w:rPr>
          <w:rFonts w:hint="eastAsia"/>
          <w:color w:val="auto"/>
          <w:sz w:val="24"/>
        </w:rPr>
        <w:t>年修订符合性分析</w:t>
      </w:r>
    </w:p>
    <w:p>
      <w:pPr>
        <w:spacing w:line="360" w:lineRule="auto"/>
        <w:ind w:firstLine="480" w:firstLineChars="200"/>
        <w:rPr>
          <w:rFonts w:hAnsi="宋体"/>
          <w:color w:val="auto"/>
          <w:sz w:val="24"/>
        </w:rPr>
      </w:pPr>
      <w:r>
        <w:rPr>
          <w:rFonts w:hint="eastAsia"/>
          <w:color w:val="auto"/>
          <w:sz w:val="24"/>
        </w:rPr>
        <w:t>根据《产业结构调整指导目录（</w:t>
      </w:r>
      <w:r>
        <w:rPr>
          <w:color w:val="auto"/>
          <w:sz w:val="24"/>
        </w:rPr>
        <w:t>2011</w:t>
      </w:r>
      <w:r>
        <w:rPr>
          <w:rFonts w:hint="eastAsia"/>
          <w:color w:val="auto"/>
          <w:sz w:val="24"/>
        </w:rPr>
        <w:t>年本）》</w:t>
      </w:r>
      <w:r>
        <w:rPr>
          <w:color w:val="auto"/>
          <w:sz w:val="24"/>
        </w:rPr>
        <w:t>2013</w:t>
      </w:r>
      <w:r>
        <w:rPr>
          <w:rFonts w:hint="eastAsia"/>
          <w:color w:val="auto"/>
          <w:sz w:val="24"/>
        </w:rPr>
        <w:t>年修订中规定，</w:t>
      </w:r>
      <w:r>
        <w:rPr>
          <w:rFonts w:hint="eastAsia" w:hAnsi="宋体"/>
          <w:color w:val="auto"/>
          <w:sz w:val="24"/>
        </w:rPr>
        <w:t>含氰电镀金、银、铜基合金及镀铜打底工艺为暂缓淘汰工艺，本项目涉及氰化镀铜，目前暂不属于淘汰工艺。</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）与《部分工业行业淘汰落后生产工艺装备和产品指导目录（</w:t>
      </w:r>
      <w:r>
        <w:rPr>
          <w:color w:val="auto"/>
          <w:sz w:val="24"/>
        </w:rPr>
        <w:t xml:space="preserve">2010 </w:t>
      </w:r>
      <w:r>
        <w:rPr>
          <w:rFonts w:hint="eastAsia"/>
          <w:color w:val="auto"/>
          <w:sz w:val="24"/>
        </w:rPr>
        <w:t>年本）》的符合性分析</w:t>
      </w:r>
    </w:p>
    <w:p>
      <w:pPr>
        <w:spacing w:line="360" w:lineRule="auto"/>
        <w:ind w:firstLine="480" w:firstLineChars="200"/>
        <w:rPr>
          <w:color w:val="auto"/>
          <w:sz w:val="24"/>
        </w:rPr>
      </w:pPr>
      <w:r>
        <w:rPr>
          <w:rFonts w:hint="eastAsia"/>
          <w:color w:val="auto"/>
          <w:sz w:val="24"/>
        </w:rPr>
        <w:t>根据中华人民共和国工业和信息化部</w:t>
      </w:r>
      <w:r>
        <w:rPr>
          <w:color w:val="auto"/>
          <w:sz w:val="24"/>
        </w:rPr>
        <w:t>2010</w:t>
      </w:r>
      <w:r>
        <w:rPr>
          <w:rFonts w:hint="eastAsia"/>
          <w:color w:val="auto"/>
          <w:sz w:val="24"/>
        </w:rPr>
        <w:t>年</w:t>
      </w:r>
      <w:r>
        <w:rPr>
          <w:color w:val="auto"/>
          <w:sz w:val="24"/>
        </w:rPr>
        <w:t>10</w:t>
      </w:r>
      <w:r>
        <w:rPr>
          <w:rFonts w:hint="eastAsia"/>
          <w:color w:val="auto"/>
          <w:sz w:val="24"/>
        </w:rPr>
        <w:t>月发布的《部分工业行业淘汰落后生产工艺装备和产品指导目录（</w:t>
      </w:r>
      <w:r>
        <w:rPr>
          <w:color w:val="auto"/>
          <w:sz w:val="24"/>
        </w:rPr>
        <w:t>2010</w:t>
      </w:r>
      <w:r>
        <w:rPr>
          <w:rFonts w:hint="eastAsia"/>
          <w:color w:val="auto"/>
          <w:sz w:val="24"/>
        </w:rPr>
        <w:t>年本）》，氰化金钾镀金及氰化亚金钾镀金工艺为暂缓淘汰工艺，本项目有不涉及氰化金钾镀金及氰化亚金钾镀金工艺。</w:t>
      </w:r>
    </w:p>
    <w:p>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）与《禁止用地项目目录</w:t>
      </w:r>
      <w:r>
        <w:rPr>
          <w:color w:val="auto"/>
          <w:sz w:val="24"/>
        </w:rPr>
        <w:t xml:space="preserve">(2006 </w:t>
      </w:r>
      <w:r>
        <w:rPr>
          <w:rFonts w:hint="eastAsia"/>
          <w:color w:val="auto"/>
          <w:sz w:val="24"/>
        </w:rPr>
        <w:t>年本</w:t>
      </w:r>
      <w:r>
        <w:rPr>
          <w:color w:val="auto"/>
          <w:sz w:val="24"/>
        </w:rPr>
        <w:t>)</w:t>
      </w:r>
      <w:r>
        <w:rPr>
          <w:rFonts w:hint="eastAsia"/>
          <w:color w:val="auto"/>
          <w:sz w:val="24"/>
        </w:rPr>
        <w:t>》和《限制用地项目目录</w:t>
      </w:r>
      <w:r>
        <w:rPr>
          <w:color w:val="auto"/>
          <w:sz w:val="24"/>
        </w:rPr>
        <w:t xml:space="preserve">(2006 </w:t>
      </w:r>
      <w:r>
        <w:rPr>
          <w:rFonts w:hint="eastAsia"/>
          <w:color w:val="auto"/>
          <w:sz w:val="24"/>
        </w:rPr>
        <w:t>年本</w:t>
      </w:r>
      <w:r>
        <w:rPr>
          <w:color w:val="auto"/>
          <w:sz w:val="24"/>
        </w:rPr>
        <w:t>)</w:t>
      </w:r>
      <w:r>
        <w:rPr>
          <w:rFonts w:hint="eastAsia"/>
          <w:color w:val="auto"/>
          <w:sz w:val="24"/>
        </w:rPr>
        <w:t>》的符合性分析</w:t>
      </w:r>
    </w:p>
    <w:p>
      <w:pPr>
        <w:spacing w:line="360" w:lineRule="auto"/>
        <w:ind w:firstLine="480" w:firstLineChars="200"/>
        <w:rPr>
          <w:color w:val="auto"/>
          <w:sz w:val="24"/>
        </w:rPr>
      </w:pPr>
      <w:r>
        <w:rPr>
          <w:rFonts w:hint="eastAsia"/>
          <w:color w:val="auto"/>
          <w:sz w:val="24"/>
        </w:rPr>
        <w:t>根据《禁止用地项目目录</w:t>
      </w:r>
      <w:r>
        <w:rPr>
          <w:color w:val="auto"/>
          <w:sz w:val="24"/>
        </w:rPr>
        <w:t>(2006</w:t>
      </w:r>
      <w:r>
        <w:rPr>
          <w:rFonts w:hint="eastAsia"/>
          <w:color w:val="auto"/>
          <w:sz w:val="24"/>
        </w:rPr>
        <w:t>年本</w:t>
      </w:r>
      <w:r>
        <w:rPr>
          <w:color w:val="auto"/>
          <w:sz w:val="24"/>
        </w:rPr>
        <w:t>)</w:t>
      </w:r>
      <w:r>
        <w:rPr>
          <w:rFonts w:hint="eastAsia"/>
          <w:color w:val="auto"/>
          <w:sz w:val="24"/>
        </w:rPr>
        <w:t>》和《限制用地项目目录</w:t>
      </w:r>
      <w:r>
        <w:rPr>
          <w:color w:val="auto"/>
          <w:sz w:val="24"/>
        </w:rPr>
        <w:t>(2006</w:t>
      </w:r>
      <w:r>
        <w:rPr>
          <w:rFonts w:hint="eastAsia"/>
          <w:color w:val="auto"/>
          <w:sz w:val="24"/>
        </w:rPr>
        <w:t>年本</w:t>
      </w:r>
      <w:r>
        <w:rPr>
          <w:color w:val="auto"/>
          <w:sz w:val="24"/>
        </w:rPr>
        <w:t>)</w:t>
      </w:r>
      <w:r>
        <w:rPr>
          <w:rFonts w:hint="eastAsia"/>
          <w:color w:val="auto"/>
          <w:sz w:val="24"/>
        </w:rPr>
        <w:t>》，电镀项目均不在其禁止和限制之列，因此本项目的建设符合当前的用地政策。</w:t>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）与《禁止用地项目目录（</w:t>
      </w:r>
      <w:r>
        <w:rPr>
          <w:color w:val="auto"/>
          <w:sz w:val="24"/>
        </w:rPr>
        <w:t>2006</w:t>
      </w:r>
      <w:r>
        <w:rPr>
          <w:rFonts w:hint="eastAsia"/>
          <w:color w:val="auto"/>
          <w:sz w:val="24"/>
        </w:rPr>
        <w:t>年本增补本）》和《限制用地项目目录（</w:t>
      </w:r>
      <w:r>
        <w:rPr>
          <w:color w:val="auto"/>
          <w:sz w:val="24"/>
        </w:rPr>
        <w:t>2006</w:t>
      </w:r>
      <w:r>
        <w:rPr>
          <w:rFonts w:hint="eastAsia"/>
          <w:color w:val="auto"/>
          <w:sz w:val="24"/>
        </w:rPr>
        <w:t>年本增补本）》的符合性分析</w:t>
      </w:r>
    </w:p>
    <w:p>
      <w:pPr>
        <w:spacing w:line="360" w:lineRule="auto"/>
        <w:ind w:firstLine="480" w:firstLineChars="200"/>
        <w:rPr>
          <w:color w:val="auto"/>
          <w:sz w:val="24"/>
        </w:rPr>
      </w:pPr>
      <w:r>
        <w:rPr>
          <w:rFonts w:hint="eastAsia"/>
          <w:color w:val="auto"/>
          <w:sz w:val="24"/>
        </w:rPr>
        <w:t>根据《禁止用地项目目录（</w:t>
      </w:r>
      <w:r>
        <w:rPr>
          <w:color w:val="auto"/>
          <w:sz w:val="24"/>
        </w:rPr>
        <w:t>2006</w:t>
      </w:r>
      <w:r>
        <w:rPr>
          <w:rFonts w:hint="eastAsia"/>
          <w:color w:val="auto"/>
          <w:sz w:val="24"/>
        </w:rPr>
        <w:t>年本增补本）》和《限制用地项目目录（</w:t>
      </w:r>
      <w:r>
        <w:rPr>
          <w:color w:val="auto"/>
          <w:sz w:val="24"/>
        </w:rPr>
        <w:t>2006</w:t>
      </w:r>
      <w:r>
        <w:rPr>
          <w:rFonts w:hint="eastAsia"/>
          <w:color w:val="auto"/>
          <w:sz w:val="24"/>
        </w:rPr>
        <w:t>年本增补本）》，电镀项目均不在其禁止和限制之列，因此本项目的建设符合当前的用地政策。</w:t>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）《电镀行业规范条件》符合性分析</w:t>
      </w:r>
    </w:p>
    <w:p>
      <w:pPr>
        <w:spacing w:line="360" w:lineRule="auto"/>
        <w:ind w:firstLine="480" w:firstLineChars="200"/>
        <w:rPr>
          <w:color w:val="auto"/>
          <w:sz w:val="24"/>
        </w:rPr>
        <w:sectPr>
          <w:pgSz w:w="11906" w:h="16838"/>
          <w:pgMar w:top="1417" w:right="1418" w:bottom="1417" w:left="1418" w:header="992" w:footer="992" w:gutter="0"/>
          <w:pgBorders>
            <w:top w:val="none" w:sz="0" w:space="0"/>
            <w:left w:val="none" w:sz="0" w:space="0"/>
            <w:bottom w:val="none" w:sz="0" w:space="0"/>
            <w:right w:val="none" w:sz="0" w:space="0"/>
          </w:pgBorders>
          <w:cols w:space="0" w:num="1"/>
        </w:sectPr>
      </w:pPr>
      <w:r>
        <w:rPr>
          <w:rFonts w:hint="eastAsia"/>
          <w:color w:val="auto"/>
          <w:sz w:val="24"/>
        </w:rPr>
        <w:t>国家工信部于</w:t>
      </w:r>
      <w:r>
        <w:rPr>
          <w:color w:val="auto"/>
          <w:sz w:val="24"/>
        </w:rPr>
        <w:t>2015</w:t>
      </w:r>
      <w:r>
        <w:rPr>
          <w:rFonts w:hint="eastAsia"/>
          <w:color w:val="auto"/>
          <w:sz w:val="24"/>
        </w:rPr>
        <w:t>年发布了《电镀行业规范条件》</w:t>
      </w:r>
      <w:r>
        <w:rPr>
          <w:color w:val="auto"/>
          <w:sz w:val="24"/>
        </w:rPr>
        <w:t>(</w:t>
      </w:r>
      <w:r>
        <w:rPr>
          <w:rFonts w:hint="eastAsia"/>
          <w:color w:val="auto"/>
          <w:sz w:val="24"/>
        </w:rPr>
        <w:t>公告</w:t>
      </w:r>
      <w:r>
        <w:rPr>
          <w:color w:val="auto"/>
          <w:sz w:val="24"/>
        </w:rPr>
        <w:t>2015</w:t>
      </w:r>
      <w:r>
        <w:rPr>
          <w:rFonts w:hint="eastAsia"/>
          <w:color w:val="auto"/>
          <w:sz w:val="24"/>
        </w:rPr>
        <w:t>年第</w:t>
      </w:r>
      <w:r>
        <w:rPr>
          <w:color w:val="auto"/>
          <w:sz w:val="24"/>
        </w:rPr>
        <w:t>64</w:t>
      </w:r>
      <w:r>
        <w:rPr>
          <w:rFonts w:hint="eastAsia"/>
          <w:color w:val="auto"/>
          <w:sz w:val="24"/>
        </w:rPr>
        <w:t>号</w:t>
      </w:r>
      <w:r>
        <w:rPr>
          <w:color w:val="auto"/>
          <w:sz w:val="24"/>
        </w:rPr>
        <w:t>)</w:t>
      </w:r>
      <w:r>
        <w:rPr>
          <w:rFonts w:hint="eastAsia"/>
          <w:color w:val="auto"/>
          <w:sz w:val="24"/>
        </w:rPr>
        <w:t>，本项目与《电镀行业规范条件》的对比分析见下表5.5-1。</w:t>
      </w:r>
    </w:p>
    <w:p>
      <w:pPr>
        <w:spacing w:line="360" w:lineRule="auto"/>
        <w:ind w:firstLine="482" w:firstLineChars="200"/>
        <w:jc w:val="center"/>
        <w:rPr>
          <w:b/>
          <w:color w:val="auto"/>
          <w:sz w:val="24"/>
        </w:rPr>
      </w:pPr>
      <w:r>
        <w:rPr>
          <w:rFonts w:hint="eastAsia"/>
          <w:b/>
          <w:color w:val="auto"/>
          <w:sz w:val="24"/>
        </w:rPr>
        <w:t>表5.5</w:t>
      </w:r>
      <w:r>
        <w:rPr>
          <w:b/>
          <w:color w:val="auto"/>
          <w:sz w:val="24"/>
        </w:rPr>
        <w:t xml:space="preserve">-1 </w:t>
      </w:r>
      <w:r>
        <w:rPr>
          <w:rFonts w:hint="eastAsia"/>
          <w:b/>
          <w:color w:val="auto"/>
          <w:sz w:val="24"/>
        </w:rPr>
        <w:t>本项目与《电镀行业规范条件》符合性分析一览表</w:t>
      </w:r>
    </w:p>
    <w:tbl>
      <w:tblPr>
        <w:tblStyle w:val="22"/>
        <w:tblW w:w="14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260"/>
        <w:gridCol w:w="4470"/>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8977" w:type="dxa"/>
            <w:gridSpan w:val="2"/>
            <w:tcBorders>
              <w:top w:val="single" w:color="auto" w:sz="12" w:space="0"/>
              <w:left w:val="nil"/>
              <w:bottom w:val="single" w:color="auto" w:sz="4" w:space="0"/>
              <w:right w:val="single" w:color="auto" w:sz="4" w:space="0"/>
            </w:tcBorders>
            <w:vAlign w:val="center"/>
          </w:tcPr>
          <w:p>
            <w:pPr>
              <w:ind w:firstLine="482"/>
              <w:jc w:val="center"/>
              <w:rPr>
                <w:bCs/>
                <w:color w:val="auto"/>
                <w:szCs w:val="21"/>
              </w:rPr>
            </w:pPr>
            <w:r>
              <w:rPr>
                <w:rFonts w:hint="eastAsia"/>
                <w:bCs/>
                <w:color w:val="auto"/>
                <w:szCs w:val="21"/>
              </w:rPr>
              <w:t>准入条件</w:t>
            </w:r>
          </w:p>
        </w:tc>
        <w:tc>
          <w:tcPr>
            <w:tcW w:w="4470" w:type="dxa"/>
            <w:tcBorders>
              <w:top w:val="single" w:color="auto" w:sz="12" w:space="0"/>
              <w:left w:val="single" w:color="auto" w:sz="4" w:space="0"/>
              <w:bottom w:val="single" w:color="auto" w:sz="4" w:space="0"/>
              <w:right w:val="single" w:color="auto" w:sz="4" w:space="0"/>
            </w:tcBorders>
            <w:vAlign w:val="center"/>
          </w:tcPr>
          <w:p>
            <w:pPr>
              <w:ind w:firstLine="482"/>
              <w:jc w:val="center"/>
              <w:rPr>
                <w:bCs/>
                <w:color w:val="auto"/>
                <w:szCs w:val="21"/>
              </w:rPr>
            </w:pPr>
            <w:r>
              <w:rPr>
                <w:rFonts w:hint="eastAsia"/>
                <w:bCs/>
                <w:color w:val="auto"/>
                <w:szCs w:val="21"/>
              </w:rPr>
              <w:t>本项目情况</w:t>
            </w:r>
          </w:p>
        </w:tc>
        <w:tc>
          <w:tcPr>
            <w:tcW w:w="773" w:type="dxa"/>
            <w:tcBorders>
              <w:top w:val="single" w:color="auto" w:sz="12" w:space="0"/>
              <w:left w:val="single" w:color="auto" w:sz="4" w:space="0"/>
              <w:bottom w:val="single" w:color="auto" w:sz="4" w:space="0"/>
              <w:right w:val="nil"/>
            </w:tcBorders>
            <w:vAlign w:val="center"/>
          </w:tcPr>
          <w:p>
            <w:pPr>
              <w:jc w:val="center"/>
              <w:rPr>
                <w:bCs/>
                <w:color w:val="auto"/>
                <w:szCs w:val="21"/>
              </w:rPr>
            </w:pPr>
            <w:r>
              <w:rPr>
                <w:rFonts w:hint="eastAsia"/>
                <w:bCs/>
                <w:color w:val="auto"/>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restart"/>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一、建设条件和布局</w:t>
            </w: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一</w:t>
            </w:r>
            <w:r>
              <w:rPr>
                <w:color w:val="auto"/>
                <w:szCs w:val="21"/>
              </w:rPr>
              <w:t>)</w:t>
            </w:r>
            <w:r>
              <w:rPr>
                <w:rFonts w:hint="eastAsia"/>
                <w:color w:val="auto"/>
                <w:szCs w:val="21"/>
              </w:rPr>
              <w:t>根据资源、能源状况和市场需求，科学规划行业发展。新、改、扩建项目必须符合国家产业政策，项目选址应符合产业规划、环境保护规划、土地利用规划、环境功能区划以及其他相关规划要求。</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项目建设符合现行国家及福建省产业政策、符合当地规划、环境保护规划、土地利用规划、环境功能区划以及其他相关规划要求。</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numPr>
                <w:ilvl w:val="0"/>
                <w:numId w:val="8"/>
              </w:numPr>
              <w:jc w:val="left"/>
              <w:rPr>
                <w:color w:val="auto"/>
                <w:szCs w:val="21"/>
              </w:rPr>
            </w:pPr>
            <w:r>
              <w:rPr>
                <w:rFonts w:hint="eastAsia"/>
                <w:color w:val="auto"/>
                <w:szCs w:val="21"/>
              </w:rPr>
              <w:t>在国务院、国务院有关部门和省、自治区、直辖市人民政府规定的自然保护区、生态功能保护区、风景名胜区、饮用水水源保护区等重点保护区域不得新建、扩建相关项目。已在上述区域内运营的生产企业应根据区域规划和保护生态环境的需要，依法逐步退出。</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位于福鼎文渡工业项目集中区，不在自然保护区、生态功能保护区、风景名胜区、饮用水水源保护区等重点保护区域。</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三</w:t>
            </w:r>
            <w:r>
              <w:rPr>
                <w:color w:val="auto"/>
                <w:szCs w:val="21"/>
              </w:rPr>
              <w:t>)</w:t>
            </w:r>
            <w:r>
              <w:rPr>
                <w:rFonts w:hint="eastAsia"/>
                <w:color w:val="auto"/>
                <w:szCs w:val="21"/>
              </w:rPr>
              <w:t>新</w:t>
            </w:r>
            <w:r>
              <w:rPr>
                <w:color w:val="auto"/>
                <w:szCs w:val="21"/>
              </w:rPr>
              <w:t>(</w:t>
            </w:r>
            <w:r>
              <w:rPr>
                <w:rFonts w:hint="eastAsia"/>
                <w:color w:val="auto"/>
                <w:szCs w:val="21"/>
              </w:rPr>
              <w:t>扩</w:t>
            </w:r>
            <w:r>
              <w:rPr>
                <w:color w:val="auto"/>
                <w:szCs w:val="21"/>
              </w:rPr>
              <w:t>)</w:t>
            </w:r>
            <w:r>
              <w:rPr>
                <w:rFonts w:hint="eastAsia"/>
                <w:color w:val="auto"/>
                <w:szCs w:val="21"/>
              </w:rPr>
              <w:t>建项目应取得主要污染物总量指标，依法通过建设项目环境影响评价，建设项目环境影响评价文件未经审批不得开工建设，环境保护设施必须与主体工程同时设计、同时施工、同时投产使用，经竣工环保验收合格后方可正式投入生产使用。在已有电镀集中区的地市、新建电镀企业原则上应全部进入电镀集中区。企业各类污染物</w:t>
            </w:r>
            <w:r>
              <w:rPr>
                <w:color w:val="auto"/>
                <w:szCs w:val="21"/>
              </w:rPr>
              <w:t>(</w:t>
            </w:r>
            <w:r>
              <w:rPr>
                <w:rFonts w:hint="eastAsia"/>
                <w:color w:val="auto"/>
                <w:szCs w:val="21"/>
              </w:rPr>
              <w:t>废气、废水、固体废物、厂界噪声</w:t>
            </w:r>
            <w:r>
              <w:rPr>
                <w:color w:val="auto"/>
                <w:szCs w:val="21"/>
              </w:rPr>
              <w:t>)</w:t>
            </w:r>
            <w:r>
              <w:rPr>
                <w:rFonts w:hint="eastAsia"/>
                <w:color w:val="auto"/>
                <w:szCs w:val="21"/>
              </w:rPr>
              <w:t>排放标准与处置措施均符合国家和地方环保标准的规定。</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正在履行环评手续，并按要求申请污染物总量；各类污染物（废气、废水、固体废物、厂界噪声）排放标准与处置措施均符合国家和福建相关环保标准的规定。本项目属于福鼎文渡电镀集控中心内。</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restart"/>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二、生产工艺</w:t>
            </w:r>
          </w:p>
        </w:tc>
        <w:tc>
          <w:tcPr>
            <w:tcW w:w="8260" w:type="dxa"/>
            <w:tcBorders>
              <w:top w:val="single" w:color="auto" w:sz="4" w:space="0"/>
              <w:left w:val="single" w:color="auto" w:sz="4" w:space="0"/>
              <w:bottom w:val="single" w:color="auto" w:sz="4" w:space="0"/>
              <w:right w:val="single" w:color="auto" w:sz="4" w:space="0"/>
            </w:tcBorders>
            <w:vAlign w:val="center"/>
          </w:tcPr>
          <w:p>
            <w:pPr>
              <w:numPr>
                <w:ilvl w:val="0"/>
                <w:numId w:val="9"/>
              </w:numPr>
              <w:jc w:val="left"/>
              <w:rPr>
                <w:color w:val="auto"/>
                <w:szCs w:val="21"/>
              </w:rPr>
            </w:pPr>
            <w:r>
              <w:rPr>
                <w:rFonts w:hint="eastAsia"/>
                <w:color w:val="auto"/>
                <w:szCs w:val="21"/>
              </w:rPr>
              <w:t>电镀企业规模必须满足下列条件之一：</w:t>
            </w:r>
          </w:p>
          <w:p>
            <w:pPr>
              <w:numPr>
                <w:ilvl w:val="0"/>
                <w:numId w:val="10"/>
              </w:numPr>
              <w:jc w:val="left"/>
              <w:rPr>
                <w:color w:val="auto"/>
                <w:szCs w:val="21"/>
              </w:rPr>
            </w:pPr>
            <w:r>
              <w:rPr>
                <w:rFonts w:hint="eastAsia"/>
                <w:color w:val="auto"/>
                <w:szCs w:val="21"/>
              </w:rPr>
              <w:t>电镀生产环节包括清洗槽在内的槽液总量不少于</w:t>
            </w:r>
            <w:r>
              <w:rPr>
                <w:color w:val="auto"/>
                <w:szCs w:val="21"/>
              </w:rPr>
              <w:t>30000</w:t>
            </w:r>
            <w:r>
              <w:rPr>
                <w:rFonts w:hint="eastAsia"/>
                <w:color w:val="auto"/>
                <w:szCs w:val="21"/>
              </w:rPr>
              <w:t>升。</w:t>
            </w:r>
          </w:p>
          <w:p>
            <w:pPr>
              <w:numPr>
                <w:ilvl w:val="0"/>
                <w:numId w:val="10"/>
              </w:numPr>
              <w:jc w:val="left"/>
              <w:rPr>
                <w:color w:val="auto"/>
                <w:szCs w:val="21"/>
              </w:rPr>
            </w:pPr>
            <w:r>
              <w:rPr>
                <w:rFonts w:hint="eastAsia"/>
                <w:color w:val="auto"/>
                <w:szCs w:val="21"/>
              </w:rPr>
              <w:t>电镀生产年产值在</w:t>
            </w:r>
            <w:r>
              <w:rPr>
                <w:color w:val="auto"/>
                <w:szCs w:val="21"/>
              </w:rPr>
              <w:t>2000</w:t>
            </w:r>
            <w:r>
              <w:rPr>
                <w:rFonts w:hint="eastAsia"/>
                <w:color w:val="auto"/>
                <w:szCs w:val="21"/>
              </w:rPr>
              <w:t>万元以上。</w:t>
            </w:r>
          </w:p>
          <w:p>
            <w:pPr>
              <w:numPr>
                <w:ilvl w:val="0"/>
                <w:numId w:val="10"/>
              </w:numPr>
              <w:jc w:val="left"/>
              <w:rPr>
                <w:color w:val="auto"/>
                <w:szCs w:val="21"/>
              </w:rPr>
            </w:pPr>
            <w:r>
              <w:rPr>
                <w:rFonts w:hint="eastAsia"/>
                <w:color w:val="auto"/>
                <w:szCs w:val="21"/>
              </w:rPr>
              <w:t>单位作业面积产值不低于</w:t>
            </w:r>
            <w:r>
              <w:rPr>
                <w:color w:val="auto"/>
                <w:szCs w:val="21"/>
              </w:rPr>
              <w:t>1.5</w:t>
            </w:r>
            <w:r>
              <w:rPr>
                <w:rFonts w:hint="eastAsia"/>
                <w:color w:val="auto"/>
                <w:szCs w:val="21"/>
              </w:rPr>
              <w:t>万元</w:t>
            </w:r>
            <w:r>
              <w:rPr>
                <w:color w:val="auto"/>
                <w:szCs w:val="21"/>
              </w:rPr>
              <w:t>/</w:t>
            </w:r>
            <w:r>
              <w:rPr>
                <w:rFonts w:hint="eastAsia"/>
                <w:color w:val="auto"/>
                <w:szCs w:val="21"/>
              </w:rPr>
              <w:t>平方米。</w:t>
            </w:r>
          </w:p>
          <w:p>
            <w:pPr>
              <w:numPr>
                <w:ilvl w:val="0"/>
                <w:numId w:val="10"/>
              </w:numPr>
              <w:jc w:val="left"/>
              <w:rPr>
                <w:color w:val="auto"/>
                <w:szCs w:val="21"/>
              </w:rPr>
            </w:pPr>
            <w:r>
              <w:rPr>
                <w:rFonts w:hint="eastAsia"/>
                <w:color w:val="auto"/>
                <w:szCs w:val="21"/>
              </w:rPr>
              <w:t>作为中间工序的企业自有车间不受规模限值。</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本项目电镀生产环节包括清洗槽在内的槽液总量</w:t>
            </w:r>
            <w:r>
              <w:rPr>
                <w:rFonts w:hint="eastAsia"/>
                <w:color w:val="auto"/>
                <w:szCs w:val="21"/>
                <w:lang w:val="en-US" w:eastAsia="zh-CN"/>
              </w:rPr>
              <w:t>42000升，</w:t>
            </w:r>
            <w:r>
              <w:rPr>
                <w:rFonts w:hint="eastAsia"/>
                <w:color w:val="auto"/>
                <w:szCs w:val="21"/>
              </w:rPr>
              <w:t>大于</w:t>
            </w:r>
            <w:r>
              <w:rPr>
                <w:color w:val="auto"/>
                <w:szCs w:val="21"/>
              </w:rPr>
              <w:t>30000</w:t>
            </w:r>
            <w:r>
              <w:rPr>
                <w:rFonts w:hint="eastAsia"/>
                <w:color w:val="auto"/>
                <w:szCs w:val="21"/>
              </w:rPr>
              <w:t>升；本项目生产年产值大于</w:t>
            </w:r>
            <w:r>
              <w:rPr>
                <w:color w:val="auto"/>
                <w:szCs w:val="21"/>
              </w:rPr>
              <w:t>2000</w:t>
            </w:r>
            <w:r>
              <w:rPr>
                <w:rFonts w:hint="eastAsia"/>
                <w:color w:val="auto"/>
                <w:szCs w:val="21"/>
              </w:rPr>
              <w:t>万元。</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二</w:t>
            </w:r>
            <w:r>
              <w:rPr>
                <w:color w:val="auto"/>
                <w:szCs w:val="21"/>
              </w:rPr>
              <w:t>)</w:t>
            </w:r>
            <w:r>
              <w:rPr>
                <w:rFonts w:hint="eastAsia"/>
                <w:color w:val="auto"/>
                <w:szCs w:val="21"/>
              </w:rPr>
              <w:t>企业选用低污染、低排放、低能耗、低水耗、经济高效的清洁生产工艺，推广使用《国家重点行业清洁生产技术导向目录》的成熟技术。无《产业结构调整指导目录》淘汰类的生产工艺和本规范条件规定的淘汰落后工艺、装备和产品。</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本项目不涉及《产业结构调整指导目录》淘汰类的生产工艺和淘汰落后工艺、装备和产品</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三</w:t>
            </w:r>
            <w:r>
              <w:rPr>
                <w:color w:val="auto"/>
                <w:szCs w:val="21"/>
              </w:rPr>
              <w:t>)</w:t>
            </w:r>
            <w:r>
              <w:rPr>
                <w:rFonts w:hint="eastAsia"/>
                <w:color w:val="auto"/>
                <w:szCs w:val="21"/>
              </w:rPr>
              <w:t>品种单一、连续性生产的电镀企业要求自动生产线、半自动生产线达到</w:t>
            </w:r>
            <w:r>
              <w:rPr>
                <w:color w:val="auto"/>
                <w:szCs w:val="21"/>
              </w:rPr>
              <w:t>70%</w:t>
            </w:r>
            <w:r>
              <w:rPr>
                <w:rFonts w:hint="eastAsia"/>
                <w:color w:val="auto"/>
                <w:szCs w:val="21"/>
              </w:rPr>
              <w:t>以上。</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本项目为</w:t>
            </w:r>
            <w:r>
              <w:rPr>
                <w:rFonts w:hint="eastAsia"/>
                <w:color w:val="auto"/>
                <w:szCs w:val="21"/>
                <w:lang w:eastAsia="zh-CN"/>
              </w:rPr>
              <w:t>两条自动生产线、一条</w:t>
            </w:r>
            <w:r>
              <w:rPr>
                <w:rFonts w:hint="eastAsia"/>
                <w:color w:val="auto"/>
                <w:szCs w:val="21"/>
              </w:rPr>
              <w:t>半自动生产线</w:t>
            </w:r>
            <w:r>
              <w:rPr>
                <w:rFonts w:hint="eastAsia"/>
                <w:color w:val="auto"/>
                <w:lang w:eastAsia="zh-CN"/>
              </w:rPr>
              <w:t>、一条手工生产线</w:t>
            </w:r>
            <w:r>
              <w:rPr>
                <w:rFonts w:hint="eastAsia"/>
                <w:color w:val="auto"/>
                <w:szCs w:val="21"/>
              </w:rPr>
              <w:t>，满足自动生产线、半自动生产线达到</w:t>
            </w:r>
            <w:r>
              <w:rPr>
                <w:color w:val="auto"/>
                <w:szCs w:val="21"/>
              </w:rPr>
              <w:t>70%</w:t>
            </w:r>
            <w:r>
              <w:rPr>
                <w:rFonts w:hint="eastAsia"/>
                <w:color w:val="auto"/>
                <w:szCs w:val="21"/>
              </w:rPr>
              <w:t>以上</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四</w:t>
            </w:r>
            <w:r>
              <w:rPr>
                <w:color w:val="auto"/>
                <w:szCs w:val="21"/>
              </w:rPr>
              <w:t>)</w:t>
            </w:r>
            <w:r>
              <w:rPr>
                <w:rFonts w:hint="eastAsia"/>
                <w:color w:val="auto"/>
                <w:szCs w:val="21"/>
              </w:rPr>
              <w:t>生产区域地面防腐、防渗、防积液，生产线有槽间收集遗洒镀液和清洗液装置。</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生产区域地面采取防腐、防渗、防积液等措施，生产线有槽间收集遗洒镀液和清洗液装置。</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五</w:t>
            </w:r>
            <w:r>
              <w:rPr>
                <w:color w:val="auto"/>
                <w:szCs w:val="21"/>
              </w:rPr>
              <w:t>)</w:t>
            </w:r>
            <w:r>
              <w:rPr>
                <w:rFonts w:hint="eastAsia"/>
                <w:color w:val="auto"/>
                <w:szCs w:val="21"/>
              </w:rPr>
              <w:t>新</w:t>
            </w:r>
            <w:r>
              <w:rPr>
                <w:color w:val="auto"/>
                <w:szCs w:val="21"/>
              </w:rPr>
              <w:t>(</w:t>
            </w:r>
            <w:r>
              <w:rPr>
                <w:rFonts w:hint="eastAsia"/>
                <w:color w:val="auto"/>
                <w:szCs w:val="21"/>
              </w:rPr>
              <w:t>扩</w:t>
            </w:r>
            <w:r>
              <w:rPr>
                <w:color w:val="auto"/>
                <w:szCs w:val="21"/>
              </w:rPr>
              <w:t>)</w:t>
            </w:r>
            <w:r>
              <w:rPr>
                <w:rFonts w:hint="eastAsia"/>
                <w:color w:val="auto"/>
                <w:szCs w:val="21"/>
              </w:rPr>
              <w:t>建项目生产线配有多级逆流漂洗、喷淋等节水装置及槽液回收装置，槽、罐、管线按</w:t>
            </w:r>
            <w:r>
              <w:rPr>
                <w:color w:val="auto"/>
                <w:szCs w:val="21"/>
              </w:rPr>
              <w:t>“</w:t>
            </w:r>
            <w:r>
              <w:rPr>
                <w:rFonts w:hint="eastAsia"/>
                <w:color w:val="auto"/>
                <w:szCs w:val="21"/>
              </w:rPr>
              <w:t>可视、可控</w:t>
            </w:r>
            <w:r>
              <w:rPr>
                <w:color w:val="auto"/>
                <w:szCs w:val="21"/>
              </w:rPr>
              <w:t>”</w:t>
            </w:r>
            <w:r>
              <w:rPr>
                <w:rFonts w:hint="eastAsia"/>
                <w:color w:val="auto"/>
                <w:szCs w:val="21"/>
              </w:rPr>
              <w:t>原则布置，并有相应的防破损、防腐蚀等防护措施。</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生产线设置</w:t>
            </w:r>
            <w:r>
              <w:rPr>
                <w:color w:val="auto"/>
                <w:szCs w:val="21"/>
              </w:rPr>
              <w:t>2</w:t>
            </w:r>
            <w:r>
              <w:rPr>
                <w:rFonts w:hint="eastAsia"/>
                <w:color w:val="auto"/>
                <w:szCs w:val="21"/>
              </w:rPr>
              <w:t>级及以上的的清洗槽，槽、罐、管线按</w:t>
            </w:r>
            <w:r>
              <w:rPr>
                <w:color w:val="auto"/>
                <w:szCs w:val="21"/>
              </w:rPr>
              <w:t>“</w:t>
            </w:r>
            <w:r>
              <w:rPr>
                <w:rFonts w:hint="eastAsia"/>
                <w:color w:val="auto"/>
                <w:szCs w:val="21"/>
              </w:rPr>
              <w:t>可视、可控</w:t>
            </w:r>
            <w:r>
              <w:rPr>
                <w:color w:val="auto"/>
                <w:szCs w:val="21"/>
              </w:rPr>
              <w:t>”</w:t>
            </w:r>
            <w:r>
              <w:rPr>
                <w:rFonts w:hint="eastAsia"/>
                <w:color w:val="auto"/>
                <w:szCs w:val="21"/>
              </w:rPr>
              <w:t>原则布置，并有相应的防护措施。</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vMerge w:val="continue"/>
            <w:tcBorders>
              <w:top w:val="single" w:color="auto" w:sz="4" w:space="0"/>
              <w:left w:val="nil"/>
              <w:bottom w:val="single" w:color="auto" w:sz="4" w:space="0"/>
              <w:right w:val="single" w:color="auto" w:sz="4" w:space="0"/>
            </w:tcBorders>
            <w:vAlign w:val="center"/>
          </w:tcPr>
          <w:p>
            <w:pPr>
              <w:widowControl/>
              <w:ind w:firstLine="420"/>
              <w:jc w:val="left"/>
              <w:rPr>
                <w:color w:val="auto"/>
                <w:szCs w:val="21"/>
              </w:rPr>
            </w:pP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六</w:t>
            </w:r>
            <w:r>
              <w:rPr>
                <w:color w:val="auto"/>
                <w:szCs w:val="21"/>
              </w:rPr>
              <w:t>)</w:t>
            </w:r>
            <w:r>
              <w:rPr>
                <w:rFonts w:hint="eastAsia"/>
                <w:color w:val="auto"/>
                <w:szCs w:val="21"/>
              </w:rPr>
              <w:t>新</w:t>
            </w:r>
            <w:r>
              <w:rPr>
                <w:color w:val="auto"/>
                <w:szCs w:val="21"/>
              </w:rPr>
              <w:t>(</w:t>
            </w:r>
            <w:r>
              <w:rPr>
                <w:rFonts w:hint="eastAsia"/>
                <w:color w:val="auto"/>
                <w:szCs w:val="21"/>
              </w:rPr>
              <w:t>扩</w:t>
            </w:r>
            <w:r>
              <w:rPr>
                <w:color w:val="auto"/>
                <w:szCs w:val="21"/>
              </w:rPr>
              <w:t>)</w:t>
            </w:r>
            <w:r>
              <w:rPr>
                <w:rFonts w:hint="eastAsia"/>
                <w:color w:val="auto"/>
                <w:szCs w:val="21"/>
              </w:rPr>
              <w:t>建电镀项目根据加工零部件的品种、数量等优先选用高效低耗连续式处理设备，并达到电镀行业清洁生产标准中</w:t>
            </w: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级指标以上水平。</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选用高效低耗连续式处理设备，达到电镀行业清洁生产标准中</w:t>
            </w: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级指标以上水平</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三、资源消耗</w:t>
            </w:r>
          </w:p>
        </w:tc>
        <w:tc>
          <w:tcPr>
            <w:tcW w:w="8260" w:type="dxa"/>
            <w:tcBorders>
              <w:top w:val="single" w:color="auto" w:sz="4" w:space="0"/>
              <w:left w:val="single" w:color="auto" w:sz="4" w:space="0"/>
              <w:bottom w:val="single" w:color="auto" w:sz="4" w:space="0"/>
              <w:right w:val="single" w:color="auto" w:sz="4" w:space="0"/>
            </w:tcBorders>
            <w:vAlign w:val="center"/>
          </w:tcPr>
          <w:p>
            <w:pPr>
              <w:numPr>
                <w:ilvl w:val="0"/>
                <w:numId w:val="11"/>
              </w:numPr>
              <w:jc w:val="left"/>
              <w:rPr>
                <w:color w:val="auto"/>
                <w:szCs w:val="21"/>
              </w:rPr>
            </w:pPr>
            <w:r>
              <w:rPr>
                <w:rFonts w:hint="eastAsia"/>
                <w:color w:val="auto"/>
                <w:szCs w:val="21"/>
              </w:rPr>
              <w:t>电镀企业</w:t>
            </w:r>
            <w:r>
              <w:rPr>
                <w:color w:val="auto"/>
                <w:szCs w:val="21"/>
              </w:rPr>
              <w:t>(</w:t>
            </w:r>
            <w:r>
              <w:rPr>
                <w:rFonts w:hint="eastAsia"/>
                <w:color w:val="auto"/>
                <w:szCs w:val="21"/>
              </w:rPr>
              <w:t>除热浸镀企业以外企业</w:t>
            </w:r>
            <w:r>
              <w:rPr>
                <w:color w:val="auto"/>
                <w:szCs w:val="21"/>
              </w:rPr>
              <w:t>)</w:t>
            </w:r>
            <w:r>
              <w:rPr>
                <w:rFonts w:hint="eastAsia"/>
                <w:color w:val="auto"/>
                <w:szCs w:val="21"/>
              </w:rPr>
              <w:t>有重金属和水资源循环利用设施。</w:t>
            </w:r>
          </w:p>
          <w:p>
            <w:pPr>
              <w:numPr>
                <w:ilvl w:val="0"/>
                <w:numId w:val="12"/>
              </w:numPr>
              <w:jc w:val="left"/>
              <w:rPr>
                <w:color w:val="auto"/>
                <w:szCs w:val="21"/>
              </w:rPr>
            </w:pPr>
            <w:r>
              <w:rPr>
                <w:rFonts w:hint="eastAsia"/>
                <w:color w:val="auto"/>
                <w:szCs w:val="21"/>
              </w:rPr>
              <w:t>镀铜、镀镍、镀硬铬以及镀贵金属等生产线配备工艺技术成熟的带出液回收槽等回收设施。</w:t>
            </w:r>
          </w:p>
          <w:p>
            <w:pPr>
              <w:numPr>
                <w:ilvl w:val="0"/>
                <w:numId w:val="12"/>
              </w:numPr>
              <w:jc w:val="left"/>
              <w:rPr>
                <w:color w:val="auto"/>
                <w:szCs w:val="21"/>
              </w:rPr>
            </w:pPr>
            <w:r>
              <w:rPr>
                <w:rFonts w:hint="eastAsia"/>
                <w:color w:val="auto"/>
                <w:szCs w:val="21"/>
              </w:rPr>
              <w:t>电镀企业单位产品每次清洗取水量不超过</w:t>
            </w:r>
            <w:r>
              <w:rPr>
                <w:color w:val="auto"/>
                <w:szCs w:val="21"/>
              </w:rPr>
              <w:t>0.04</w:t>
            </w:r>
            <w:r>
              <w:rPr>
                <w:rFonts w:hint="eastAsia"/>
                <w:color w:val="auto"/>
                <w:szCs w:val="21"/>
              </w:rPr>
              <w:t>吨</w:t>
            </w:r>
            <w:r>
              <w:rPr>
                <w:color w:val="auto"/>
                <w:szCs w:val="21"/>
              </w:rPr>
              <w:t>/</w:t>
            </w:r>
            <w:r>
              <w:rPr>
                <w:rFonts w:hint="eastAsia"/>
                <w:color w:val="auto"/>
                <w:szCs w:val="21"/>
              </w:rPr>
              <w:t>平方米，水的重复利用率在</w:t>
            </w:r>
            <w:r>
              <w:rPr>
                <w:color w:val="auto"/>
                <w:szCs w:val="21"/>
              </w:rPr>
              <w:t>30%</w:t>
            </w:r>
            <w:r>
              <w:rPr>
                <w:rFonts w:hint="eastAsia"/>
                <w:color w:val="auto"/>
                <w:szCs w:val="21"/>
              </w:rPr>
              <w:t>以上。</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铝氧化及锌钝化槽配备工艺技术成熟的带出液回收槽等回收设施；单位产品每次清洗取水量不超过</w:t>
            </w:r>
            <w:r>
              <w:rPr>
                <w:color w:val="auto"/>
                <w:szCs w:val="21"/>
              </w:rPr>
              <w:t>0.0</w:t>
            </w:r>
            <w:r>
              <w:rPr>
                <w:rFonts w:hint="eastAsia"/>
                <w:color w:val="auto"/>
                <w:szCs w:val="21"/>
              </w:rPr>
              <w:t>28吨</w:t>
            </w:r>
            <w:r>
              <w:rPr>
                <w:color w:val="auto"/>
                <w:szCs w:val="21"/>
              </w:rPr>
              <w:t>/</w:t>
            </w:r>
            <w:r>
              <w:rPr>
                <w:rFonts w:hint="eastAsia"/>
                <w:color w:val="auto"/>
                <w:szCs w:val="21"/>
              </w:rPr>
              <w:t>平方米，水的重复利用率为</w:t>
            </w:r>
            <w:r>
              <w:rPr>
                <w:color w:val="auto"/>
                <w:szCs w:val="21"/>
              </w:rPr>
              <w:t>50%</w:t>
            </w:r>
            <w:r>
              <w:rPr>
                <w:rFonts w:hint="eastAsia"/>
                <w:color w:val="auto"/>
                <w:szCs w:val="21"/>
              </w:rPr>
              <w:t>。</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四、环境保护</w:t>
            </w:r>
          </w:p>
        </w:tc>
        <w:tc>
          <w:tcPr>
            <w:tcW w:w="8260" w:type="dxa"/>
            <w:tcBorders>
              <w:top w:val="single" w:color="auto" w:sz="4" w:space="0"/>
              <w:left w:val="single" w:color="auto" w:sz="4" w:space="0"/>
              <w:bottom w:val="single" w:color="auto" w:sz="4" w:space="0"/>
              <w:right w:val="single" w:color="auto" w:sz="4" w:space="0"/>
            </w:tcBorders>
            <w:vAlign w:val="center"/>
          </w:tcPr>
          <w:p>
            <w:pPr>
              <w:numPr>
                <w:ilvl w:val="0"/>
                <w:numId w:val="13"/>
              </w:numPr>
              <w:jc w:val="left"/>
              <w:rPr>
                <w:color w:val="auto"/>
                <w:szCs w:val="21"/>
              </w:rPr>
            </w:pPr>
            <w:r>
              <w:rPr>
                <w:rFonts w:hint="eastAsia"/>
                <w:color w:val="auto"/>
                <w:szCs w:val="21"/>
              </w:rPr>
              <w:t>企业符合环保法律法规要求，依法获得排污许可证，并按照排污许可证的要求排放污染物；定期开展清洁生产审核并通过评估验收。</w:t>
            </w:r>
          </w:p>
          <w:p>
            <w:pPr>
              <w:numPr>
                <w:ilvl w:val="0"/>
                <w:numId w:val="13"/>
              </w:numPr>
              <w:jc w:val="left"/>
              <w:rPr>
                <w:color w:val="auto"/>
                <w:szCs w:val="21"/>
              </w:rPr>
            </w:pPr>
            <w:r>
              <w:rPr>
                <w:rFonts w:hint="eastAsia"/>
                <w:color w:val="auto"/>
                <w:szCs w:val="21"/>
              </w:rPr>
              <w:t>企业有废气净化装置，废气排放符合国家或地方大气污染物排放标准。</w:t>
            </w:r>
          </w:p>
          <w:p>
            <w:pPr>
              <w:numPr>
                <w:ilvl w:val="0"/>
                <w:numId w:val="13"/>
              </w:numPr>
              <w:jc w:val="left"/>
              <w:rPr>
                <w:color w:val="auto"/>
                <w:szCs w:val="21"/>
              </w:rPr>
            </w:pPr>
            <w:r>
              <w:rPr>
                <w:rFonts w:hint="eastAsia"/>
                <w:color w:val="auto"/>
                <w:szCs w:val="21"/>
              </w:rPr>
              <w:t>企业有合格废水处理设施，电镀企业和拥有电镀设施企业经处理后的废水符合国家《电镀污染物排放标准》</w:t>
            </w:r>
            <w:r>
              <w:rPr>
                <w:color w:val="auto"/>
                <w:szCs w:val="21"/>
              </w:rPr>
              <w:t>(GB21900)</w:t>
            </w:r>
            <w:r>
              <w:rPr>
                <w:rFonts w:hint="eastAsia"/>
                <w:color w:val="auto"/>
                <w:szCs w:val="21"/>
              </w:rPr>
              <w:t>有关水污染物排放限值要求或地方水污染物排放标准，排放的废水接受公众的监督；其余纳入本规范条件的企业符合《污水综合排放标准》</w:t>
            </w:r>
            <w:r>
              <w:rPr>
                <w:color w:val="auto"/>
                <w:szCs w:val="21"/>
              </w:rPr>
              <w:t>(GB8978)</w:t>
            </w:r>
            <w:r>
              <w:rPr>
                <w:rFonts w:hint="eastAsia"/>
                <w:color w:val="auto"/>
                <w:szCs w:val="21"/>
              </w:rPr>
              <w:t>或地方水污染物排放限值要求。</w:t>
            </w:r>
          </w:p>
          <w:p>
            <w:pPr>
              <w:numPr>
                <w:ilvl w:val="0"/>
                <w:numId w:val="13"/>
              </w:numPr>
              <w:jc w:val="left"/>
              <w:rPr>
                <w:color w:val="auto"/>
                <w:szCs w:val="21"/>
              </w:rPr>
            </w:pPr>
            <w:r>
              <w:rPr>
                <w:rFonts w:hint="eastAsia"/>
                <w:color w:val="auto"/>
                <w:szCs w:val="21"/>
              </w:rPr>
              <w:t>企业产生的危险废物按照《国家危险废物名录》和《危险废物贮存污染控制标准》</w:t>
            </w:r>
            <w:r>
              <w:rPr>
                <w:color w:val="auto"/>
                <w:szCs w:val="21"/>
              </w:rPr>
              <w:t>(GB18597)</w:t>
            </w:r>
            <w:r>
              <w:rPr>
                <w:rFonts w:hint="eastAsia"/>
                <w:color w:val="auto"/>
                <w:szCs w:val="21"/>
              </w:rPr>
              <w:t>，设置规范的分类收集容器进行分类收集，并按照危险废物转移联单管理办法》要求，交由有处置相关危险废物资质的机构处置，鼓励企业或危险废物处理机构进行资源再生或再利用。</w:t>
            </w:r>
          </w:p>
          <w:p>
            <w:pPr>
              <w:numPr>
                <w:ilvl w:val="0"/>
                <w:numId w:val="13"/>
              </w:numPr>
              <w:jc w:val="left"/>
              <w:rPr>
                <w:color w:val="auto"/>
                <w:szCs w:val="21"/>
              </w:rPr>
            </w:pPr>
            <w:r>
              <w:rPr>
                <w:rFonts w:hint="eastAsia"/>
                <w:color w:val="auto"/>
                <w:szCs w:val="21"/>
              </w:rPr>
              <w:t>厂界噪声应符合《工业企业厂界噪声标准》（</w:t>
            </w:r>
            <w:r>
              <w:rPr>
                <w:color w:val="auto"/>
                <w:szCs w:val="21"/>
              </w:rPr>
              <w:t>GB12348</w:t>
            </w:r>
            <w:r>
              <w:rPr>
                <w:rFonts w:hint="eastAsia"/>
                <w:color w:val="auto"/>
                <w:szCs w:val="21"/>
              </w:rPr>
              <w:t>）要求。</w:t>
            </w:r>
          </w:p>
          <w:p>
            <w:pPr>
              <w:numPr>
                <w:ilvl w:val="0"/>
                <w:numId w:val="13"/>
              </w:numPr>
              <w:jc w:val="left"/>
              <w:rPr>
                <w:color w:val="auto"/>
                <w:szCs w:val="21"/>
              </w:rPr>
            </w:pPr>
            <w:r>
              <w:rPr>
                <w:rFonts w:hint="eastAsia"/>
                <w:color w:val="auto"/>
                <w:szCs w:val="21"/>
              </w:rPr>
              <w:t>属于国家重点监控源的企业应开展自行监测并按照《国家重点监控企业自行监测及信息公开办法（试行）》（环发</w:t>
            </w:r>
            <w:r>
              <w:rPr>
                <w:color w:val="auto"/>
                <w:szCs w:val="21"/>
              </w:rPr>
              <w:t>[2014] 81</w:t>
            </w:r>
            <w:r>
              <w:rPr>
                <w:rFonts w:hint="eastAsia"/>
                <w:color w:val="auto"/>
                <w:szCs w:val="21"/>
              </w:rPr>
              <w:t>号）要求，在环境保护主管部门组织的平台上及时发布自行监测信息。</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rFonts w:hint="eastAsia"/>
                <w:color w:val="auto"/>
                <w:szCs w:val="21"/>
              </w:rPr>
              <w:t>设废气净化装置，废气排放符合国家或福建相关大气污染物排放标准；</w:t>
            </w:r>
          </w:p>
          <w:p>
            <w:pPr>
              <w:jc w:val="left"/>
              <w:rPr>
                <w:color w:val="auto"/>
                <w:szCs w:val="21"/>
              </w:rPr>
            </w:pPr>
            <w:r>
              <w:rPr>
                <w:rFonts w:hint="eastAsia"/>
                <w:color w:val="auto"/>
                <w:szCs w:val="21"/>
              </w:rPr>
              <w:t>生产废水分质分流排入集控中心污水处理站处理，生活污水经化粪池处理后排入福鼎文渡污水处理厂处理，符合《电镀污染物排放标准》</w:t>
            </w:r>
            <w:r>
              <w:rPr>
                <w:color w:val="auto"/>
                <w:szCs w:val="21"/>
              </w:rPr>
              <w:t>(GB21900-2008)</w:t>
            </w:r>
            <w:r>
              <w:rPr>
                <w:rFonts w:hint="eastAsia"/>
                <w:color w:val="auto"/>
                <w:szCs w:val="21"/>
              </w:rPr>
              <w:t>及《污水综合排放标准》</w:t>
            </w:r>
            <w:r>
              <w:rPr>
                <w:color w:val="auto"/>
                <w:szCs w:val="21"/>
              </w:rPr>
              <w:t>(GB8978-1996)</w:t>
            </w:r>
            <w:r>
              <w:rPr>
                <w:rFonts w:hint="eastAsia"/>
                <w:color w:val="auto"/>
                <w:szCs w:val="21"/>
              </w:rPr>
              <w:t>的相关要求；</w:t>
            </w:r>
          </w:p>
          <w:p>
            <w:pPr>
              <w:jc w:val="left"/>
              <w:rPr>
                <w:color w:val="auto"/>
                <w:szCs w:val="21"/>
              </w:rPr>
            </w:pPr>
            <w:r>
              <w:rPr>
                <w:rFonts w:hint="eastAsia"/>
                <w:color w:val="auto"/>
                <w:szCs w:val="21"/>
              </w:rPr>
              <w:t>危险废物</w:t>
            </w:r>
            <w:r>
              <w:rPr>
                <w:rFonts w:hint="eastAsia"/>
                <w:color w:val="auto"/>
                <w:szCs w:val="21"/>
                <w:lang w:eastAsia="zh-CN"/>
              </w:rPr>
              <w:t>依托文渡金属表面处理集控中心危废暂存间，由文渡金属表面处理集控中心</w:t>
            </w:r>
            <w:r>
              <w:rPr>
                <w:rFonts w:hint="eastAsia"/>
                <w:color w:val="auto"/>
                <w:szCs w:val="21"/>
              </w:rPr>
              <w:t>按照《国家危险废物名录》和《危险废物贮存污染控制标准》</w:t>
            </w:r>
            <w:r>
              <w:rPr>
                <w:color w:val="auto"/>
                <w:szCs w:val="21"/>
              </w:rPr>
              <w:t>(GB18597)</w:t>
            </w:r>
            <w:r>
              <w:rPr>
                <w:rFonts w:hint="eastAsia"/>
                <w:color w:val="auto"/>
                <w:szCs w:val="21"/>
              </w:rPr>
              <w:t>，设置规范的分类收集容器进行分类收集，交由有处置相关危险废物资质的机构处置；</w:t>
            </w:r>
          </w:p>
          <w:p>
            <w:pPr>
              <w:jc w:val="left"/>
              <w:rPr>
                <w:color w:val="auto"/>
                <w:szCs w:val="21"/>
              </w:rPr>
            </w:pPr>
            <w:r>
              <w:rPr>
                <w:rFonts w:hint="eastAsia"/>
                <w:color w:val="auto"/>
                <w:szCs w:val="21"/>
              </w:rPr>
              <w:t>厂界噪声符合《工业企业厂界噪声标准》</w:t>
            </w:r>
            <w:r>
              <w:rPr>
                <w:color w:val="auto"/>
                <w:szCs w:val="21"/>
              </w:rPr>
              <w:t>(GB12348-2008)</w:t>
            </w:r>
            <w:r>
              <w:rPr>
                <w:rFonts w:hint="eastAsia"/>
                <w:color w:val="auto"/>
                <w:szCs w:val="21"/>
              </w:rPr>
              <w:t>要求。</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五、安全、职业卫生</w:t>
            </w:r>
          </w:p>
        </w:tc>
        <w:tc>
          <w:tcPr>
            <w:tcW w:w="826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w:t>
            </w:r>
            <w:r>
              <w:rPr>
                <w:rFonts w:hint="eastAsia"/>
                <w:color w:val="auto"/>
                <w:szCs w:val="21"/>
              </w:rPr>
              <w:t>一</w:t>
            </w:r>
            <w:r>
              <w:rPr>
                <w:color w:val="auto"/>
                <w:szCs w:val="21"/>
              </w:rPr>
              <w:t>)</w:t>
            </w:r>
            <w:r>
              <w:rPr>
                <w:rFonts w:hint="eastAsia"/>
                <w:color w:val="auto"/>
                <w:szCs w:val="21"/>
              </w:rPr>
              <w:t>企业遵守《中华人民共和国安全生产法》、《中华人民共和国职业病防治法》等法律法规，有健全的安全生产和职业卫生管理制度；具备有关法律、行政法规和国家标准或行业标准规定的安全生产、职业卫生防护条件。</w:t>
            </w:r>
          </w:p>
          <w:p>
            <w:pPr>
              <w:jc w:val="left"/>
              <w:rPr>
                <w:color w:val="auto"/>
                <w:szCs w:val="21"/>
              </w:rPr>
            </w:pPr>
            <w:r>
              <w:rPr>
                <w:color w:val="auto"/>
                <w:szCs w:val="21"/>
              </w:rPr>
              <w:t>(</w:t>
            </w:r>
            <w:r>
              <w:rPr>
                <w:rFonts w:hint="eastAsia"/>
                <w:color w:val="auto"/>
                <w:szCs w:val="21"/>
              </w:rPr>
              <w:t>二</w:t>
            </w:r>
            <w:r>
              <w:rPr>
                <w:color w:val="auto"/>
                <w:szCs w:val="21"/>
              </w:rPr>
              <w:t>)</w:t>
            </w:r>
            <w:r>
              <w:rPr>
                <w:rFonts w:hint="eastAsia"/>
                <w:color w:val="auto"/>
                <w:szCs w:val="21"/>
              </w:rPr>
              <w:t>有健全的危险化学品管理制度。</w:t>
            </w:r>
          </w:p>
          <w:p>
            <w:pPr>
              <w:jc w:val="left"/>
              <w:rPr>
                <w:color w:val="auto"/>
                <w:szCs w:val="21"/>
              </w:rPr>
            </w:pPr>
            <w:r>
              <w:rPr>
                <w:color w:val="auto"/>
                <w:szCs w:val="21"/>
              </w:rPr>
              <w:t>(</w:t>
            </w:r>
            <w:r>
              <w:rPr>
                <w:rFonts w:hint="eastAsia"/>
                <w:color w:val="auto"/>
                <w:szCs w:val="21"/>
              </w:rPr>
              <w:t>三</w:t>
            </w:r>
            <w:r>
              <w:rPr>
                <w:color w:val="auto"/>
                <w:szCs w:val="21"/>
              </w:rPr>
              <w:t>)</w:t>
            </w:r>
            <w:r>
              <w:rPr>
                <w:rFonts w:hint="eastAsia"/>
                <w:color w:val="auto"/>
                <w:szCs w:val="21"/>
              </w:rPr>
              <w:t>企业有职业病防护设施，从业人员配备符合国家标准的劳动防护用品，定期开展职业卫生检查。企业每年组织有毒有害岗位职工体检，体检覆盖率达到</w:t>
            </w:r>
            <w:r>
              <w:rPr>
                <w:color w:val="auto"/>
                <w:szCs w:val="21"/>
              </w:rPr>
              <w:t>100%</w:t>
            </w:r>
            <w:r>
              <w:rPr>
                <w:rFonts w:hint="eastAsia"/>
                <w:color w:val="auto"/>
                <w:szCs w:val="21"/>
              </w:rPr>
              <w:t>。</w:t>
            </w:r>
          </w:p>
          <w:p>
            <w:pPr>
              <w:jc w:val="left"/>
              <w:rPr>
                <w:color w:val="auto"/>
                <w:szCs w:val="21"/>
              </w:rPr>
            </w:pPr>
            <w:r>
              <w:rPr>
                <w:color w:val="auto"/>
                <w:szCs w:val="21"/>
              </w:rPr>
              <w:t>(</w:t>
            </w:r>
            <w:r>
              <w:rPr>
                <w:rFonts w:hint="eastAsia"/>
                <w:color w:val="auto"/>
                <w:szCs w:val="21"/>
              </w:rPr>
              <w:t>四</w:t>
            </w:r>
            <w:r>
              <w:rPr>
                <w:color w:val="auto"/>
                <w:szCs w:val="21"/>
              </w:rPr>
              <w:t>)</w:t>
            </w:r>
            <w:r>
              <w:rPr>
                <w:rFonts w:hint="eastAsia"/>
                <w:color w:val="auto"/>
                <w:szCs w:val="21"/>
              </w:rPr>
              <w:t>新（扩）建项目安全设施和职业病防护设施必须与主体工程同时设计、同时施工、同时投入使用。</w:t>
            </w:r>
          </w:p>
          <w:p>
            <w:pPr>
              <w:jc w:val="left"/>
              <w:rPr>
                <w:color w:val="auto"/>
                <w:szCs w:val="21"/>
              </w:rPr>
            </w:pPr>
            <w:r>
              <w:rPr>
                <w:color w:val="auto"/>
                <w:szCs w:val="21"/>
              </w:rPr>
              <w:t>(</w:t>
            </w:r>
            <w:r>
              <w:rPr>
                <w:rFonts w:hint="eastAsia"/>
                <w:color w:val="auto"/>
                <w:szCs w:val="21"/>
              </w:rPr>
              <w:t>五</w:t>
            </w:r>
            <w:r>
              <w:rPr>
                <w:color w:val="auto"/>
                <w:szCs w:val="21"/>
              </w:rPr>
              <w:t>)</w:t>
            </w:r>
            <w:r>
              <w:rPr>
                <w:rFonts w:hint="eastAsia"/>
                <w:color w:val="auto"/>
                <w:szCs w:val="21"/>
              </w:rPr>
              <w:t>企业应制定突发安全事故应急预案，并向当地安全生产监管部门报备。</w:t>
            </w:r>
          </w:p>
          <w:p>
            <w:pPr>
              <w:jc w:val="left"/>
              <w:rPr>
                <w:color w:val="auto"/>
                <w:szCs w:val="21"/>
              </w:rPr>
            </w:pPr>
            <w:r>
              <w:rPr>
                <w:color w:val="auto"/>
                <w:szCs w:val="21"/>
              </w:rPr>
              <w:t>(</w:t>
            </w:r>
            <w:r>
              <w:rPr>
                <w:rFonts w:hint="eastAsia"/>
                <w:color w:val="auto"/>
                <w:szCs w:val="21"/>
              </w:rPr>
              <w:t>六</w:t>
            </w:r>
            <w:r>
              <w:rPr>
                <w:color w:val="auto"/>
                <w:szCs w:val="21"/>
              </w:rPr>
              <w:t>)</w:t>
            </w:r>
            <w:r>
              <w:rPr>
                <w:rFonts w:hint="eastAsia"/>
                <w:color w:val="auto"/>
                <w:szCs w:val="21"/>
              </w:rPr>
              <w:t>企业定期对员工进行</w:t>
            </w:r>
            <w:r>
              <w:rPr>
                <w:rFonts w:hint="eastAsia"/>
                <w:color w:val="auto"/>
                <w:szCs w:val="21"/>
              </w:rPr>
              <w:fldChar w:fldCharType="begin"/>
            </w:r>
            <w:r>
              <w:rPr>
                <w:rFonts w:hint="eastAsia"/>
                <w:color w:val="auto"/>
                <w:szCs w:val="21"/>
              </w:rPr>
              <w:instrText xml:space="preserve"> HYPERLINK "http://zhidao.baidu.com/search?word=%E5%AE%89%E5%85%A8%E6%95%99%E8%82%B2&amp;fr=qb_search_exp&amp;ie=utf8" \t "_blank" </w:instrText>
            </w:r>
            <w:r>
              <w:rPr>
                <w:rFonts w:hint="eastAsia"/>
                <w:color w:val="auto"/>
                <w:szCs w:val="21"/>
              </w:rPr>
              <w:fldChar w:fldCharType="separate"/>
            </w:r>
            <w:r>
              <w:rPr>
                <w:rFonts w:hint="eastAsia"/>
                <w:color w:val="auto"/>
                <w:szCs w:val="21"/>
              </w:rPr>
              <w:t>安全</w:t>
            </w:r>
            <w:r>
              <w:rPr>
                <w:rFonts w:hint="eastAsia"/>
                <w:color w:val="auto"/>
                <w:szCs w:val="21"/>
              </w:rPr>
              <w:fldChar w:fldCharType="end"/>
            </w:r>
            <w:r>
              <w:rPr>
                <w:rFonts w:hint="eastAsia"/>
                <w:color w:val="auto"/>
                <w:szCs w:val="21"/>
              </w:rPr>
              <w:t>和职业卫生教育。</w:t>
            </w:r>
          </w:p>
        </w:tc>
        <w:tc>
          <w:tcPr>
            <w:tcW w:w="4470" w:type="dxa"/>
            <w:tcBorders>
              <w:top w:val="single" w:color="auto" w:sz="4" w:space="0"/>
              <w:left w:val="single" w:color="auto" w:sz="4" w:space="0"/>
              <w:bottom w:val="single" w:color="auto" w:sz="4" w:space="0"/>
              <w:right w:val="single" w:color="auto" w:sz="4" w:space="0"/>
            </w:tcBorders>
            <w:vAlign w:val="center"/>
          </w:tcPr>
          <w:p>
            <w:pPr>
              <w:jc w:val="left"/>
              <w:rPr>
                <w:color w:val="auto"/>
                <w:szCs w:val="21"/>
              </w:rPr>
            </w:pPr>
            <w:r>
              <w:rPr>
                <w:color w:val="auto"/>
                <w:szCs w:val="21"/>
              </w:rPr>
              <w:t>(1)</w:t>
            </w:r>
            <w:r>
              <w:rPr>
                <w:rFonts w:hint="eastAsia"/>
                <w:color w:val="auto"/>
                <w:szCs w:val="21"/>
              </w:rPr>
              <w:t>有劳动保护和安全生产的规章制度；</w:t>
            </w:r>
          </w:p>
          <w:p>
            <w:pPr>
              <w:jc w:val="left"/>
              <w:rPr>
                <w:color w:val="auto"/>
                <w:szCs w:val="21"/>
              </w:rPr>
            </w:pPr>
            <w:r>
              <w:rPr>
                <w:color w:val="auto"/>
                <w:szCs w:val="21"/>
              </w:rPr>
              <w:t>(2)</w:t>
            </w:r>
            <w:r>
              <w:rPr>
                <w:rFonts w:hint="eastAsia"/>
                <w:color w:val="auto"/>
                <w:szCs w:val="21"/>
              </w:rPr>
              <w:t>已制定了危险化学品管理制度；</w:t>
            </w:r>
          </w:p>
          <w:p>
            <w:pPr>
              <w:jc w:val="left"/>
              <w:rPr>
                <w:color w:val="auto"/>
                <w:szCs w:val="21"/>
              </w:rPr>
            </w:pPr>
            <w:r>
              <w:rPr>
                <w:color w:val="auto"/>
                <w:szCs w:val="21"/>
              </w:rPr>
              <w:t>(3)</w:t>
            </w:r>
            <w:r>
              <w:rPr>
                <w:rFonts w:hint="eastAsia"/>
                <w:color w:val="auto"/>
                <w:szCs w:val="21"/>
              </w:rPr>
              <w:t>有专职安环管理部门及健全的管理制度。</w:t>
            </w:r>
          </w:p>
        </w:tc>
        <w:tc>
          <w:tcPr>
            <w:tcW w:w="773"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717" w:type="dxa"/>
            <w:tcBorders>
              <w:top w:val="single" w:color="auto" w:sz="4" w:space="0"/>
              <w:left w:val="nil"/>
              <w:bottom w:val="single" w:color="auto" w:sz="12" w:space="0"/>
              <w:right w:val="single" w:color="auto" w:sz="4" w:space="0"/>
            </w:tcBorders>
            <w:vAlign w:val="center"/>
          </w:tcPr>
          <w:p>
            <w:pPr>
              <w:jc w:val="center"/>
              <w:rPr>
                <w:color w:val="auto"/>
                <w:szCs w:val="21"/>
              </w:rPr>
            </w:pPr>
            <w:r>
              <w:rPr>
                <w:rFonts w:hint="eastAsia"/>
                <w:color w:val="auto"/>
                <w:szCs w:val="21"/>
              </w:rPr>
              <w:t>六、人员素质</w:t>
            </w:r>
          </w:p>
        </w:tc>
        <w:tc>
          <w:tcPr>
            <w:tcW w:w="8260" w:type="dxa"/>
            <w:tcBorders>
              <w:top w:val="single" w:color="auto" w:sz="4" w:space="0"/>
              <w:left w:val="single" w:color="auto" w:sz="4" w:space="0"/>
              <w:bottom w:val="single" w:color="auto" w:sz="12" w:space="0"/>
              <w:right w:val="single" w:color="auto" w:sz="4" w:space="0"/>
            </w:tcBorders>
            <w:vAlign w:val="center"/>
          </w:tcPr>
          <w:p>
            <w:pPr>
              <w:rPr>
                <w:color w:val="auto"/>
                <w:szCs w:val="21"/>
              </w:rPr>
            </w:pPr>
            <w:r>
              <w:rPr>
                <w:rFonts w:hint="eastAsia"/>
                <w:color w:val="auto"/>
                <w:szCs w:val="21"/>
              </w:rPr>
              <w:t>生产、废水处理等岗位员工经专业技能培训，获得行业培训机构颁发的合格证书。特殊岗位操作人员取得相关工种职业技能鉴定等级证书，持证上岗。企业有中级及以上职称的技术管理人员。</w:t>
            </w:r>
          </w:p>
        </w:tc>
        <w:tc>
          <w:tcPr>
            <w:tcW w:w="4470" w:type="dxa"/>
            <w:tcBorders>
              <w:top w:val="single" w:color="auto" w:sz="4" w:space="0"/>
              <w:left w:val="single" w:color="auto" w:sz="4" w:space="0"/>
              <w:bottom w:val="single" w:color="auto" w:sz="12" w:space="0"/>
              <w:right w:val="single" w:color="auto" w:sz="4" w:space="0"/>
            </w:tcBorders>
            <w:vAlign w:val="center"/>
          </w:tcPr>
          <w:p>
            <w:pPr>
              <w:jc w:val="left"/>
              <w:rPr>
                <w:color w:val="auto"/>
                <w:szCs w:val="21"/>
              </w:rPr>
            </w:pPr>
            <w:r>
              <w:rPr>
                <w:rFonts w:hint="eastAsia"/>
                <w:color w:val="auto"/>
                <w:szCs w:val="21"/>
              </w:rPr>
              <w:t>岗位员工经专业技能培训。</w:t>
            </w:r>
          </w:p>
        </w:tc>
        <w:tc>
          <w:tcPr>
            <w:tcW w:w="773" w:type="dxa"/>
            <w:tcBorders>
              <w:top w:val="single" w:color="auto" w:sz="4" w:space="0"/>
              <w:left w:val="single" w:color="auto" w:sz="4" w:space="0"/>
              <w:bottom w:val="single" w:color="auto" w:sz="12" w:space="0"/>
              <w:right w:val="nil"/>
            </w:tcBorders>
            <w:vAlign w:val="center"/>
          </w:tcPr>
          <w:p>
            <w:pPr>
              <w:jc w:val="center"/>
              <w:rPr>
                <w:color w:val="auto"/>
                <w:szCs w:val="21"/>
              </w:rPr>
            </w:pPr>
            <w:r>
              <w:rPr>
                <w:rFonts w:hint="eastAsia"/>
                <w:color w:val="auto"/>
                <w:szCs w:val="21"/>
              </w:rPr>
              <w:t>符合</w:t>
            </w:r>
          </w:p>
        </w:tc>
      </w:tr>
    </w:tbl>
    <w:p>
      <w:pPr>
        <w:spacing w:line="360" w:lineRule="auto"/>
        <w:outlineLvl w:val="2"/>
        <w:rPr>
          <w:b/>
          <w:color w:val="auto"/>
          <w:sz w:val="24"/>
        </w:rPr>
        <w:sectPr>
          <w:pgSz w:w="16838" w:h="11906" w:orient="landscape"/>
          <w:pgMar w:top="1417" w:right="1418" w:bottom="1417" w:left="1418" w:header="992" w:footer="992" w:gutter="0"/>
          <w:pgBorders>
            <w:top w:val="none" w:sz="0" w:space="0"/>
            <w:left w:val="none" w:sz="0" w:space="0"/>
            <w:bottom w:val="none" w:sz="0" w:space="0"/>
            <w:right w:val="none" w:sz="0" w:space="0"/>
          </w:pgBorders>
          <w:cols w:space="0" w:num="1"/>
        </w:sectPr>
      </w:pPr>
    </w:p>
    <w:p>
      <w:pPr>
        <w:spacing w:line="360" w:lineRule="auto"/>
        <w:ind w:firstLine="480" w:firstLineChars="200"/>
        <w:rPr>
          <w:rFonts w:hAnsi="宋体"/>
          <w:color w:val="auto"/>
          <w:sz w:val="24"/>
        </w:rPr>
      </w:pPr>
      <w:r>
        <w:rPr>
          <w:rFonts w:hint="eastAsia" w:hAnsi="宋体"/>
          <w:color w:val="auto"/>
          <w:sz w:val="24"/>
        </w:rPr>
        <w:t>本项目位于福鼎市文渡工业集控区，产业布局符合规范要求。本项目电镀生产环节包括清洗槽在内的槽液总量</w:t>
      </w:r>
      <w:r>
        <w:rPr>
          <w:rFonts w:hint="eastAsia" w:hAnsi="宋体"/>
          <w:color w:val="auto"/>
          <w:sz w:val="24"/>
          <w:lang w:val="en-US" w:eastAsia="zh-CN"/>
        </w:rPr>
        <w:t>42000L，</w:t>
      </w:r>
      <w:r>
        <w:rPr>
          <w:rFonts w:hint="eastAsia" w:hAnsi="宋体"/>
          <w:color w:val="auto"/>
          <w:sz w:val="24"/>
        </w:rPr>
        <w:t>不少于</w:t>
      </w:r>
      <w:r>
        <w:rPr>
          <w:rFonts w:hAnsi="宋体"/>
          <w:color w:val="auto"/>
          <w:sz w:val="24"/>
        </w:rPr>
        <w:t>30000L</w:t>
      </w:r>
      <w:r>
        <w:rPr>
          <w:rFonts w:hint="eastAsia" w:hAnsi="宋体"/>
          <w:color w:val="auto"/>
          <w:sz w:val="24"/>
        </w:rPr>
        <w:t>；清洁生产达到二级水平，自动线、半自动线达</w:t>
      </w:r>
      <w:r>
        <w:rPr>
          <w:rFonts w:hAnsi="宋体"/>
          <w:color w:val="auto"/>
          <w:sz w:val="24"/>
        </w:rPr>
        <w:t>70%</w:t>
      </w:r>
      <w:r>
        <w:rPr>
          <w:rFonts w:hint="eastAsia" w:hAnsi="宋体"/>
          <w:color w:val="auto"/>
          <w:sz w:val="24"/>
        </w:rPr>
        <w:t>以上，生产区域也要求做到防腐、防渗、防积液；清洗方式无单槽清洗，均为二级以上清洗方式，设置回收槽，槽、罐、管线均“可视、可控”，在规模、工艺和装备上也基本符合规范要求；资源消耗上，根据中心要求，水回用率为</w:t>
      </w:r>
      <w:r>
        <w:rPr>
          <w:rFonts w:hAnsi="宋体"/>
          <w:color w:val="auto"/>
          <w:sz w:val="24"/>
        </w:rPr>
        <w:t>50%</w:t>
      </w:r>
      <w:r>
        <w:rPr>
          <w:rFonts w:hint="eastAsia" w:hAnsi="宋体"/>
          <w:color w:val="auto"/>
          <w:sz w:val="24"/>
        </w:rPr>
        <w:t>，符合规范要求。因此，本项目建设符合《电镀行业规范条件》。</w:t>
      </w:r>
    </w:p>
    <w:p>
      <w:pPr>
        <w:spacing w:line="360" w:lineRule="auto"/>
        <w:ind w:firstLine="480" w:firstLineChars="200"/>
        <w:rPr>
          <w:rFonts w:hAnsi="宋体"/>
          <w:color w:val="auto"/>
          <w:sz w:val="24"/>
        </w:rPr>
      </w:pPr>
      <w:r>
        <w:rPr>
          <w:rFonts w:hint="eastAsia" w:hAnsi="宋体"/>
          <w:color w:val="auto"/>
          <w:sz w:val="24"/>
        </w:rPr>
        <w:t>综上所述，本项目的建设基本符合国家当前的产业政策，项目涉及氰化镀铜属于</w:t>
      </w:r>
      <w:r>
        <w:rPr>
          <w:rFonts w:hint="eastAsia"/>
          <w:color w:val="auto"/>
          <w:sz w:val="24"/>
        </w:rPr>
        <w:t>《产业结构调整指导目录（</w:t>
      </w:r>
      <w:r>
        <w:rPr>
          <w:color w:val="auto"/>
          <w:sz w:val="24"/>
        </w:rPr>
        <w:t>2011</w:t>
      </w:r>
      <w:r>
        <w:rPr>
          <w:rFonts w:hint="eastAsia"/>
          <w:color w:val="auto"/>
          <w:sz w:val="24"/>
        </w:rPr>
        <w:t>年本）》</w:t>
      </w:r>
      <w:r>
        <w:rPr>
          <w:color w:val="auto"/>
          <w:sz w:val="24"/>
        </w:rPr>
        <w:t>2013</w:t>
      </w:r>
      <w:r>
        <w:rPr>
          <w:rFonts w:hint="eastAsia"/>
          <w:color w:val="auto"/>
          <w:sz w:val="24"/>
        </w:rPr>
        <w:t>年修订中暂缓淘汰工艺，要求若后期政策要求淘汰氰化镀铜工艺，企业应该按照最新政策要求对生产线进行升级整改</w:t>
      </w:r>
      <w:r>
        <w:rPr>
          <w:rFonts w:hint="eastAsia" w:hAnsi="宋体"/>
          <w:color w:val="auto"/>
          <w:sz w:val="24"/>
        </w:rPr>
        <w:t>。</w:t>
      </w:r>
    </w:p>
    <w:p>
      <w:pPr>
        <w:spacing w:line="360" w:lineRule="auto"/>
        <w:outlineLvl w:val="2"/>
        <w:rPr>
          <w:b/>
          <w:color w:val="auto"/>
          <w:sz w:val="24"/>
        </w:rPr>
      </w:pPr>
      <w:r>
        <w:rPr>
          <w:rFonts w:hint="eastAsia"/>
          <w:b/>
          <w:color w:val="auto"/>
          <w:sz w:val="24"/>
        </w:rPr>
        <w:t>5.5</w:t>
      </w:r>
      <w:r>
        <w:rPr>
          <w:b/>
          <w:color w:val="auto"/>
          <w:sz w:val="24"/>
        </w:rPr>
        <w:t xml:space="preserve">.2 </w:t>
      </w:r>
      <w:r>
        <w:rPr>
          <w:rFonts w:hint="eastAsia"/>
          <w:b/>
          <w:color w:val="auto"/>
          <w:sz w:val="24"/>
        </w:rPr>
        <w:t>选址符合性分析</w:t>
      </w:r>
    </w:p>
    <w:p>
      <w:pPr>
        <w:spacing w:line="360" w:lineRule="auto"/>
        <w:outlineLvl w:val="3"/>
        <w:rPr>
          <w:color w:val="auto"/>
          <w:sz w:val="24"/>
        </w:rPr>
      </w:pPr>
      <w:r>
        <w:rPr>
          <w:rFonts w:hint="eastAsia"/>
          <w:color w:val="auto"/>
          <w:sz w:val="24"/>
        </w:rPr>
        <w:t>5.5</w:t>
      </w:r>
      <w:r>
        <w:rPr>
          <w:color w:val="auto"/>
          <w:sz w:val="24"/>
        </w:rPr>
        <w:t xml:space="preserve">.2.1 </w:t>
      </w:r>
      <w:r>
        <w:rPr>
          <w:rFonts w:hint="eastAsia"/>
          <w:color w:val="auto"/>
          <w:sz w:val="24"/>
        </w:rPr>
        <w:t>福鼎市文渡工业集中区总体规划适应性分析</w:t>
      </w:r>
    </w:p>
    <w:p>
      <w:pPr>
        <w:spacing w:line="360" w:lineRule="auto"/>
        <w:ind w:firstLine="480" w:firstLineChars="200"/>
        <w:rPr>
          <w:color w:val="auto"/>
          <w:sz w:val="24"/>
        </w:rPr>
      </w:pPr>
      <w:r>
        <w:rPr>
          <w:rFonts w:hint="eastAsia"/>
          <w:color w:val="auto"/>
          <w:sz w:val="24"/>
        </w:rPr>
        <w:t>本项目用地性质为工业用地，福鼎市文渡工业集中区产业定位是不再发展高密度人口聚集、高风险物质贮存等工业项目，重点对接和承接温州高新技术产业，主要发展机械铸造行业、化学纤维制造业、化学制品制造业（不生产化学原料、不储存会对核电安全生产和应急实施造成影响的化学用品）、塑料制造业、金属制品业等，本项目为金属表面处理项目，属于金属制品业的范畴，因此符合文渡工业集中区规划。</w:t>
      </w:r>
    </w:p>
    <w:p>
      <w:pPr>
        <w:spacing w:line="360" w:lineRule="auto"/>
        <w:outlineLvl w:val="3"/>
        <w:rPr>
          <w:color w:val="auto"/>
          <w:sz w:val="24"/>
        </w:rPr>
      </w:pPr>
      <w:r>
        <w:rPr>
          <w:rFonts w:hint="eastAsia"/>
          <w:color w:val="auto"/>
          <w:sz w:val="24"/>
        </w:rPr>
        <w:t>5.5</w:t>
      </w:r>
      <w:r>
        <w:rPr>
          <w:color w:val="auto"/>
          <w:sz w:val="24"/>
        </w:rPr>
        <w:t>.2.2</w:t>
      </w:r>
      <w:r>
        <w:rPr>
          <w:rFonts w:hint="eastAsia"/>
          <w:color w:val="auto"/>
          <w:sz w:val="24"/>
        </w:rPr>
        <w:t>与文渡金属表面处理集控中心环评及其批复的符合性分析</w:t>
      </w:r>
    </w:p>
    <w:p>
      <w:pPr>
        <w:spacing w:line="360" w:lineRule="auto"/>
        <w:ind w:firstLine="480" w:firstLineChars="200"/>
        <w:rPr>
          <w:color w:val="auto"/>
          <w:sz w:val="24"/>
        </w:rPr>
      </w:pPr>
      <w:r>
        <w:rPr>
          <w:color w:val="auto"/>
          <w:sz w:val="24"/>
        </w:rPr>
        <w:t>2014</w:t>
      </w:r>
      <w:r>
        <w:rPr>
          <w:rFonts w:hint="eastAsia"/>
          <w:color w:val="auto"/>
          <w:sz w:val="24"/>
        </w:rPr>
        <w:t>年编制的《福鼎市文渡金属表面处理集控中心环境影响评价报告书》中已对集控中心表面处理与福鼎市温州园文渡工业集中区总体规划（调整）进行了符合性分析，本项目位于金属表面处理集控中心二期用地范围，因此本次环评主要分析项目与文渡金属表面处理集控中心环评及批复的符合性，分析如下：</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w:t>
      </w:r>
      <w:r>
        <w:rPr>
          <w:color w:val="auto"/>
          <w:sz w:val="24"/>
        </w:rPr>
        <w:t>2014</w:t>
      </w:r>
      <w:r>
        <w:rPr>
          <w:rFonts w:hint="eastAsia"/>
          <w:color w:val="auto"/>
          <w:sz w:val="24"/>
        </w:rPr>
        <w:t>年，福鼎市启动了全市涉及金属表面处理企业的全面集中污染整治，要求全面提升福鼎市金属表面处理行业清洁生产和污染防治水平。福鼎市工业企业涉及表面处理工序的除了以化油器为主的产业外，也涉及其它个别行业（如镀金、银等贵金属）电镀工序的企业。根据整治要求，福鼎市将分阶段将全市范围内金属表面处理企业工序全部搬迁至文渡项目区金属表面处理中心集中进行管理。本项目选址位于福鼎市金属表面处理中心一期用地的范畴，符合福鼎市金属表面处理行业集中整治的要求。</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同期，福鼎市文渡金属表面处理集控中心根据《福鼎市环保局关于福鼎市温州园文渡工业集中区总体规划（调整）环境影响报告书》及其审查意见的要求，编制了《福鼎市金属表面处理中心项目环评》并通过审批。《福鼎市文渡金属表面处理集控中心环境影响报告书》明确：表面处理中心为全市表面处理行业全面整治的基础设施项目，服务于福鼎市全市范围内表面处理行业工序的集中整治。因此本项目建设方案符合《福鼎市文渡金属表面处理集控中心环境影响报告书》的选址要求。</w:t>
      </w:r>
    </w:p>
    <w:p>
      <w:pPr>
        <w:spacing w:line="360" w:lineRule="auto"/>
        <w:ind w:firstLine="480" w:firstLineChars="200"/>
        <w:rPr>
          <w:rFonts w:hAnsi="宋体"/>
          <w:color w:val="auto"/>
          <w:sz w:val="24"/>
        </w:rPr>
      </w:pPr>
      <w:r>
        <w:rPr>
          <w:rFonts w:hint="eastAsia"/>
          <w:color w:val="auto"/>
          <w:sz w:val="24"/>
        </w:rPr>
        <w:t>（</w:t>
      </w:r>
      <w:r>
        <w:rPr>
          <w:color w:val="auto"/>
          <w:sz w:val="24"/>
        </w:rPr>
        <w:t>3</w:t>
      </w:r>
      <w:r>
        <w:rPr>
          <w:rFonts w:hint="eastAsia"/>
          <w:color w:val="auto"/>
          <w:sz w:val="24"/>
        </w:rPr>
        <w:t>）福鼎市质达金属表面处理有限公司位于福鼎市文渡项目区</w:t>
      </w:r>
      <w:r>
        <w:rPr>
          <w:color w:val="auto"/>
          <w:sz w:val="24"/>
        </w:rPr>
        <w:t>F-2-10</w:t>
      </w:r>
      <w:r>
        <w:rPr>
          <w:rFonts w:hint="eastAsia"/>
          <w:color w:val="auto"/>
          <w:sz w:val="24"/>
        </w:rPr>
        <w:t>地块，租用福鼎市文渡金属表面处理集控中心2#楼一层1号车间。宁德市环保局对《福鼎市文渡金属表面处理集控中心环境影响报告书》做出了批复</w:t>
      </w:r>
      <w:r>
        <w:rPr>
          <w:color w:val="auto"/>
          <w:sz w:val="24"/>
        </w:rPr>
        <w:t>(</w:t>
      </w:r>
      <w:r>
        <w:rPr>
          <w:rFonts w:hint="eastAsia"/>
          <w:color w:val="auto"/>
          <w:sz w:val="24"/>
        </w:rPr>
        <w:t>宁市环保</w:t>
      </w:r>
      <w:r>
        <w:rPr>
          <w:color w:val="auto"/>
          <w:sz w:val="24"/>
        </w:rPr>
        <w:t>[2014]41</w:t>
      </w:r>
      <w:r>
        <w:rPr>
          <w:rFonts w:hint="eastAsia"/>
          <w:color w:val="auto"/>
          <w:sz w:val="24"/>
        </w:rPr>
        <w:t>号文</w:t>
      </w:r>
      <w:r>
        <w:rPr>
          <w:color w:val="auto"/>
          <w:sz w:val="24"/>
        </w:rPr>
        <w:t>)</w:t>
      </w:r>
      <w:r>
        <w:rPr>
          <w:rFonts w:hint="eastAsia"/>
          <w:color w:val="auto"/>
          <w:sz w:val="24"/>
        </w:rPr>
        <w:t>：福鼎市文渡表面处理集控中心，</w:t>
      </w:r>
      <w:r>
        <w:rPr>
          <w:rFonts w:hint="eastAsia" w:hAnsi="宋体"/>
          <w:color w:val="auto"/>
          <w:sz w:val="24"/>
        </w:rPr>
        <w:t>一期设置锌件钝化生产线、铝件钝化生产线，无氰镀锌生产线，镀装饰铬等</w:t>
      </w:r>
      <w:r>
        <w:rPr>
          <w:rFonts w:hAnsi="宋体"/>
          <w:color w:val="auto"/>
          <w:sz w:val="24"/>
        </w:rPr>
        <w:t>24</w:t>
      </w:r>
      <w:r>
        <w:rPr>
          <w:rFonts w:hint="eastAsia" w:hAnsi="宋体"/>
          <w:color w:val="auto"/>
          <w:sz w:val="24"/>
        </w:rPr>
        <w:t>条生产线，年电镀面积</w:t>
      </w:r>
      <w:r>
        <w:rPr>
          <w:rFonts w:hAnsi="宋体"/>
          <w:color w:val="auto"/>
          <w:sz w:val="24"/>
        </w:rPr>
        <w:t>329.6</w:t>
      </w:r>
      <w:r>
        <w:rPr>
          <w:rFonts w:hint="eastAsia" w:hAnsi="宋体"/>
          <w:color w:val="auto"/>
          <w:sz w:val="24"/>
        </w:rPr>
        <w:t>万</w:t>
      </w:r>
      <w:r>
        <w:rPr>
          <w:rFonts w:hAnsi="宋体"/>
          <w:color w:val="auto"/>
          <w:sz w:val="24"/>
        </w:rPr>
        <w:t>m</w:t>
      </w:r>
      <w:r>
        <w:rPr>
          <w:rFonts w:hAnsi="宋体"/>
          <w:color w:val="auto"/>
          <w:sz w:val="24"/>
          <w:vertAlign w:val="superscript"/>
        </w:rPr>
        <w:t>2</w:t>
      </w:r>
      <w:r>
        <w:rPr>
          <w:rFonts w:hint="eastAsia" w:hAnsi="宋体"/>
          <w:color w:val="auto"/>
          <w:sz w:val="24"/>
        </w:rPr>
        <w:t>，本项目原有工程亦位于</w:t>
      </w:r>
      <w:r>
        <w:rPr>
          <w:rFonts w:hint="eastAsia"/>
          <w:color w:val="auto"/>
          <w:sz w:val="24"/>
        </w:rPr>
        <w:t>福鼎市文渡金属表面处理集控中心，仅从1#车间迁建至2#车间，拟建项目年电镀面积产能由原有工程等量置换，不会突破集控区设计产能</w:t>
      </w:r>
      <w:r>
        <w:rPr>
          <w:rFonts w:hint="eastAsia" w:hAnsi="宋体"/>
          <w:color w:val="auto"/>
          <w:sz w:val="24"/>
        </w:rPr>
        <w:t>。集控中心对入驻企业的基本要求为：入驻企业清洁生产水平不低于二级；入驻企业必须另行编制环境影响评价报告；所有企业废水排放总量不得超出集控中心相应设施废水处理能力；老化液、焦铜废水，由单个企业自行预处理后，排入集控中心五水分离系统中的“其它废水处理设施”；各入驻电镀企业的工艺废气自行分类处理达标《电镀污染物排放标准》（</w:t>
      </w:r>
      <w:r>
        <w:rPr>
          <w:rFonts w:hAnsi="宋体"/>
          <w:color w:val="auto"/>
          <w:sz w:val="24"/>
        </w:rPr>
        <w:t>GB21900-2008</w:t>
      </w:r>
      <w:r>
        <w:rPr>
          <w:rFonts w:hint="eastAsia" w:hAnsi="宋体"/>
          <w:color w:val="auto"/>
          <w:sz w:val="24"/>
        </w:rPr>
        <w:t>）表</w:t>
      </w:r>
      <w:r>
        <w:rPr>
          <w:rFonts w:hAnsi="宋体"/>
          <w:color w:val="auto"/>
          <w:sz w:val="24"/>
        </w:rPr>
        <w:t>5</w:t>
      </w:r>
      <w:r>
        <w:rPr>
          <w:rFonts w:hint="eastAsia" w:hAnsi="宋体"/>
          <w:color w:val="auto"/>
          <w:sz w:val="24"/>
        </w:rPr>
        <w:t>、表</w:t>
      </w:r>
      <w:r>
        <w:rPr>
          <w:rFonts w:hAnsi="宋体"/>
          <w:color w:val="auto"/>
          <w:sz w:val="24"/>
        </w:rPr>
        <w:t>6)</w:t>
      </w:r>
      <w:r>
        <w:rPr>
          <w:rFonts w:hint="eastAsia" w:hAnsi="宋体"/>
          <w:color w:val="auto"/>
          <w:sz w:val="24"/>
        </w:rPr>
        <w:t>后，汇入集控中心建设的尾气集中排放系统；入驻电镀企业的工艺废水满足集控中心污水站进水水质要求。</w:t>
      </w:r>
    </w:p>
    <w:p>
      <w:pPr>
        <w:spacing w:line="360" w:lineRule="auto"/>
        <w:ind w:firstLine="480" w:firstLineChars="200"/>
        <w:rPr>
          <w:rFonts w:hAnsi="宋体"/>
          <w:color w:val="auto"/>
          <w:sz w:val="24"/>
        </w:rPr>
      </w:pPr>
      <w:r>
        <w:rPr>
          <w:rFonts w:hint="eastAsia" w:hAnsi="宋体"/>
          <w:color w:val="auto"/>
          <w:sz w:val="24"/>
        </w:rPr>
        <w:t>本项目清洁生产达到国内二级水平，废水总量对集控中心冲击较小，各股废水均分质分流进入污水站，排放量原有工程等量置换，未超出集控区污水站各股废水预处理系统剩余容量且废水排放均能满足污水站进水水质要求。</w:t>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福鼎市文渡金属表面处理集控中心环境影响报告书》中不允许进入产业为：《产业结构调整指导目录》中规定的淘汰类的工艺、装备和产品，在生产过程中产生和排放含有汞元素的蒸气或废水的工艺或产品，在加工过程中使用和排放含有镉元素的用于民品生产的工艺和产品（船舶及弹性零件除外），仅有一个且无喷淋、镀液回收等措施普通清洗槽，镀层在铬酐浓度</w:t>
      </w:r>
      <w:r>
        <w:rPr>
          <w:color w:val="auto"/>
          <w:sz w:val="24"/>
        </w:rPr>
        <w:t>150g/L</w:t>
      </w:r>
      <w:r>
        <w:rPr>
          <w:rFonts w:hint="eastAsia"/>
          <w:color w:val="auto"/>
          <w:sz w:val="24"/>
        </w:rPr>
        <w:t>以上的钝化液中钝化的工艺。本项目基本符合当前产业政策，生产过程中不产生和排放汞元素、镉元素，渡槽后设置</w:t>
      </w:r>
      <w:r>
        <w:rPr>
          <w:color w:val="auto"/>
          <w:sz w:val="24"/>
        </w:rPr>
        <w:t>2</w:t>
      </w:r>
      <w:r>
        <w:rPr>
          <w:rFonts w:hint="eastAsia"/>
          <w:color w:val="auto"/>
          <w:sz w:val="24"/>
        </w:rPr>
        <w:t>个清洗槽，使用铬酐钝化液浓度均小于</w:t>
      </w:r>
      <w:r>
        <w:rPr>
          <w:color w:val="auto"/>
          <w:sz w:val="24"/>
        </w:rPr>
        <w:t>150g/L</w:t>
      </w:r>
      <w:r>
        <w:rPr>
          <w:rFonts w:hint="eastAsia"/>
          <w:color w:val="auto"/>
          <w:sz w:val="24"/>
        </w:rPr>
        <w:t>。</w:t>
      </w:r>
    </w:p>
    <w:p>
      <w:pPr>
        <w:spacing w:line="360" w:lineRule="auto"/>
        <w:ind w:firstLine="480" w:firstLineChars="200"/>
        <w:rPr>
          <w:color w:val="auto"/>
          <w:sz w:val="24"/>
        </w:rPr>
      </w:pPr>
      <w:r>
        <w:rPr>
          <w:rFonts w:hint="eastAsia"/>
          <w:color w:val="auto"/>
          <w:sz w:val="24"/>
        </w:rPr>
        <w:t>综上所述，本项目的建设符合福鼎市文渡金属表面处理集控中心环境影响报告书及审批意见的相关要求。</w:t>
      </w:r>
    </w:p>
    <w:p>
      <w:pPr>
        <w:spacing w:line="360" w:lineRule="auto"/>
        <w:outlineLvl w:val="3"/>
        <w:rPr>
          <w:color w:val="auto"/>
          <w:sz w:val="24"/>
        </w:rPr>
      </w:pPr>
      <w:r>
        <w:rPr>
          <w:rFonts w:hint="eastAsia"/>
          <w:color w:val="auto"/>
          <w:sz w:val="24"/>
        </w:rPr>
        <w:t>5.5</w:t>
      </w:r>
      <w:r>
        <w:rPr>
          <w:color w:val="auto"/>
          <w:sz w:val="24"/>
        </w:rPr>
        <w:t>.2.3</w:t>
      </w:r>
      <w:r>
        <w:rPr>
          <w:rFonts w:hint="eastAsia"/>
          <w:color w:val="auto"/>
          <w:sz w:val="24"/>
        </w:rPr>
        <w:t>外部条件适宜性分析</w:t>
      </w:r>
    </w:p>
    <w:p>
      <w:pPr>
        <w:spacing w:line="360" w:lineRule="auto"/>
        <w:ind w:firstLine="480" w:firstLineChars="200"/>
        <w:rPr>
          <w:color w:val="auto"/>
          <w:sz w:val="24"/>
        </w:rPr>
      </w:pPr>
      <w:r>
        <w:rPr>
          <w:rFonts w:hint="eastAsia"/>
          <w:color w:val="auto"/>
          <w:sz w:val="24"/>
        </w:rPr>
        <w:t>通过环境影响分析，本项目符合区域大气、水、声环境功能区划要求，且与周边环境兼容且相互适应，从环境保护角度分析选址合理。</w:t>
      </w:r>
    </w:p>
    <w:p>
      <w:pPr>
        <w:spacing w:line="360" w:lineRule="auto"/>
        <w:ind w:firstLine="480" w:firstLineChars="200"/>
        <w:rPr>
          <w:color w:val="auto"/>
          <w:sz w:val="24"/>
        </w:rPr>
      </w:pPr>
      <w:r>
        <w:rPr>
          <w:rFonts w:hint="eastAsia"/>
          <w:color w:val="auto"/>
          <w:sz w:val="24"/>
        </w:rPr>
        <w:t>综上所述，项目符合福鼎市文渡工业集中区总体规划，与文渡金属表面处理集控中心环评及其批复的相符合，与周边环境相容性较好，因此项目选址合理。</w:t>
      </w:r>
    </w:p>
    <w:p>
      <w:pPr>
        <w:spacing w:line="360" w:lineRule="auto"/>
        <w:outlineLvl w:val="2"/>
        <w:rPr>
          <w:b/>
          <w:color w:val="auto"/>
          <w:sz w:val="24"/>
          <w:highlight w:val="none"/>
        </w:rPr>
      </w:pPr>
      <w:r>
        <w:rPr>
          <w:rFonts w:hint="eastAsia"/>
          <w:b/>
          <w:color w:val="auto"/>
          <w:sz w:val="24"/>
        </w:rPr>
        <w:t>5.5</w:t>
      </w:r>
      <w:r>
        <w:rPr>
          <w:b/>
          <w:color w:val="auto"/>
          <w:sz w:val="24"/>
        </w:rPr>
        <w:t xml:space="preserve">.3 </w:t>
      </w:r>
      <w:r>
        <w:rPr>
          <w:rFonts w:hint="eastAsia"/>
          <w:b/>
          <w:color w:val="auto"/>
          <w:sz w:val="24"/>
        </w:rPr>
        <w:t>平面布置合</w:t>
      </w:r>
      <w:r>
        <w:rPr>
          <w:rFonts w:hint="eastAsia"/>
          <w:b/>
          <w:color w:val="auto"/>
          <w:sz w:val="24"/>
          <w:highlight w:val="none"/>
        </w:rPr>
        <w:t>理性分析</w:t>
      </w:r>
    </w:p>
    <w:p>
      <w:pPr>
        <w:pStyle w:val="91"/>
        <w:rPr>
          <w:rFonts w:hAnsi="Times New Roman"/>
          <w:color w:val="auto"/>
        </w:rPr>
      </w:pPr>
      <w:r>
        <w:rPr>
          <w:rFonts w:ascii="Times New Roman" w:hAnsi="Times New Roman"/>
          <w:color w:val="auto"/>
          <w:highlight w:val="none"/>
        </w:rPr>
        <w:t>从厂区总平面图（</w:t>
      </w:r>
      <w:r>
        <w:rPr>
          <w:rFonts w:hint="eastAsia" w:ascii="Times New Roman" w:hAnsi="Times New Roman"/>
          <w:color w:val="auto"/>
          <w:highlight w:val="none"/>
          <w:lang w:eastAsia="zh-CN"/>
        </w:rPr>
        <w:t>附图</w:t>
      </w:r>
      <w:r>
        <w:rPr>
          <w:rFonts w:hint="eastAsia" w:ascii="Times New Roman" w:hAnsi="Times New Roman"/>
          <w:color w:val="auto"/>
          <w:highlight w:val="none"/>
          <w:lang w:val="en-US" w:eastAsia="zh-CN"/>
        </w:rPr>
        <w:t>1</w:t>
      </w:r>
      <w:r>
        <w:rPr>
          <w:rFonts w:ascii="Times New Roman" w:hAnsi="Times New Roman"/>
          <w:color w:val="auto"/>
          <w:highlight w:val="none"/>
        </w:rPr>
        <w:t>）中可</w:t>
      </w:r>
      <w:r>
        <w:rPr>
          <w:rFonts w:ascii="Times New Roman" w:hAnsi="Times New Roman"/>
          <w:color w:val="auto"/>
        </w:rPr>
        <w:t>看出，</w:t>
      </w:r>
      <w:r>
        <w:rPr>
          <w:rFonts w:ascii="Times New Roman"/>
          <w:color w:val="auto"/>
        </w:rPr>
        <w:t>整个</w:t>
      </w:r>
      <w:r>
        <w:rPr>
          <w:rFonts w:hint="eastAsia" w:ascii="Times New Roman"/>
          <w:color w:val="auto"/>
        </w:rPr>
        <w:t>车间</w:t>
      </w:r>
      <w:r>
        <w:rPr>
          <w:rFonts w:hint="eastAsia"/>
          <w:color w:val="auto"/>
        </w:rPr>
        <w:t>按照工艺流程从原材料进厂、加工、处理、贮存，均按生产流水线布置，减少了装卸料损耗和车间内运输时耗，电镀生产线空间安排紧凑。生产废水分质分流管网可实现可视化操作，废水分质分流管网可与集控区的分质分流管网链接。废气收集达标后通过排气筒高空排放，排气筒布局基本合理。</w:t>
      </w:r>
    </w:p>
    <w:p>
      <w:pPr>
        <w:pStyle w:val="18"/>
        <w:spacing w:line="360" w:lineRule="auto"/>
        <w:ind w:firstLine="480" w:firstLineChars="200"/>
        <w:rPr>
          <w:rFonts w:ascii="Times New Roman" w:hAnsi="Times New Roman" w:cs="Times New Roman"/>
          <w:color w:val="auto"/>
        </w:rPr>
      </w:pPr>
      <w:r>
        <w:rPr>
          <w:rFonts w:hint="eastAsia" w:ascii="Times New Roman" w:hAnsi="宋体" w:cs="Times New Roman"/>
          <w:color w:val="auto"/>
        </w:rPr>
        <w:t>该项目的总平面布置基本上做到流程合理、减少污染、交通畅顺，各建筑之间的距离符合防火间距要求，功能分区明确，布局合理。综上所述，本项目总平面布置基本合理。</w:t>
      </w:r>
    </w:p>
    <w:p>
      <w:pPr>
        <w:pStyle w:val="37"/>
        <w:snapToGrid w:val="0"/>
        <w:spacing w:line="360" w:lineRule="auto"/>
        <w:rPr>
          <w:rFonts w:ascii="Times New Roman" w:hAnsi="Times New Roman"/>
          <w:color w:val="auto"/>
        </w:rPr>
      </w:pPr>
      <w:r>
        <w:rPr>
          <w:rFonts w:ascii="Times New Roman" w:hAnsi="Times New Roman"/>
          <w:color w:val="auto"/>
        </w:rPr>
        <w:t>5.</w:t>
      </w:r>
      <w:r>
        <w:rPr>
          <w:rFonts w:hint="eastAsia" w:ascii="Times New Roman" w:hAnsi="Times New Roman"/>
          <w:color w:val="auto"/>
        </w:rPr>
        <w:t>6清洁生产分析</w:t>
      </w:r>
    </w:p>
    <w:p>
      <w:pPr>
        <w:autoSpaceDE w:val="0"/>
        <w:autoSpaceDN w:val="0"/>
        <w:adjustRightInd w:val="0"/>
        <w:spacing w:line="360" w:lineRule="auto"/>
        <w:ind w:firstLine="480" w:firstLineChars="200"/>
        <w:rPr>
          <w:color w:val="auto"/>
          <w:sz w:val="24"/>
        </w:rPr>
      </w:pPr>
      <w:r>
        <w:rPr>
          <w:rFonts w:hint="eastAsia"/>
          <w:color w:val="auto"/>
          <w:sz w:val="24"/>
        </w:rPr>
        <w:t>本项目参照《</w:t>
      </w:r>
      <w:bookmarkStart w:id="22" w:name="OLE_LINK60"/>
      <w:bookmarkStart w:id="23" w:name="OLE_LINK59"/>
      <w:r>
        <w:rPr>
          <w:rFonts w:hint="eastAsia"/>
          <w:color w:val="auto"/>
          <w:sz w:val="24"/>
        </w:rPr>
        <w:t>电镀行业清洁生产评价指标体系</w:t>
      </w:r>
      <w:bookmarkEnd w:id="22"/>
      <w:bookmarkEnd w:id="23"/>
      <w:r>
        <w:rPr>
          <w:rFonts w:hint="eastAsia"/>
          <w:color w:val="auto"/>
          <w:sz w:val="24"/>
        </w:rPr>
        <w:t>》</w:t>
      </w:r>
      <w:r>
        <w:rPr>
          <w:color w:val="auto"/>
          <w:sz w:val="24"/>
        </w:rPr>
        <w:t>(2015</w:t>
      </w:r>
      <w:r>
        <w:rPr>
          <w:rFonts w:hint="eastAsia"/>
          <w:color w:val="auto"/>
          <w:sz w:val="24"/>
        </w:rPr>
        <w:t>年第</w:t>
      </w:r>
      <w:r>
        <w:rPr>
          <w:color w:val="auto"/>
          <w:sz w:val="24"/>
        </w:rPr>
        <w:t>25</w:t>
      </w:r>
      <w:r>
        <w:rPr>
          <w:rFonts w:hint="eastAsia"/>
          <w:color w:val="auto"/>
          <w:sz w:val="24"/>
        </w:rPr>
        <w:t>号</w:t>
      </w:r>
      <w:r>
        <w:rPr>
          <w:color w:val="auto"/>
          <w:sz w:val="24"/>
        </w:rPr>
        <w:t>)</w:t>
      </w:r>
      <w:r>
        <w:rPr>
          <w:rFonts w:hint="eastAsia"/>
          <w:color w:val="auto"/>
          <w:sz w:val="24"/>
        </w:rPr>
        <w:t>中的有关标准的要求，对项目的清洁生产水平进行分析。</w:t>
      </w:r>
    </w:p>
    <w:p>
      <w:pPr>
        <w:autoSpaceDE w:val="0"/>
        <w:autoSpaceDN w:val="0"/>
        <w:adjustRightInd w:val="0"/>
        <w:spacing w:line="360" w:lineRule="auto"/>
        <w:ind w:firstLine="480" w:firstLineChars="200"/>
        <w:rPr>
          <w:color w:val="auto"/>
          <w:sz w:val="24"/>
        </w:rPr>
      </w:pPr>
      <w:r>
        <w:rPr>
          <w:rFonts w:hint="eastAsia"/>
          <w:color w:val="auto"/>
          <w:sz w:val="24"/>
        </w:rPr>
        <w:t>根据物料平衡分析，并结合建设单位提供的资料，项目清洁生产水平如下表5.6</w:t>
      </w:r>
      <w:r>
        <w:rPr>
          <w:color w:val="auto"/>
          <w:sz w:val="24"/>
        </w:rPr>
        <w:t>-1</w:t>
      </w:r>
      <w:r>
        <w:rPr>
          <w:rFonts w:hint="eastAsia"/>
          <w:color w:val="auto"/>
          <w:sz w:val="24"/>
        </w:rPr>
        <w:t>和表5.6</w:t>
      </w:r>
      <w:r>
        <w:rPr>
          <w:color w:val="auto"/>
          <w:sz w:val="24"/>
        </w:rPr>
        <w:t>-</w:t>
      </w:r>
      <w:r>
        <w:rPr>
          <w:rFonts w:hint="eastAsia"/>
          <w:color w:val="auto"/>
          <w:sz w:val="24"/>
        </w:rPr>
        <w:t>2所示。</w:t>
      </w:r>
    </w:p>
    <w:p>
      <w:pPr>
        <w:widowControl/>
        <w:jc w:val="left"/>
        <w:rPr>
          <w:b/>
          <w:color w:val="auto"/>
          <w:sz w:val="24"/>
          <w:szCs w:val="21"/>
        </w:rPr>
        <w:sectPr>
          <w:pgSz w:w="11906" w:h="16838"/>
          <w:pgMar w:top="1417" w:right="1418" w:bottom="1417" w:left="1418" w:header="992" w:footer="992" w:gutter="0"/>
          <w:pgBorders>
            <w:top w:val="none" w:sz="0" w:space="0"/>
            <w:left w:val="none" w:sz="0" w:space="0"/>
            <w:bottom w:val="none" w:sz="0" w:space="0"/>
            <w:right w:val="none" w:sz="0" w:space="0"/>
          </w:pgBorders>
          <w:cols w:space="0" w:num="1"/>
        </w:sectPr>
      </w:pPr>
    </w:p>
    <w:p>
      <w:pPr>
        <w:adjustRightInd w:val="0"/>
        <w:snapToGrid w:val="0"/>
        <w:spacing w:line="360" w:lineRule="auto"/>
        <w:jc w:val="center"/>
        <w:rPr>
          <w:b/>
          <w:color w:val="auto"/>
          <w:sz w:val="24"/>
          <w:szCs w:val="21"/>
        </w:rPr>
      </w:pPr>
      <w:bookmarkStart w:id="24" w:name="_Ref330968943"/>
      <w:r>
        <w:rPr>
          <w:rFonts w:hint="eastAsia"/>
          <w:b/>
          <w:color w:val="auto"/>
          <w:sz w:val="24"/>
          <w:szCs w:val="21"/>
        </w:rPr>
        <w:t>表5.6</w:t>
      </w:r>
      <w:r>
        <w:rPr>
          <w:b/>
          <w:color w:val="auto"/>
          <w:sz w:val="24"/>
          <w:szCs w:val="21"/>
        </w:rPr>
        <w:t xml:space="preserve">-1  </w:t>
      </w:r>
      <w:r>
        <w:rPr>
          <w:rFonts w:hint="eastAsia"/>
          <w:b/>
          <w:color w:val="auto"/>
          <w:sz w:val="24"/>
          <w:szCs w:val="21"/>
        </w:rPr>
        <w:t>综合电镀清洁生产评价指标项目、权重及基准值</w:t>
      </w:r>
      <w:bookmarkEnd w:id="24"/>
    </w:p>
    <w:tbl>
      <w:tblPr>
        <w:tblStyle w:val="22"/>
        <w:tblW w:w="2113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292"/>
        <w:gridCol w:w="889"/>
        <w:gridCol w:w="2560"/>
        <w:gridCol w:w="739"/>
        <w:gridCol w:w="934"/>
        <w:gridCol w:w="3438"/>
        <w:gridCol w:w="3238"/>
        <w:gridCol w:w="2907"/>
        <w:gridCol w:w="2249"/>
        <w:gridCol w:w="814"/>
        <w:gridCol w:w="819"/>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trPr>
        <w:tc>
          <w:tcPr>
            <w:tcW w:w="518" w:type="dxa"/>
            <w:vMerge w:val="restart"/>
            <w:tcBorders>
              <w:top w:val="single" w:color="auto" w:sz="12" w:space="0"/>
              <w:left w:val="nil"/>
              <w:bottom w:val="single" w:color="auto" w:sz="4" w:space="0"/>
              <w:right w:val="single" w:color="auto" w:sz="4" w:space="0"/>
            </w:tcBorders>
            <w:vAlign w:val="center"/>
          </w:tcPr>
          <w:p>
            <w:pPr>
              <w:jc w:val="center"/>
              <w:rPr>
                <w:color w:val="auto"/>
                <w:szCs w:val="21"/>
              </w:rPr>
            </w:pPr>
            <w:r>
              <w:rPr>
                <w:rFonts w:hint="eastAsia"/>
                <w:color w:val="auto"/>
                <w:szCs w:val="21"/>
              </w:rPr>
              <w:t>序号</w:t>
            </w:r>
          </w:p>
        </w:tc>
        <w:tc>
          <w:tcPr>
            <w:tcW w:w="1292"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一级指标</w:t>
            </w:r>
          </w:p>
        </w:tc>
        <w:tc>
          <w:tcPr>
            <w:tcW w:w="889"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一级指标权重</w:t>
            </w:r>
          </w:p>
        </w:tc>
        <w:tc>
          <w:tcPr>
            <w:tcW w:w="2560"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二级指标</w:t>
            </w:r>
          </w:p>
        </w:tc>
        <w:tc>
          <w:tcPr>
            <w:tcW w:w="739"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单位</w:t>
            </w:r>
          </w:p>
        </w:tc>
        <w:tc>
          <w:tcPr>
            <w:tcW w:w="934"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二级指标权重</w:t>
            </w:r>
          </w:p>
        </w:tc>
        <w:tc>
          <w:tcPr>
            <w:tcW w:w="3438"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rPr>
              <w:t>I</w:t>
            </w:r>
            <w:r>
              <w:rPr>
                <w:color w:val="auto"/>
                <w:szCs w:val="21"/>
              </w:rPr>
              <w:fldChar w:fldCharType="end"/>
            </w:r>
            <w:r>
              <w:rPr>
                <w:rFonts w:hint="eastAsia"/>
                <w:color w:val="auto"/>
                <w:szCs w:val="21"/>
              </w:rPr>
              <w:t>级基准值</w:t>
            </w:r>
          </w:p>
        </w:tc>
        <w:tc>
          <w:tcPr>
            <w:tcW w:w="3238"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级基准值</w:t>
            </w:r>
          </w:p>
        </w:tc>
        <w:tc>
          <w:tcPr>
            <w:tcW w:w="2907" w:type="dxa"/>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fldChar w:fldCharType="begin"/>
            </w:r>
            <w:r>
              <w:rPr>
                <w:color w:val="auto"/>
                <w:szCs w:val="21"/>
              </w:rPr>
              <w:instrText xml:space="preserve"> = 3 \* ROMAN \* MERGEFORMAT </w:instrText>
            </w:r>
            <w:r>
              <w:rPr>
                <w:color w:val="auto"/>
                <w:szCs w:val="21"/>
              </w:rPr>
              <w:fldChar w:fldCharType="separate"/>
            </w:r>
            <w:r>
              <w:rPr>
                <w:color w:val="auto"/>
              </w:rPr>
              <w:t>III</w:t>
            </w:r>
            <w:r>
              <w:rPr>
                <w:color w:val="auto"/>
                <w:szCs w:val="21"/>
              </w:rPr>
              <w:fldChar w:fldCharType="end"/>
            </w:r>
            <w:r>
              <w:rPr>
                <w:rFonts w:hint="eastAsia"/>
                <w:color w:val="auto"/>
                <w:szCs w:val="21"/>
              </w:rPr>
              <w:t>级基准值</w:t>
            </w:r>
          </w:p>
        </w:tc>
        <w:tc>
          <w:tcPr>
            <w:tcW w:w="4620" w:type="dxa"/>
            <w:gridSpan w:val="4"/>
            <w:tcBorders>
              <w:top w:val="single" w:color="auto" w:sz="12" w:space="0"/>
              <w:left w:val="single" w:color="auto" w:sz="4" w:space="0"/>
              <w:bottom w:val="single" w:color="auto" w:sz="4" w:space="0"/>
              <w:right w:val="nil"/>
            </w:tcBorders>
            <w:vAlign w:val="center"/>
          </w:tcPr>
          <w:p>
            <w:pPr>
              <w:jc w:val="center"/>
              <w:rPr>
                <w:color w:val="auto"/>
                <w:szCs w:val="21"/>
              </w:rPr>
            </w:pPr>
            <w:r>
              <w:rPr>
                <w:rFonts w:hint="eastAsia"/>
                <w:color w:val="auto"/>
                <w:szCs w:val="21"/>
              </w:rPr>
              <w:t>项目评价指标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trPr>
        <w:tc>
          <w:tcPr>
            <w:tcW w:w="518" w:type="dxa"/>
            <w:vMerge w:val="continue"/>
            <w:tcBorders>
              <w:top w:val="single" w:color="auto" w:sz="12" w:space="0"/>
              <w:left w:val="nil"/>
              <w:bottom w:val="single" w:color="auto" w:sz="4" w:space="0"/>
              <w:right w:val="single" w:color="auto" w:sz="4" w:space="0"/>
            </w:tcBorders>
            <w:vAlign w:val="center"/>
          </w:tcPr>
          <w:p>
            <w:pPr>
              <w:widowControl/>
              <w:jc w:val="left"/>
              <w:rPr>
                <w:color w:val="auto"/>
                <w:szCs w:val="21"/>
              </w:rPr>
            </w:pPr>
          </w:p>
        </w:tc>
        <w:tc>
          <w:tcPr>
            <w:tcW w:w="1292"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2560"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73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934"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343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323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2907"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2249"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项目情况分析</w:t>
            </w:r>
          </w:p>
        </w:tc>
        <w:tc>
          <w:tcPr>
            <w:tcW w:w="2371" w:type="dxa"/>
            <w:gridSpan w:val="3"/>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trPr>
        <w:tc>
          <w:tcPr>
            <w:tcW w:w="518" w:type="dxa"/>
            <w:vMerge w:val="continue"/>
            <w:tcBorders>
              <w:top w:val="single" w:color="auto" w:sz="12" w:space="0"/>
              <w:left w:val="nil"/>
              <w:bottom w:val="single" w:color="auto" w:sz="4" w:space="0"/>
              <w:right w:val="single" w:color="auto" w:sz="4" w:space="0"/>
            </w:tcBorders>
            <w:vAlign w:val="center"/>
          </w:tcPr>
          <w:p>
            <w:pPr>
              <w:widowControl/>
              <w:jc w:val="left"/>
              <w:rPr>
                <w:color w:val="auto"/>
                <w:szCs w:val="21"/>
              </w:rPr>
            </w:pPr>
          </w:p>
        </w:tc>
        <w:tc>
          <w:tcPr>
            <w:tcW w:w="1292"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2560"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739"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934"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343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3238"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2907"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color w:val="auto"/>
                <w:szCs w:val="21"/>
              </w:rPr>
            </w:pPr>
          </w:p>
        </w:tc>
        <w:tc>
          <w:tcPr>
            <w:tcW w:w="22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Y</w:t>
            </w:r>
            <w:r>
              <w:rPr>
                <w:color w:val="auto"/>
                <w:szCs w:val="21"/>
                <w:vertAlign w:val="subscript"/>
              </w:rPr>
              <w:fldChar w:fldCharType="begin"/>
            </w:r>
            <w:r>
              <w:rPr>
                <w:color w:val="auto"/>
                <w:szCs w:val="21"/>
                <w:vertAlign w:val="subscript"/>
              </w:rPr>
              <w:instrText xml:space="preserve"> = 1 \* ROMAN \* MERGEFORMAT </w:instrText>
            </w:r>
            <w:r>
              <w:rPr>
                <w:color w:val="auto"/>
                <w:szCs w:val="21"/>
                <w:vertAlign w:val="subscript"/>
              </w:rPr>
              <w:fldChar w:fldCharType="separate"/>
            </w:r>
            <w:r>
              <w:rPr>
                <w:color w:val="auto"/>
                <w:vertAlign w:val="subscript"/>
              </w:rPr>
              <w:t>I</w:t>
            </w:r>
            <w:r>
              <w:rPr>
                <w:color w:val="auto"/>
                <w:szCs w:val="21"/>
                <w:vertAlign w:val="subscript"/>
              </w:rPr>
              <w:fldChar w:fldCharType="end"/>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Y</w:t>
            </w:r>
            <w:r>
              <w:rPr>
                <w:color w:val="auto"/>
                <w:szCs w:val="21"/>
                <w:vertAlign w:val="subscript"/>
              </w:rPr>
              <w:fldChar w:fldCharType="begin"/>
            </w:r>
            <w:r>
              <w:rPr>
                <w:color w:val="auto"/>
                <w:szCs w:val="21"/>
                <w:vertAlign w:val="subscript"/>
              </w:rPr>
              <w:instrText xml:space="preserve"> = 2 \* ROMAN \* MERGEFORMAT </w:instrText>
            </w:r>
            <w:r>
              <w:rPr>
                <w:color w:val="auto"/>
                <w:szCs w:val="21"/>
                <w:vertAlign w:val="subscript"/>
              </w:rPr>
              <w:fldChar w:fldCharType="separate"/>
            </w:r>
            <w:r>
              <w:rPr>
                <w:color w:val="auto"/>
                <w:vertAlign w:val="subscript"/>
              </w:rPr>
              <w:t>II</w:t>
            </w:r>
            <w:r>
              <w:rPr>
                <w:color w:val="auto"/>
                <w:szCs w:val="21"/>
                <w:vertAlign w:val="subscript"/>
              </w:rPr>
              <w:fldChar w:fldCharType="end"/>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Y</w:t>
            </w:r>
            <w:r>
              <w:rPr>
                <w:color w:val="auto"/>
                <w:szCs w:val="21"/>
                <w:vertAlign w:val="subscript"/>
              </w:rPr>
              <w:fldChar w:fldCharType="begin"/>
            </w:r>
            <w:r>
              <w:rPr>
                <w:color w:val="auto"/>
                <w:szCs w:val="21"/>
                <w:vertAlign w:val="subscript"/>
              </w:rPr>
              <w:instrText xml:space="preserve"> = 3 \* ROMAN \* MERGEFORMAT </w:instrText>
            </w:r>
            <w:r>
              <w:rPr>
                <w:color w:val="auto"/>
                <w:szCs w:val="21"/>
                <w:vertAlign w:val="subscript"/>
              </w:rPr>
              <w:fldChar w:fldCharType="separate"/>
            </w:r>
            <w:r>
              <w:rPr>
                <w:color w:val="auto"/>
                <w:vertAlign w:val="subscript"/>
              </w:rPr>
              <w:t>III</w:t>
            </w:r>
            <w:r>
              <w:rPr>
                <w:color w:val="auto"/>
                <w:szCs w:val="21"/>
                <w:vertAlign w:val="subscript"/>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w:t>
            </w:r>
          </w:p>
        </w:tc>
        <w:tc>
          <w:tcPr>
            <w:tcW w:w="129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生产工艺及装备指标</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0.33</w:t>
            </w: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采用清洁生产工艺</w:t>
            </w:r>
            <w:r>
              <w:rPr>
                <w:color w:val="auto"/>
                <w:szCs w:val="21"/>
                <w:vertAlign w:val="superscript"/>
              </w:rPr>
              <w:fldChar w:fldCharType="begin"/>
            </w:r>
            <w:r>
              <w:rPr>
                <w:color w:val="auto"/>
                <w:szCs w:val="21"/>
                <w:vertAlign w:val="superscript"/>
              </w:rPr>
              <w:instrText xml:space="preserve"> = 1 \* GB3 \* MERGEFORMAT </w:instrText>
            </w:r>
            <w:r>
              <w:rPr>
                <w:color w:val="auto"/>
                <w:szCs w:val="21"/>
                <w:vertAlign w:val="superscript"/>
              </w:rPr>
              <w:fldChar w:fldCharType="separate"/>
            </w:r>
            <w:r>
              <w:rPr>
                <w:rFonts w:hint="eastAsia" w:ascii="宋体" w:hAnsi="宋体" w:cs="宋体"/>
                <w:color w:val="auto"/>
                <w:vertAlign w:val="superscript"/>
              </w:rPr>
              <w:t>①</w:t>
            </w:r>
            <w:r>
              <w:rPr>
                <w:color w:val="auto"/>
                <w:szCs w:val="21"/>
                <w:vertAlign w:val="superscript"/>
              </w:rPr>
              <w:fldChar w:fldCharType="end"/>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0.15</w:t>
            </w:r>
          </w:p>
        </w:tc>
        <w:tc>
          <w:tcPr>
            <w:tcW w:w="3438" w:type="dxa"/>
            <w:tcBorders>
              <w:top w:val="single" w:color="auto" w:sz="4" w:space="0"/>
              <w:left w:val="single" w:color="auto" w:sz="4" w:space="0"/>
              <w:bottom w:val="single" w:color="auto" w:sz="4" w:space="0"/>
              <w:right w:val="single" w:color="auto" w:sz="4" w:space="0"/>
            </w:tcBorders>
            <w:vAlign w:val="center"/>
          </w:tcPr>
          <w:p>
            <w:pPr>
              <w:numPr>
                <w:ilvl w:val="0"/>
                <w:numId w:val="14"/>
              </w:numPr>
              <w:rPr>
                <w:color w:val="auto"/>
                <w:szCs w:val="21"/>
              </w:rPr>
            </w:pPr>
            <w:r>
              <w:rPr>
                <w:rFonts w:hint="eastAsia"/>
                <w:color w:val="auto"/>
                <w:szCs w:val="21"/>
              </w:rPr>
              <w:t>民用产品采用低铬</w:t>
            </w:r>
            <w:r>
              <w:rPr>
                <w:color w:val="auto"/>
                <w:szCs w:val="21"/>
                <w:vertAlign w:val="superscript"/>
              </w:rPr>
              <w:fldChar w:fldCharType="begin"/>
            </w:r>
            <w:r>
              <w:rPr>
                <w:color w:val="auto"/>
                <w:szCs w:val="21"/>
                <w:vertAlign w:val="superscript"/>
              </w:rPr>
              <w:instrText xml:space="preserve"> = 9 \* GB3 \* MERGEFORMAT </w:instrText>
            </w:r>
            <w:r>
              <w:rPr>
                <w:color w:val="auto"/>
                <w:szCs w:val="21"/>
                <w:vertAlign w:val="superscript"/>
              </w:rPr>
              <w:fldChar w:fldCharType="separate"/>
            </w:r>
            <w:r>
              <w:rPr>
                <w:rFonts w:hint="eastAsia" w:ascii="宋体" w:hAnsi="宋体" w:cs="宋体"/>
                <w:color w:val="auto"/>
                <w:vertAlign w:val="superscript"/>
              </w:rPr>
              <w:t>⑨</w:t>
            </w:r>
            <w:r>
              <w:rPr>
                <w:color w:val="auto"/>
                <w:szCs w:val="21"/>
                <w:vertAlign w:val="superscript"/>
              </w:rPr>
              <w:fldChar w:fldCharType="end"/>
            </w:r>
            <w:r>
              <w:rPr>
                <w:rFonts w:hint="eastAsia"/>
                <w:color w:val="auto"/>
                <w:szCs w:val="21"/>
              </w:rPr>
              <w:t>或三价铬钝化</w:t>
            </w:r>
          </w:p>
          <w:p>
            <w:pPr>
              <w:numPr>
                <w:ilvl w:val="0"/>
                <w:numId w:val="14"/>
              </w:numPr>
              <w:rPr>
                <w:color w:val="auto"/>
                <w:szCs w:val="21"/>
              </w:rPr>
            </w:pPr>
            <w:r>
              <w:rPr>
                <w:rFonts w:hint="eastAsia"/>
                <w:color w:val="auto"/>
                <w:szCs w:val="21"/>
              </w:rPr>
              <w:t>民用产品采用无氰镀锌</w:t>
            </w:r>
          </w:p>
          <w:p>
            <w:pPr>
              <w:numPr>
                <w:ilvl w:val="0"/>
                <w:numId w:val="14"/>
              </w:numPr>
              <w:rPr>
                <w:color w:val="auto"/>
                <w:szCs w:val="21"/>
              </w:rPr>
            </w:pPr>
            <w:r>
              <w:rPr>
                <w:rFonts w:hint="eastAsia"/>
                <w:color w:val="auto"/>
                <w:szCs w:val="21"/>
              </w:rPr>
              <w:t>使用金属回收工艺</w:t>
            </w:r>
          </w:p>
          <w:p>
            <w:pPr>
              <w:numPr>
                <w:ilvl w:val="0"/>
                <w:numId w:val="14"/>
              </w:numPr>
              <w:rPr>
                <w:color w:val="auto"/>
                <w:szCs w:val="21"/>
              </w:rPr>
            </w:pPr>
            <w:r>
              <w:rPr>
                <w:rFonts w:hint="eastAsia"/>
                <w:color w:val="auto"/>
                <w:szCs w:val="21"/>
              </w:rPr>
              <w:t>电子元件采用无铅镀层替代铅锡合金</w:t>
            </w:r>
          </w:p>
        </w:tc>
        <w:tc>
          <w:tcPr>
            <w:tcW w:w="6145" w:type="dxa"/>
            <w:gridSpan w:val="2"/>
            <w:tcBorders>
              <w:top w:val="single" w:color="auto" w:sz="4" w:space="0"/>
              <w:left w:val="single" w:color="auto" w:sz="4" w:space="0"/>
              <w:bottom w:val="single" w:color="auto" w:sz="4" w:space="0"/>
              <w:right w:val="single" w:color="auto" w:sz="4" w:space="0"/>
            </w:tcBorders>
            <w:vAlign w:val="center"/>
          </w:tcPr>
          <w:p>
            <w:pPr>
              <w:numPr>
                <w:ilvl w:val="0"/>
                <w:numId w:val="15"/>
              </w:numPr>
              <w:rPr>
                <w:color w:val="auto"/>
                <w:szCs w:val="21"/>
              </w:rPr>
            </w:pPr>
            <w:r>
              <w:rPr>
                <w:rFonts w:hint="eastAsia"/>
                <w:color w:val="auto"/>
                <w:szCs w:val="21"/>
              </w:rPr>
              <w:t>民用产品采用低铬</w:t>
            </w:r>
            <w:r>
              <w:rPr>
                <w:color w:val="auto"/>
                <w:szCs w:val="21"/>
                <w:vertAlign w:val="superscript"/>
              </w:rPr>
              <w:fldChar w:fldCharType="begin"/>
            </w:r>
            <w:r>
              <w:rPr>
                <w:color w:val="auto"/>
                <w:szCs w:val="21"/>
                <w:vertAlign w:val="superscript"/>
              </w:rPr>
              <w:instrText xml:space="preserve"> = 9 \* GB3 \* MERGEFORMAT </w:instrText>
            </w:r>
            <w:r>
              <w:rPr>
                <w:color w:val="auto"/>
                <w:szCs w:val="21"/>
                <w:vertAlign w:val="superscript"/>
              </w:rPr>
              <w:fldChar w:fldCharType="separate"/>
            </w:r>
            <w:r>
              <w:rPr>
                <w:rFonts w:hint="eastAsia" w:ascii="宋体" w:hAnsi="宋体" w:cs="宋体"/>
                <w:color w:val="auto"/>
                <w:vertAlign w:val="superscript"/>
              </w:rPr>
              <w:t>⑨</w:t>
            </w:r>
            <w:r>
              <w:rPr>
                <w:color w:val="auto"/>
                <w:szCs w:val="21"/>
                <w:vertAlign w:val="superscript"/>
              </w:rPr>
              <w:fldChar w:fldCharType="end"/>
            </w:r>
            <w:r>
              <w:rPr>
                <w:rFonts w:hint="eastAsia"/>
                <w:color w:val="auto"/>
                <w:szCs w:val="21"/>
              </w:rPr>
              <w:t>或三价铬钝化</w:t>
            </w:r>
          </w:p>
          <w:p>
            <w:pPr>
              <w:numPr>
                <w:ilvl w:val="0"/>
                <w:numId w:val="15"/>
              </w:numPr>
              <w:rPr>
                <w:color w:val="auto"/>
                <w:szCs w:val="21"/>
              </w:rPr>
            </w:pPr>
            <w:r>
              <w:rPr>
                <w:rFonts w:hint="eastAsia"/>
                <w:color w:val="auto"/>
                <w:szCs w:val="21"/>
              </w:rPr>
              <w:t>民用产品采用无氰镀锌</w:t>
            </w:r>
          </w:p>
          <w:p>
            <w:pPr>
              <w:numPr>
                <w:ilvl w:val="0"/>
                <w:numId w:val="15"/>
              </w:numPr>
              <w:rPr>
                <w:color w:val="auto"/>
                <w:szCs w:val="21"/>
              </w:rPr>
            </w:pPr>
            <w:r>
              <w:rPr>
                <w:rFonts w:hint="eastAsia"/>
                <w:color w:val="auto"/>
                <w:szCs w:val="21"/>
              </w:rPr>
              <w:t>使用金属回收工艺</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项目属于民用产品，采用低铬或三价铬钝化技术</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3.96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3.96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4.95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清洁生产过程控制</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0.15</w:t>
            </w:r>
          </w:p>
        </w:tc>
        <w:tc>
          <w:tcPr>
            <w:tcW w:w="3438" w:type="dxa"/>
            <w:tcBorders>
              <w:top w:val="single" w:color="auto" w:sz="4" w:space="0"/>
              <w:left w:val="single" w:color="auto" w:sz="4" w:space="0"/>
              <w:bottom w:val="single" w:color="auto" w:sz="4" w:space="0"/>
              <w:right w:val="single" w:color="auto" w:sz="4" w:space="0"/>
            </w:tcBorders>
            <w:vAlign w:val="center"/>
          </w:tcPr>
          <w:p>
            <w:pPr>
              <w:numPr>
                <w:ilvl w:val="0"/>
                <w:numId w:val="16"/>
              </w:numPr>
              <w:rPr>
                <w:color w:val="auto"/>
                <w:szCs w:val="21"/>
              </w:rPr>
            </w:pPr>
            <w:r>
              <w:rPr>
                <w:rFonts w:hint="eastAsia"/>
                <w:color w:val="auto"/>
                <w:szCs w:val="21"/>
              </w:rPr>
              <w:t>镀镍、锌溶液连续过滤</w:t>
            </w:r>
          </w:p>
          <w:p>
            <w:pPr>
              <w:numPr>
                <w:ilvl w:val="0"/>
                <w:numId w:val="16"/>
              </w:numPr>
              <w:rPr>
                <w:color w:val="auto"/>
                <w:szCs w:val="21"/>
              </w:rPr>
            </w:pPr>
            <w:r>
              <w:rPr>
                <w:rFonts w:hint="eastAsia"/>
                <w:color w:val="auto"/>
                <w:szCs w:val="21"/>
              </w:rPr>
              <w:t>及时补加和调整溶液</w:t>
            </w:r>
          </w:p>
          <w:p>
            <w:pPr>
              <w:numPr>
                <w:ilvl w:val="0"/>
                <w:numId w:val="16"/>
              </w:numPr>
              <w:rPr>
                <w:color w:val="auto"/>
                <w:szCs w:val="21"/>
              </w:rPr>
            </w:pPr>
            <w:r>
              <w:rPr>
                <w:rFonts w:hint="eastAsia"/>
                <w:color w:val="auto"/>
                <w:szCs w:val="21"/>
              </w:rPr>
              <w:t>定期去除溶液中的杂质</w:t>
            </w:r>
          </w:p>
        </w:tc>
        <w:tc>
          <w:tcPr>
            <w:tcW w:w="6145" w:type="dxa"/>
            <w:gridSpan w:val="2"/>
            <w:tcBorders>
              <w:top w:val="single" w:color="auto" w:sz="4" w:space="0"/>
              <w:left w:val="single" w:color="auto" w:sz="4" w:space="0"/>
              <w:bottom w:val="single" w:color="auto" w:sz="4" w:space="0"/>
              <w:right w:val="single" w:color="auto" w:sz="4" w:space="0"/>
            </w:tcBorders>
            <w:vAlign w:val="center"/>
          </w:tcPr>
          <w:p>
            <w:pPr>
              <w:numPr>
                <w:ilvl w:val="0"/>
                <w:numId w:val="17"/>
              </w:numPr>
              <w:rPr>
                <w:color w:val="auto"/>
                <w:szCs w:val="21"/>
              </w:rPr>
            </w:pPr>
            <w:r>
              <w:rPr>
                <w:rFonts w:hint="eastAsia"/>
                <w:color w:val="auto"/>
                <w:szCs w:val="21"/>
              </w:rPr>
              <w:t>镀镍溶液连续过滤</w:t>
            </w:r>
          </w:p>
          <w:p>
            <w:pPr>
              <w:numPr>
                <w:ilvl w:val="0"/>
                <w:numId w:val="17"/>
              </w:numPr>
              <w:rPr>
                <w:color w:val="auto"/>
                <w:szCs w:val="21"/>
              </w:rPr>
            </w:pPr>
            <w:r>
              <w:rPr>
                <w:rFonts w:hint="eastAsia"/>
                <w:color w:val="auto"/>
                <w:szCs w:val="21"/>
              </w:rPr>
              <w:t>及时补加和调整溶液</w:t>
            </w:r>
          </w:p>
          <w:p>
            <w:pPr>
              <w:numPr>
                <w:ilvl w:val="0"/>
                <w:numId w:val="17"/>
              </w:numPr>
              <w:rPr>
                <w:color w:val="auto"/>
                <w:szCs w:val="21"/>
              </w:rPr>
            </w:pPr>
            <w:r>
              <w:rPr>
                <w:rFonts w:hint="eastAsia"/>
                <w:color w:val="auto"/>
                <w:szCs w:val="21"/>
              </w:rPr>
              <w:t>定期去除溶液中的杂质</w:t>
            </w:r>
          </w:p>
        </w:tc>
        <w:tc>
          <w:tcPr>
            <w:tcW w:w="2249"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项目镀镍溶液连续过滤，及时补充和调整溶液，定期去除溶液中的杂质</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4.95</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4.95</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4.95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3</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电镀生产线要求</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0.4</w:t>
            </w:r>
          </w:p>
        </w:tc>
        <w:tc>
          <w:tcPr>
            <w:tcW w:w="3438"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电镀生产线采用节能措施</w:t>
            </w:r>
            <w:r>
              <w:rPr>
                <w:color w:val="auto"/>
                <w:szCs w:val="21"/>
                <w:vertAlign w:val="superscript"/>
              </w:rPr>
              <w:fldChar w:fldCharType="begin"/>
            </w:r>
            <w:r>
              <w:rPr>
                <w:color w:val="auto"/>
                <w:szCs w:val="21"/>
                <w:vertAlign w:val="superscript"/>
              </w:rPr>
              <w:instrText xml:space="preserve"> = 2 \* GB3 \* MERGEFORMAT </w:instrText>
            </w:r>
            <w:r>
              <w:rPr>
                <w:color w:val="auto"/>
                <w:szCs w:val="21"/>
                <w:vertAlign w:val="superscript"/>
              </w:rPr>
              <w:fldChar w:fldCharType="separate"/>
            </w:r>
            <w:r>
              <w:rPr>
                <w:rFonts w:hint="eastAsia" w:ascii="宋体" w:hAnsi="宋体" w:cs="宋体"/>
                <w:color w:val="auto"/>
                <w:vertAlign w:val="superscript"/>
              </w:rPr>
              <w:t>②</w:t>
            </w:r>
            <w:r>
              <w:rPr>
                <w:color w:val="auto"/>
                <w:szCs w:val="21"/>
                <w:vertAlign w:val="superscript"/>
              </w:rPr>
              <w:fldChar w:fldCharType="end"/>
            </w:r>
            <w:r>
              <w:rPr>
                <w:rFonts w:hint="eastAsia"/>
                <w:color w:val="auto"/>
                <w:szCs w:val="21"/>
              </w:rPr>
              <w:t>，</w:t>
            </w:r>
            <w:r>
              <w:rPr>
                <w:color w:val="auto"/>
                <w:szCs w:val="21"/>
              </w:rPr>
              <w:t>70%</w:t>
            </w:r>
            <w:r>
              <w:rPr>
                <w:rFonts w:hint="eastAsia"/>
                <w:color w:val="auto"/>
                <w:szCs w:val="21"/>
              </w:rPr>
              <w:t>生产线实现自动化或半自动化</w:t>
            </w:r>
            <w:r>
              <w:rPr>
                <w:color w:val="auto"/>
                <w:szCs w:val="21"/>
                <w:vertAlign w:val="superscript"/>
              </w:rPr>
              <w:fldChar w:fldCharType="begin"/>
            </w:r>
            <w:r>
              <w:rPr>
                <w:color w:val="auto"/>
                <w:szCs w:val="21"/>
                <w:vertAlign w:val="superscript"/>
              </w:rPr>
              <w:instrText xml:space="preserve"> = 7 \* GB3 \* MERGEFORMAT </w:instrText>
            </w:r>
            <w:r>
              <w:rPr>
                <w:color w:val="auto"/>
                <w:szCs w:val="21"/>
                <w:vertAlign w:val="superscript"/>
              </w:rPr>
              <w:fldChar w:fldCharType="separate"/>
            </w:r>
            <w:r>
              <w:rPr>
                <w:rFonts w:hint="eastAsia" w:ascii="宋体" w:hAnsi="宋体" w:cs="宋体"/>
                <w:color w:val="auto"/>
                <w:vertAlign w:val="superscript"/>
              </w:rPr>
              <w:t>⑦</w:t>
            </w:r>
            <w:r>
              <w:rPr>
                <w:color w:val="auto"/>
                <w:szCs w:val="21"/>
                <w:vertAlign w:val="superscript"/>
              </w:rPr>
              <w:fldChar w:fldCharType="end"/>
            </w:r>
          </w:p>
        </w:tc>
        <w:tc>
          <w:tcPr>
            <w:tcW w:w="32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电镀生产线采用节能措施</w:t>
            </w:r>
            <w:r>
              <w:rPr>
                <w:color w:val="auto"/>
                <w:szCs w:val="21"/>
                <w:vertAlign w:val="superscript"/>
              </w:rPr>
              <w:fldChar w:fldCharType="begin"/>
            </w:r>
            <w:r>
              <w:rPr>
                <w:color w:val="auto"/>
                <w:szCs w:val="21"/>
                <w:vertAlign w:val="superscript"/>
              </w:rPr>
              <w:instrText xml:space="preserve"> = 2 \* GB3 \* MERGEFORMAT </w:instrText>
            </w:r>
            <w:r>
              <w:rPr>
                <w:color w:val="auto"/>
                <w:szCs w:val="21"/>
                <w:vertAlign w:val="superscript"/>
              </w:rPr>
              <w:fldChar w:fldCharType="separate"/>
            </w:r>
            <w:r>
              <w:rPr>
                <w:rFonts w:hint="eastAsia" w:ascii="宋体" w:hAnsi="宋体" w:cs="宋体"/>
                <w:color w:val="auto"/>
                <w:vertAlign w:val="superscript"/>
              </w:rPr>
              <w:t>②</w:t>
            </w:r>
            <w:r>
              <w:rPr>
                <w:color w:val="auto"/>
                <w:szCs w:val="21"/>
                <w:vertAlign w:val="superscript"/>
              </w:rPr>
              <w:fldChar w:fldCharType="end"/>
            </w:r>
            <w:r>
              <w:rPr>
                <w:rFonts w:hint="eastAsia"/>
                <w:color w:val="auto"/>
                <w:szCs w:val="21"/>
              </w:rPr>
              <w:t>，</w:t>
            </w:r>
            <w:r>
              <w:rPr>
                <w:color w:val="auto"/>
                <w:szCs w:val="21"/>
              </w:rPr>
              <w:t>50%</w:t>
            </w:r>
            <w:r>
              <w:rPr>
                <w:rFonts w:hint="eastAsia"/>
                <w:color w:val="auto"/>
                <w:szCs w:val="21"/>
              </w:rPr>
              <w:t>生产线实现自动化或半自动化</w:t>
            </w:r>
            <w:r>
              <w:rPr>
                <w:color w:val="auto"/>
                <w:szCs w:val="21"/>
                <w:vertAlign w:val="superscript"/>
              </w:rPr>
              <w:fldChar w:fldCharType="begin"/>
            </w:r>
            <w:r>
              <w:rPr>
                <w:color w:val="auto"/>
                <w:szCs w:val="21"/>
                <w:vertAlign w:val="superscript"/>
              </w:rPr>
              <w:instrText xml:space="preserve"> = 7 \* GB3 \* MERGEFORMAT </w:instrText>
            </w:r>
            <w:r>
              <w:rPr>
                <w:color w:val="auto"/>
                <w:szCs w:val="21"/>
                <w:vertAlign w:val="superscript"/>
              </w:rPr>
              <w:fldChar w:fldCharType="separate"/>
            </w:r>
            <w:r>
              <w:rPr>
                <w:rFonts w:hint="eastAsia" w:ascii="宋体" w:hAnsi="宋体" w:cs="宋体"/>
                <w:color w:val="auto"/>
                <w:vertAlign w:val="superscript"/>
              </w:rPr>
              <w:t>⑦</w:t>
            </w:r>
            <w:r>
              <w:rPr>
                <w:color w:val="auto"/>
                <w:szCs w:val="21"/>
                <w:vertAlign w:val="superscript"/>
              </w:rPr>
              <w:fldChar w:fldCharType="end"/>
            </w:r>
          </w:p>
        </w:tc>
        <w:tc>
          <w:tcPr>
            <w:tcW w:w="290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电镀生产线采用节能措施</w:t>
            </w:r>
            <w:r>
              <w:rPr>
                <w:color w:val="auto"/>
                <w:szCs w:val="21"/>
                <w:vertAlign w:val="superscript"/>
              </w:rPr>
              <w:fldChar w:fldCharType="begin"/>
            </w:r>
            <w:r>
              <w:rPr>
                <w:color w:val="auto"/>
                <w:szCs w:val="21"/>
                <w:vertAlign w:val="superscript"/>
              </w:rPr>
              <w:instrText xml:space="preserve"> = 2 \* GB3 \* MERGEFORMAT </w:instrText>
            </w:r>
            <w:r>
              <w:rPr>
                <w:color w:val="auto"/>
                <w:szCs w:val="21"/>
                <w:vertAlign w:val="superscript"/>
              </w:rPr>
              <w:fldChar w:fldCharType="separate"/>
            </w:r>
            <w:r>
              <w:rPr>
                <w:rFonts w:hint="eastAsia" w:ascii="宋体" w:hAnsi="宋体" w:cs="宋体"/>
                <w:color w:val="auto"/>
                <w:vertAlign w:val="superscript"/>
              </w:rPr>
              <w:t>②</w:t>
            </w:r>
            <w:r>
              <w:rPr>
                <w:color w:val="auto"/>
                <w:szCs w:val="21"/>
                <w:vertAlign w:val="superscript"/>
              </w:rPr>
              <w:fldChar w:fldCharType="end"/>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本项目为</w:t>
            </w:r>
            <w:r>
              <w:rPr>
                <w:rFonts w:hint="eastAsia"/>
                <w:color w:val="auto"/>
                <w:szCs w:val="21"/>
                <w:lang w:eastAsia="zh-CN"/>
              </w:rPr>
              <w:t>两条自动生产线、一条</w:t>
            </w:r>
            <w:r>
              <w:rPr>
                <w:rFonts w:hint="eastAsia"/>
                <w:color w:val="auto"/>
                <w:szCs w:val="21"/>
              </w:rPr>
              <w:t>半自动生产线</w:t>
            </w:r>
            <w:r>
              <w:rPr>
                <w:rFonts w:hint="eastAsia"/>
                <w:color w:val="auto"/>
                <w:lang w:eastAsia="zh-CN"/>
              </w:rPr>
              <w:t>、一条手工生产线</w:t>
            </w:r>
            <w:r>
              <w:rPr>
                <w:rFonts w:hint="eastAsia"/>
                <w:color w:val="auto"/>
                <w:szCs w:val="21"/>
              </w:rPr>
              <w:t>，满足自动生产线、半自动生产线达到</w:t>
            </w:r>
            <w:r>
              <w:rPr>
                <w:color w:val="auto"/>
                <w:szCs w:val="21"/>
              </w:rPr>
              <w:t>70%</w:t>
            </w:r>
            <w:r>
              <w:rPr>
                <w:rFonts w:hint="eastAsia"/>
                <w:color w:val="auto"/>
                <w:szCs w:val="21"/>
              </w:rPr>
              <w:t>以上，使用清洁能源并采用节能措施</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13.2</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13.2</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4</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有节水设施</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0.3</w:t>
            </w:r>
          </w:p>
        </w:tc>
        <w:tc>
          <w:tcPr>
            <w:tcW w:w="6676"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根据工艺选择逆流漂洗、淋洗、喷洗、电镀无单槽清洗等节水方式，有用水计量装置，有在线水回收设施</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根据工艺选择逆流漂洗、淋洗、喷洗、电镀无单槽清洗等节水方式，有用水计量装置</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根据工艺选择采用逆流漂洗、淋洗、喷洗，电镀无单槽清洗等节水方式，有用水计量装置</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9.9</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9.9</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5</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资源消耗指标</w:t>
            </w: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0.10</w:t>
            </w:r>
          </w:p>
        </w:tc>
        <w:tc>
          <w:tcPr>
            <w:tcW w:w="25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单位产品每次清洗取水量</w:t>
            </w:r>
            <w:r>
              <w:rPr>
                <w:color w:val="auto"/>
                <w:szCs w:val="21"/>
                <w:vertAlign w:val="superscript"/>
              </w:rPr>
              <w:fldChar w:fldCharType="begin"/>
            </w:r>
            <w:r>
              <w:rPr>
                <w:color w:val="auto"/>
                <w:szCs w:val="21"/>
                <w:vertAlign w:val="superscript"/>
              </w:rPr>
              <w:instrText xml:space="preserve"> = 3 \* GB3 \* MERGEFORMAT </w:instrText>
            </w:r>
            <w:r>
              <w:rPr>
                <w:color w:val="auto"/>
                <w:szCs w:val="21"/>
                <w:vertAlign w:val="superscript"/>
              </w:rPr>
              <w:fldChar w:fldCharType="separate"/>
            </w:r>
            <w:r>
              <w:rPr>
                <w:rFonts w:hint="eastAsia" w:ascii="宋体" w:hAnsi="宋体" w:cs="宋体"/>
                <w:color w:val="auto"/>
                <w:vertAlign w:val="superscript"/>
              </w:rPr>
              <w:t>③</w:t>
            </w:r>
            <w:r>
              <w:rPr>
                <w:color w:val="auto"/>
                <w:szCs w:val="21"/>
                <w:vertAlign w:val="superscript"/>
              </w:rPr>
              <w:fldChar w:fldCharType="end"/>
            </w: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L/m</w:t>
            </w:r>
            <w:r>
              <w:rPr>
                <w:color w:val="auto"/>
                <w:szCs w:val="21"/>
                <w:vertAlign w:val="superscript"/>
              </w:rPr>
              <w:t>2</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w:t>
            </w:r>
          </w:p>
        </w:tc>
        <w:tc>
          <w:tcPr>
            <w:tcW w:w="34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w:t>
            </w:r>
          </w:p>
        </w:tc>
        <w:tc>
          <w:tcPr>
            <w:tcW w:w="32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≤24</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28.0</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10</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10</w:t>
            </w:r>
          </w:p>
        </w:tc>
        <w:tc>
          <w:tcPr>
            <w:tcW w:w="129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资源综合利用指标</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0.18</w:t>
            </w:r>
          </w:p>
        </w:tc>
        <w:tc>
          <w:tcPr>
            <w:tcW w:w="25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硬铬利用率</w:t>
            </w:r>
            <w:r>
              <w:rPr>
                <w:color w:val="auto"/>
                <w:szCs w:val="21"/>
                <w:vertAlign w:val="superscript"/>
              </w:rPr>
              <w:fldChar w:fldCharType="begin"/>
            </w:r>
            <w:r>
              <w:rPr>
                <w:color w:val="auto"/>
                <w:szCs w:val="21"/>
                <w:vertAlign w:val="superscript"/>
              </w:rPr>
              <w:instrText xml:space="preserve"> = 4 \* GB3 \* MERGEFORMAT </w:instrText>
            </w:r>
            <w:r>
              <w:rPr>
                <w:color w:val="auto"/>
                <w:szCs w:val="21"/>
                <w:vertAlign w:val="superscript"/>
              </w:rPr>
              <w:fldChar w:fldCharType="separate"/>
            </w:r>
            <w:r>
              <w:rPr>
                <w:rFonts w:hint="eastAsia" w:ascii="宋体" w:hAnsi="宋体" w:cs="宋体"/>
                <w:color w:val="auto"/>
                <w:vertAlign w:val="superscript"/>
              </w:rPr>
              <w:t>④</w:t>
            </w:r>
            <w:r>
              <w:rPr>
                <w:color w:val="auto"/>
                <w:szCs w:val="21"/>
                <w:vertAlign w:val="superscript"/>
              </w:rPr>
              <w:fldChar w:fldCharType="end"/>
            </w: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0.8/n</w:t>
            </w:r>
          </w:p>
        </w:tc>
        <w:tc>
          <w:tcPr>
            <w:tcW w:w="34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≥90</w:t>
            </w:r>
          </w:p>
        </w:tc>
        <w:tc>
          <w:tcPr>
            <w:tcW w:w="32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≥70</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75</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13</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25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电镀用水重复利用率</w:t>
            </w: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0.2</w:t>
            </w:r>
          </w:p>
        </w:tc>
        <w:tc>
          <w:tcPr>
            <w:tcW w:w="34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≥60</w:t>
            </w:r>
          </w:p>
        </w:tc>
        <w:tc>
          <w:tcPr>
            <w:tcW w:w="323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≥30</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50</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14</w:t>
            </w:r>
          </w:p>
        </w:tc>
        <w:tc>
          <w:tcPr>
            <w:tcW w:w="129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污染物产生指标</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0.16</w:t>
            </w:r>
          </w:p>
        </w:tc>
        <w:tc>
          <w:tcPr>
            <w:tcW w:w="25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电镀废水处理率</w:t>
            </w:r>
            <w:r>
              <w:rPr>
                <w:color w:val="auto"/>
                <w:szCs w:val="21"/>
                <w:vertAlign w:val="superscript"/>
              </w:rPr>
              <w:fldChar w:fldCharType="begin"/>
            </w:r>
            <w:r>
              <w:rPr>
                <w:color w:val="auto"/>
                <w:szCs w:val="21"/>
                <w:vertAlign w:val="superscript"/>
              </w:rPr>
              <w:instrText xml:space="preserve"> = 10 \* GB3 \* MERGEFORMAT </w:instrText>
            </w:r>
            <w:r>
              <w:rPr>
                <w:color w:val="auto"/>
                <w:szCs w:val="21"/>
                <w:vertAlign w:val="superscript"/>
              </w:rPr>
              <w:fldChar w:fldCharType="separate"/>
            </w:r>
            <w:r>
              <w:rPr>
                <w:rFonts w:hint="eastAsia" w:ascii="宋体" w:hAnsi="宋体" w:cs="宋体"/>
                <w:color w:val="auto"/>
                <w:vertAlign w:val="superscript"/>
              </w:rPr>
              <w:t>⑩</w:t>
            </w:r>
            <w:r>
              <w:rPr>
                <w:color w:val="auto"/>
                <w:szCs w:val="21"/>
                <w:vertAlign w:val="superscript"/>
              </w:rPr>
              <w:fldChar w:fldCharType="end"/>
            </w:r>
          </w:p>
        </w:tc>
        <w:tc>
          <w:tcPr>
            <w:tcW w:w="73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0.5</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100</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100</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vMerge w:val="restart"/>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15</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有减少重金属污染预防措施</w:t>
            </w:r>
            <w:r>
              <w:rPr>
                <w:color w:val="auto"/>
                <w:szCs w:val="21"/>
                <w:vertAlign w:val="superscript"/>
              </w:rPr>
              <w:fldChar w:fldCharType="begin"/>
            </w:r>
            <w:r>
              <w:rPr>
                <w:color w:val="auto"/>
                <w:szCs w:val="21"/>
                <w:vertAlign w:val="superscript"/>
              </w:rPr>
              <w:instrText xml:space="preserve"> = 5 \* GB3 \* MERGEFORMAT </w:instrText>
            </w:r>
            <w:r>
              <w:rPr>
                <w:color w:val="auto"/>
                <w:szCs w:val="21"/>
                <w:vertAlign w:val="superscript"/>
              </w:rPr>
              <w:fldChar w:fldCharType="separate"/>
            </w:r>
            <w:r>
              <w:rPr>
                <w:rFonts w:hint="eastAsia" w:ascii="宋体" w:hAnsi="宋体" w:cs="宋体"/>
                <w:color w:val="auto"/>
                <w:vertAlign w:val="superscript"/>
              </w:rPr>
              <w:t>⑤</w:t>
            </w:r>
            <w:r>
              <w:rPr>
                <w:color w:val="auto"/>
                <w:szCs w:val="21"/>
                <w:vertAlign w:val="superscript"/>
              </w:rPr>
              <w:fldChar w:fldCharType="end"/>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0.2</w:t>
            </w:r>
          </w:p>
        </w:tc>
        <w:tc>
          <w:tcPr>
            <w:tcW w:w="6676"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使用四项以上</w:t>
            </w:r>
            <w:r>
              <w:rPr>
                <w:color w:val="auto"/>
                <w:szCs w:val="21"/>
              </w:rPr>
              <w:t>(</w:t>
            </w:r>
            <w:r>
              <w:rPr>
                <w:rFonts w:hint="eastAsia"/>
                <w:color w:val="auto"/>
                <w:szCs w:val="21"/>
              </w:rPr>
              <w:t>含四项</w:t>
            </w:r>
            <w:r>
              <w:rPr>
                <w:color w:val="auto"/>
                <w:szCs w:val="21"/>
              </w:rPr>
              <w:t>)</w:t>
            </w:r>
            <w:r>
              <w:rPr>
                <w:rFonts w:hint="eastAsia"/>
                <w:color w:val="auto"/>
                <w:szCs w:val="21"/>
              </w:rPr>
              <w:t>减少镀液带出措施</w:t>
            </w:r>
          </w:p>
        </w:tc>
        <w:tc>
          <w:tcPr>
            <w:tcW w:w="290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使用至少三项减少镀液带出措施</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项目采取的措施有：镀件缓慢出槽已延长镀液滴流时间</w:t>
            </w:r>
            <w:r>
              <w:rPr>
                <w:color w:val="auto"/>
                <w:szCs w:val="21"/>
              </w:rPr>
              <w:t>(</w:t>
            </w:r>
            <w:r>
              <w:rPr>
                <w:rFonts w:hint="eastAsia"/>
                <w:color w:val="auto"/>
                <w:szCs w:val="21"/>
              </w:rPr>
              <w:t>影响产品质量的除外</w:t>
            </w:r>
            <w:r>
              <w:rPr>
                <w:color w:val="auto"/>
                <w:szCs w:val="21"/>
              </w:rPr>
              <w:t>)</w:t>
            </w:r>
            <w:r>
              <w:rPr>
                <w:rFonts w:hint="eastAsia"/>
                <w:color w:val="auto"/>
                <w:szCs w:val="21"/>
              </w:rPr>
              <w:t>、科学装挂镀件、渡槽间装导流板</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3.2</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3.2</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vMerge w:val="continue"/>
            <w:tcBorders>
              <w:top w:val="single" w:color="auto" w:sz="4" w:space="0"/>
              <w:left w:val="nil"/>
              <w:bottom w:val="single" w:color="auto" w:sz="4" w:space="0"/>
              <w:right w:val="single" w:color="auto" w:sz="4" w:space="0"/>
            </w:tcBorders>
            <w:vAlign w:val="center"/>
          </w:tcPr>
          <w:p>
            <w:pPr>
              <w:widowControl/>
              <w:jc w:val="left"/>
              <w:rPr>
                <w:color w:val="auto"/>
                <w:szCs w:val="21"/>
              </w:rPr>
            </w:pP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危险废物污染预防措施</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0.3</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电镀污泥和废液在企业内回收或送至有资质单位回收重金属，交外单位转移须提供危险废物转移联单</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电镀污泥和废液交有资质单位收集处置</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4.8</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4.8</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16</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产品特征指标</w:t>
            </w: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0.07</w:t>
            </w: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产品合格率保障措施</w:t>
            </w:r>
            <w:r>
              <w:rPr>
                <w:color w:val="auto"/>
                <w:szCs w:val="21"/>
                <w:vertAlign w:val="superscript"/>
              </w:rPr>
              <w:fldChar w:fldCharType="begin"/>
            </w:r>
            <w:r>
              <w:rPr>
                <w:color w:val="auto"/>
                <w:szCs w:val="21"/>
                <w:vertAlign w:val="superscript"/>
              </w:rPr>
              <w:instrText xml:space="preserve"> = 6 \* GB3 \* MERGEFORMAT </w:instrText>
            </w:r>
            <w:r>
              <w:rPr>
                <w:color w:val="auto"/>
                <w:szCs w:val="21"/>
                <w:vertAlign w:val="superscript"/>
              </w:rPr>
              <w:fldChar w:fldCharType="separate"/>
            </w:r>
            <w:r>
              <w:rPr>
                <w:rFonts w:hint="eastAsia" w:ascii="宋体" w:hAnsi="宋体" w:cs="宋体"/>
                <w:color w:val="auto"/>
                <w:vertAlign w:val="superscript"/>
              </w:rPr>
              <w:t>⑥</w:t>
            </w:r>
            <w:r>
              <w:rPr>
                <w:color w:val="auto"/>
                <w:szCs w:val="21"/>
                <w:vertAlign w:val="superscript"/>
              </w:rPr>
              <w:fldChar w:fldCharType="end"/>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w:t>
            </w:r>
          </w:p>
        </w:tc>
        <w:tc>
          <w:tcPr>
            <w:tcW w:w="3438"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有镀液成分和杂质定量检测措施、有记录；产品质量检测设备和产品检测记录</w:t>
            </w:r>
          </w:p>
        </w:tc>
        <w:tc>
          <w:tcPr>
            <w:tcW w:w="6145" w:type="dxa"/>
            <w:gridSpan w:val="2"/>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有镀液成分定量检测措施、有记录；有产品质量检测设备和产品检测记录</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有镀液成分定量检测措施、有记录；有产品质量检测设备和产品检测记录</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17</w:t>
            </w:r>
          </w:p>
        </w:tc>
        <w:tc>
          <w:tcPr>
            <w:tcW w:w="1292"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管理指标</w:t>
            </w:r>
          </w:p>
        </w:tc>
        <w:tc>
          <w:tcPr>
            <w:tcW w:w="889"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0.16</w:t>
            </w: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环境法律法规标准执行情况</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0.2</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废水、废气、噪声等污染物排放符合国家和地方排放标准；主要污染物排放应达到国家和地方污染物排放总量控制指标</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废水、废气、噪声等污染物排放符合国家和地方排放标准；主要污染物排放达到国家和地方污染物排放总量控制指标</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3.2</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3.2</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18</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产业政策执行情况</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0.2</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生产规模和工艺符合国家和地方相关产业政策</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生产规模和工艺符合国家和地方相关产业政策</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3.2</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3.2</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19</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环境管理体系制度及清洁生产审核情况</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w:t>
            </w:r>
          </w:p>
        </w:tc>
        <w:tc>
          <w:tcPr>
            <w:tcW w:w="3438"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按照</w:t>
            </w:r>
            <w:r>
              <w:rPr>
                <w:color w:val="auto"/>
                <w:szCs w:val="21"/>
              </w:rPr>
              <w:t>GB/T24001</w:t>
            </w:r>
            <w:r>
              <w:rPr>
                <w:rFonts w:hint="eastAsia"/>
                <w:color w:val="auto"/>
                <w:szCs w:val="21"/>
              </w:rPr>
              <w:t>建立并运行环境管理体系，环境管理程序文件及作业文件齐备；按照国家和地方要求，开展清洁生产审核</w:t>
            </w:r>
          </w:p>
        </w:tc>
        <w:tc>
          <w:tcPr>
            <w:tcW w:w="6145" w:type="dxa"/>
            <w:gridSpan w:val="2"/>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拥有健全的环境管理体系和完备的管理文件；按照国家和地方要求，开展清洁生产审核</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拥有健全的环境管理体系和完备的管理文件；按照国家和地方要求，开展清洁生产审核</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20</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危险化学品管理</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0.10</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符合《危险化学品安全管理条例》相关要求</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符合《危险化学品安全管理条例》相关要求</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21</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废水、废气处理设施运行管理</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w:t>
            </w:r>
          </w:p>
        </w:tc>
        <w:tc>
          <w:tcPr>
            <w:tcW w:w="3438"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非电镀车间废水不得混入电镀废水处理系统；建有废水处理设施运行中控系统，包括自动加药装置等；出水口有</w:t>
            </w:r>
            <w:r>
              <w:rPr>
                <w:color w:val="auto"/>
                <w:szCs w:val="21"/>
              </w:rPr>
              <w:t>pH</w:t>
            </w:r>
            <w:r>
              <w:rPr>
                <w:rFonts w:hint="eastAsia"/>
                <w:color w:val="auto"/>
                <w:szCs w:val="21"/>
              </w:rPr>
              <w:t>自动监测装置，建立污染设施运行台账；对有害气体有良好净化装置，并定期检测</w:t>
            </w:r>
          </w:p>
        </w:tc>
        <w:tc>
          <w:tcPr>
            <w:tcW w:w="3238"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非电镀车间废水不得混入电镀废水处理系统；建立污染设施运行台账，有自动加药装置，出水口有</w:t>
            </w:r>
            <w:r>
              <w:rPr>
                <w:color w:val="auto"/>
                <w:szCs w:val="21"/>
              </w:rPr>
              <w:t>pH</w:t>
            </w:r>
            <w:r>
              <w:rPr>
                <w:rFonts w:hint="eastAsia"/>
                <w:color w:val="auto"/>
                <w:szCs w:val="21"/>
              </w:rPr>
              <w:t>自动监测装置；对有害气体有良好净化装置，并定期检测</w:t>
            </w:r>
          </w:p>
        </w:tc>
        <w:tc>
          <w:tcPr>
            <w:tcW w:w="2907" w:type="dxa"/>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非电镀车间废水不得混入电镀废水处理系统；建立污染设施运行台账，出水口有</w:t>
            </w:r>
            <w:r>
              <w:rPr>
                <w:color w:val="auto"/>
                <w:szCs w:val="21"/>
              </w:rPr>
              <w:t>pH</w:t>
            </w:r>
            <w:r>
              <w:rPr>
                <w:rFonts w:hint="eastAsia"/>
                <w:color w:val="auto"/>
                <w:szCs w:val="21"/>
              </w:rPr>
              <w:t>自动监测装置；对有害气体有良好净化装置，并定期检测</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非电镀车间废水不得混入电镀废水处理系统；建立污染设施运行台账，出水口有</w:t>
            </w:r>
            <w:r>
              <w:rPr>
                <w:color w:val="auto"/>
                <w:szCs w:val="21"/>
              </w:rPr>
              <w:t>pH</w:t>
            </w:r>
            <w:r>
              <w:rPr>
                <w:rFonts w:hint="eastAsia"/>
                <w:color w:val="auto"/>
                <w:szCs w:val="21"/>
              </w:rPr>
              <w:t>自动监测装置；对有害气体有良好净化装置，并定期检测</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22</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危险废物处理处置</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危险废物按照</w:t>
            </w:r>
            <w:r>
              <w:rPr>
                <w:color w:val="auto"/>
                <w:szCs w:val="21"/>
              </w:rPr>
              <w:t>GB18597</w:t>
            </w:r>
            <w:r>
              <w:rPr>
                <w:rFonts w:hint="eastAsia"/>
                <w:color w:val="auto"/>
                <w:szCs w:val="21"/>
              </w:rPr>
              <w:t>等相关规定执行</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危险废物按照</w:t>
            </w:r>
            <w:r>
              <w:rPr>
                <w:color w:val="auto"/>
                <w:szCs w:val="21"/>
              </w:rPr>
              <w:t>GB18597</w:t>
            </w:r>
            <w:r>
              <w:rPr>
                <w:rFonts w:hint="eastAsia"/>
                <w:color w:val="auto"/>
                <w:szCs w:val="21"/>
              </w:rPr>
              <w:t>等相关规定执行</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23</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能源计量器具配备情况</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能源计量器具配备率符合</w:t>
            </w:r>
            <w:r>
              <w:rPr>
                <w:color w:val="auto"/>
                <w:szCs w:val="21"/>
              </w:rPr>
              <w:t>GB17167</w:t>
            </w:r>
            <w:r>
              <w:rPr>
                <w:rFonts w:hint="eastAsia"/>
                <w:color w:val="auto"/>
                <w:szCs w:val="21"/>
              </w:rPr>
              <w:t>标准</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能源计量器具配备率符合</w:t>
            </w:r>
            <w:r>
              <w:rPr>
                <w:color w:val="auto"/>
                <w:szCs w:val="21"/>
              </w:rPr>
              <w:t>GB17167</w:t>
            </w:r>
            <w:r>
              <w:rPr>
                <w:rFonts w:hint="eastAsia"/>
                <w:color w:val="auto"/>
                <w:szCs w:val="21"/>
              </w:rPr>
              <w:t>标准</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18"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24</w:t>
            </w:r>
          </w:p>
        </w:tc>
        <w:tc>
          <w:tcPr>
            <w:tcW w:w="12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3299"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w:t>
            </w:r>
            <w:r>
              <w:rPr>
                <w:rFonts w:hint="eastAsia"/>
                <w:color w:val="auto"/>
                <w:szCs w:val="21"/>
              </w:rPr>
              <w:t>环境应急预案</w:t>
            </w:r>
          </w:p>
        </w:tc>
        <w:tc>
          <w:tcPr>
            <w:tcW w:w="9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0.1</w:t>
            </w:r>
          </w:p>
        </w:tc>
        <w:tc>
          <w:tcPr>
            <w:tcW w:w="9583" w:type="dxa"/>
            <w:gridSpan w:val="3"/>
            <w:tcBorders>
              <w:top w:val="single" w:color="auto" w:sz="4" w:space="0"/>
              <w:left w:val="single" w:color="auto" w:sz="4" w:space="0"/>
              <w:bottom w:val="single" w:color="auto" w:sz="4" w:space="0"/>
              <w:right w:val="single" w:color="auto" w:sz="4" w:space="0"/>
            </w:tcBorders>
            <w:vAlign w:val="center"/>
          </w:tcPr>
          <w:p>
            <w:pPr>
              <w:rPr>
                <w:color w:val="auto"/>
                <w:szCs w:val="21"/>
              </w:rPr>
            </w:pPr>
            <w:r>
              <w:rPr>
                <w:rFonts w:hint="eastAsia"/>
                <w:color w:val="auto"/>
                <w:szCs w:val="21"/>
              </w:rPr>
              <w:t>编制系统的环境应急预案并开展环境应急演练</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编制系统的环境应急预案并开展环境应急演练</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1.6</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764" w:type="dxa"/>
            <w:gridSpan w:val="10"/>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合计</w:t>
            </w:r>
          </w:p>
        </w:tc>
        <w:tc>
          <w:tcPr>
            <w:tcW w:w="8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71</w:t>
            </w:r>
          </w:p>
        </w:tc>
        <w:tc>
          <w:tcPr>
            <w:tcW w:w="819"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85</w:t>
            </w:r>
          </w:p>
        </w:tc>
        <w:tc>
          <w:tcPr>
            <w:tcW w:w="738" w:type="dxa"/>
            <w:tcBorders>
              <w:top w:val="single" w:color="auto" w:sz="4" w:space="0"/>
              <w:left w:val="single" w:color="auto" w:sz="4" w:space="0"/>
              <w:bottom w:val="single" w:color="auto" w:sz="4" w:space="0"/>
              <w:right w:val="nil"/>
            </w:tcBorders>
            <w:vAlign w:val="center"/>
          </w:tcPr>
          <w:p>
            <w:pPr>
              <w:jc w:val="center"/>
              <w:rPr>
                <w:color w:val="auto"/>
                <w:szCs w:val="21"/>
              </w:rPr>
            </w:pPr>
            <w:r>
              <w:rPr>
                <w:color w:val="auto"/>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1135" w:type="dxa"/>
            <w:gridSpan w:val="13"/>
            <w:tcBorders>
              <w:top w:val="single" w:color="auto" w:sz="4" w:space="0"/>
              <w:left w:val="nil"/>
              <w:bottom w:val="single" w:color="auto" w:sz="12" w:space="0"/>
              <w:right w:val="nil"/>
            </w:tcBorders>
            <w:vAlign w:val="center"/>
          </w:tcPr>
          <w:p>
            <w:pPr>
              <w:rPr>
                <w:color w:val="auto"/>
                <w:szCs w:val="21"/>
              </w:rPr>
            </w:pPr>
            <w:r>
              <w:rPr>
                <w:rFonts w:hint="eastAsia"/>
                <w:color w:val="auto"/>
                <w:szCs w:val="21"/>
              </w:rPr>
              <w:t>注：带</w:t>
            </w:r>
            <w:r>
              <w:rPr>
                <w:color w:val="auto"/>
                <w:szCs w:val="21"/>
              </w:rPr>
              <w:t>“*”</w:t>
            </w:r>
            <w:r>
              <w:rPr>
                <w:rFonts w:hint="eastAsia"/>
                <w:color w:val="auto"/>
                <w:szCs w:val="21"/>
              </w:rPr>
              <w:t>好的指标为限定性指标</w:t>
            </w:r>
          </w:p>
          <w:p>
            <w:pPr>
              <w:rPr>
                <w:color w:val="auto"/>
                <w:szCs w:val="21"/>
              </w:rPr>
            </w:pPr>
            <w:r>
              <w:rPr>
                <w:color w:val="auto"/>
                <w:szCs w:val="21"/>
              </w:rPr>
              <w:t xml:space="preserve">    </w:t>
            </w:r>
            <w:r>
              <w:rPr>
                <w:color w:val="auto"/>
                <w:szCs w:val="21"/>
              </w:rPr>
              <w:fldChar w:fldCharType="begin"/>
            </w:r>
            <w:r>
              <w:rPr>
                <w:color w:val="auto"/>
                <w:szCs w:val="21"/>
              </w:rPr>
              <w:instrText xml:space="preserve"> = 1 \* GB3 \* MERGEFORMAT </w:instrText>
            </w:r>
            <w:r>
              <w:rPr>
                <w:color w:val="auto"/>
                <w:szCs w:val="21"/>
              </w:rPr>
              <w:fldChar w:fldCharType="separate"/>
            </w:r>
            <w:r>
              <w:rPr>
                <w:rFonts w:hint="eastAsia" w:ascii="宋体" w:hAnsi="宋体" w:cs="宋体"/>
                <w:color w:val="auto"/>
              </w:rPr>
              <w:t>①</w:t>
            </w:r>
            <w:r>
              <w:rPr>
                <w:color w:val="auto"/>
                <w:szCs w:val="21"/>
              </w:rPr>
              <w:fldChar w:fldCharType="end"/>
            </w:r>
            <w:r>
              <w:rPr>
                <w:rFonts w:hint="eastAsia"/>
                <w:color w:val="auto"/>
                <w:szCs w:val="21"/>
              </w:rPr>
              <w:t>使用金属回收工艺可以选用镀液回收槽、离子交换法回收、膜处理回收、电镀污泥交由资质单位回收金属等方法。</w:t>
            </w:r>
          </w:p>
          <w:p>
            <w:pPr>
              <w:rPr>
                <w:color w:val="auto"/>
                <w:szCs w:val="21"/>
              </w:rPr>
            </w:pPr>
            <w:r>
              <w:rPr>
                <w:color w:val="auto"/>
                <w:szCs w:val="21"/>
              </w:rPr>
              <w:t xml:space="preserve">    </w:t>
            </w:r>
            <w:r>
              <w:rPr>
                <w:color w:val="auto"/>
                <w:szCs w:val="21"/>
              </w:rPr>
              <w:fldChar w:fldCharType="begin"/>
            </w:r>
            <w:r>
              <w:rPr>
                <w:color w:val="auto"/>
                <w:szCs w:val="21"/>
              </w:rPr>
              <w:instrText xml:space="preserve"> = 2 \* GB3 \* MERGEFORMAT </w:instrText>
            </w:r>
            <w:r>
              <w:rPr>
                <w:color w:val="auto"/>
                <w:szCs w:val="21"/>
              </w:rPr>
              <w:fldChar w:fldCharType="separate"/>
            </w:r>
            <w:r>
              <w:rPr>
                <w:rFonts w:hint="eastAsia" w:ascii="宋体" w:hAnsi="宋体" w:cs="宋体"/>
                <w:color w:val="auto"/>
              </w:rPr>
              <w:t>②</w:t>
            </w:r>
            <w:r>
              <w:rPr>
                <w:color w:val="auto"/>
                <w:szCs w:val="21"/>
              </w:rPr>
              <w:fldChar w:fldCharType="end"/>
            </w:r>
            <w:r>
              <w:rPr>
                <w:rFonts w:hint="eastAsia"/>
                <w:color w:val="auto"/>
                <w:szCs w:val="21"/>
              </w:rPr>
              <w:t>电镀生产线节能措施包括使用高频开关电源和</w:t>
            </w:r>
            <w:r>
              <w:rPr>
                <w:color w:val="auto"/>
                <w:szCs w:val="21"/>
              </w:rPr>
              <w:t>/</w:t>
            </w:r>
            <w:r>
              <w:rPr>
                <w:rFonts w:hint="eastAsia"/>
                <w:color w:val="auto"/>
                <w:szCs w:val="21"/>
              </w:rPr>
              <w:t>或可控硅整流器和</w:t>
            </w:r>
            <w:r>
              <w:rPr>
                <w:color w:val="auto"/>
                <w:szCs w:val="21"/>
              </w:rPr>
              <w:t>/</w:t>
            </w:r>
            <w:r>
              <w:rPr>
                <w:rFonts w:hint="eastAsia"/>
                <w:color w:val="auto"/>
                <w:szCs w:val="21"/>
              </w:rPr>
              <w:t>或脉冲电源，其直流母线电压不超过</w:t>
            </w:r>
            <w:r>
              <w:rPr>
                <w:color w:val="auto"/>
                <w:szCs w:val="21"/>
              </w:rPr>
              <w:t>10%</w:t>
            </w:r>
            <w:r>
              <w:rPr>
                <w:rFonts w:hint="eastAsia"/>
                <w:color w:val="auto"/>
                <w:szCs w:val="21"/>
              </w:rPr>
              <w:t>并且极扛清洁、导电良好、淘汰高耗能设备、使用清洁能源。</w:t>
            </w:r>
          </w:p>
          <w:p>
            <w:pPr>
              <w:rPr>
                <w:color w:val="auto"/>
                <w:szCs w:val="21"/>
              </w:rPr>
            </w:pPr>
            <w:r>
              <w:rPr>
                <w:color w:val="auto"/>
                <w:szCs w:val="21"/>
              </w:rPr>
              <w:t xml:space="preserve">    </w:t>
            </w:r>
            <w:r>
              <w:rPr>
                <w:color w:val="auto"/>
                <w:szCs w:val="21"/>
              </w:rPr>
              <w:fldChar w:fldCharType="begin"/>
            </w:r>
            <w:r>
              <w:rPr>
                <w:color w:val="auto"/>
                <w:szCs w:val="21"/>
              </w:rPr>
              <w:instrText xml:space="preserve"> = 3 \* GB3 \* MERGEFORMAT </w:instrText>
            </w:r>
            <w:r>
              <w:rPr>
                <w:color w:val="auto"/>
                <w:szCs w:val="21"/>
              </w:rPr>
              <w:fldChar w:fldCharType="separate"/>
            </w:r>
            <w:r>
              <w:rPr>
                <w:rFonts w:hint="eastAsia" w:ascii="宋体" w:hAnsi="宋体" w:cs="宋体"/>
                <w:color w:val="auto"/>
              </w:rPr>
              <w:t>③</w:t>
            </w:r>
            <w:r>
              <w:rPr>
                <w:color w:val="auto"/>
                <w:szCs w:val="21"/>
              </w:rPr>
              <w:fldChar w:fldCharType="end"/>
            </w:r>
            <w:r>
              <w:rPr>
                <w:color w:val="auto"/>
                <w:szCs w:val="21"/>
              </w:rPr>
              <w:t>“</w:t>
            </w:r>
            <w:r>
              <w:rPr>
                <w:rFonts w:hint="eastAsia"/>
                <w:color w:val="auto"/>
                <w:szCs w:val="21"/>
              </w:rPr>
              <w:t>每次清洗取水量</w:t>
            </w:r>
            <w:r>
              <w:rPr>
                <w:color w:val="auto"/>
                <w:szCs w:val="21"/>
              </w:rPr>
              <w:t>”</w:t>
            </w:r>
            <w:r>
              <w:rPr>
                <w:rFonts w:hint="eastAsia"/>
                <w:color w:val="auto"/>
                <w:szCs w:val="21"/>
              </w:rPr>
              <w:t>是指按操作规程每次清洗所耗水量，多级逆流漂洗按级数计算清洗次数。</w:t>
            </w:r>
          </w:p>
          <w:p>
            <w:pPr>
              <w:rPr>
                <w:color w:val="auto"/>
                <w:szCs w:val="21"/>
              </w:rPr>
            </w:pPr>
            <w:r>
              <w:rPr>
                <w:color w:val="auto"/>
                <w:szCs w:val="21"/>
              </w:rPr>
              <w:t xml:space="preserve">    </w:t>
            </w:r>
            <w:r>
              <w:rPr>
                <w:color w:val="auto"/>
                <w:szCs w:val="21"/>
              </w:rPr>
              <w:fldChar w:fldCharType="begin"/>
            </w:r>
            <w:r>
              <w:rPr>
                <w:color w:val="auto"/>
                <w:szCs w:val="21"/>
              </w:rPr>
              <w:instrText xml:space="preserve"> = 4 \* GB3 \* MERGEFORMAT </w:instrText>
            </w:r>
            <w:r>
              <w:rPr>
                <w:color w:val="auto"/>
                <w:szCs w:val="21"/>
              </w:rPr>
              <w:fldChar w:fldCharType="separate"/>
            </w:r>
            <w:r>
              <w:rPr>
                <w:rFonts w:hint="eastAsia" w:ascii="宋体" w:hAnsi="宋体" w:cs="宋体"/>
                <w:color w:val="auto"/>
              </w:rPr>
              <w:t>④</w:t>
            </w:r>
            <w:r>
              <w:rPr>
                <w:color w:val="auto"/>
                <w:szCs w:val="21"/>
              </w:rPr>
              <w:fldChar w:fldCharType="end"/>
            </w:r>
            <w:r>
              <w:rPr>
                <w:rFonts w:hint="eastAsia"/>
                <w:color w:val="auto"/>
                <w:szCs w:val="21"/>
              </w:rPr>
              <w:t>镀锌、铜、镍、装饰铬、硬铬、镀金和含氰镀银为七个常规镀种，计算金属利用率时</w:t>
            </w:r>
            <w:r>
              <w:rPr>
                <w:color w:val="auto"/>
                <w:szCs w:val="21"/>
              </w:rPr>
              <w:t>n</w:t>
            </w:r>
            <w:r>
              <w:rPr>
                <w:rFonts w:hint="eastAsia"/>
                <w:color w:val="auto"/>
                <w:szCs w:val="21"/>
              </w:rPr>
              <w:t>为被审核镀种数；镀锡、无氰镀银等其他镀种可以参照</w:t>
            </w:r>
            <w:r>
              <w:rPr>
                <w:color w:val="auto"/>
                <w:szCs w:val="21"/>
              </w:rPr>
              <w:t>“</w:t>
            </w:r>
            <w:r>
              <w:rPr>
                <w:rFonts w:hint="eastAsia"/>
                <w:color w:val="auto"/>
                <w:szCs w:val="21"/>
              </w:rPr>
              <w:t>铜利用率</w:t>
            </w:r>
            <w:r>
              <w:rPr>
                <w:color w:val="auto"/>
                <w:szCs w:val="21"/>
              </w:rPr>
              <w:t>”</w:t>
            </w:r>
            <w:r>
              <w:rPr>
                <w:rFonts w:hint="eastAsia"/>
                <w:color w:val="auto"/>
                <w:szCs w:val="21"/>
              </w:rPr>
              <w:t>计算。</w:t>
            </w:r>
          </w:p>
          <w:p>
            <w:pPr>
              <w:rPr>
                <w:color w:val="auto"/>
                <w:szCs w:val="21"/>
              </w:rPr>
            </w:pPr>
            <w:r>
              <w:rPr>
                <w:color w:val="auto"/>
                <w:szCs w:val="21"/>
              </w:rPr>
              <w:t xml:space="preserve">    </w:t>
            </w:r>
            <w:r>
              <w:rPr>
                <w:color w:val="auto"/>
                <w:szCs w:val="21"/>
              </w:rPr>
              <w:fldChar w:fldCharType="begin"/>
            </w:r>
            <w:r>
              <w:rPr>
                <w:color w:val="auto"/>
                <w:szCs w:val="21"/>
              </w:rPr>
              <w:instrText xml:space="preserve"> = 5 \* GB3 \* MERGEFORMAT </w:instrText>
            </w:r>
            <w:r>
              <w:rPr>
                <w:color w:val="auto"/>
                <w:szCs w:val="21"/>
              </w:rPr>
              <w:fldChar w:fldCharType="separate"/>
            </w:r>
            <w:r>
              <w:rPr>
                <w:rFonts w:hint="eastAsia" w:ascii="宋体" w:hAnsi="宋体" w:cs="宋体"/>
                <w:color w:val="auto"/>
              </w:rPr>
              <w:t>⑤</w:t>
            </w:r>
            <w:r>
              <w:rPr>
                <w:color w:val="auto"/>
                <w:szCs w:val="21"/>
              </w:rPr>
              <w:fldChar w:fldCharType="end"/>
            </w:r>
            <w:r>
              <w:rPr>
                <w:rFonts w:hint="eastAsia"/>
                <w:color w:val="auto"/>
                <w:szCs w:val="21"/>
              </w:rPr>
              <w:t>减少单位产品重金属污染物产生量的措施包括：镀件缓慢出槽以延长镀液滴流时间</w:t>
            </w:r>
            <w:r>
              <w:rPr>
                <w:color w:val="auto"/>
                <w:szCs w:val="21"/>
              </w:rPr>
              <w:t>(</w:t>
            </w:r>
            <w:r>
              <w:rPr>
                <w:rFonts w:hint="eastAsia"/>
                <w:color w:val="auto"/>
                <w:szCs w:val="21"/>
              </w:rPr>
              <w:t>影响产品质量的除外</w:t>
            </w:r>
            <w:r>
              <w:rPr>
                <w:color w:val="auto"/>
                <w:szCs w:val="21"/>
              </w:rPr>
              <w:t>)</w:t>
            </w:r>
            <w:r>
              <w:rPr>
                <w:rFonts w:hint="eastAsia"/>
                <w:color w:val="auto"/>
                <w:szCs w:val="21"/>
              </w:rPr>
              <w:t>、挂具浸塑、科学装挂镀件、增加镀液回收槽、渡槽间装导流板，槽上喷雾清洗或淋洗</w:t>
            </w:r>
            <w:r>
              <w:rPr>
                <w:color w:val="auto"/>
                <w:szCs w:val="21"/>
              </w:rPr>
              <w:t>(</w:t>
            </w:r>
            <w:r>
              <w:rPr>
                <w:rFonts w:hint="eastAsia"/>
                <w:color w:val="auto"/>
                <w:szCs w:val="21"/>
              </w:rPr>
              <w:t>非加热渡槽除外</w:t>
            </w:r>
            <w:r>
              <w:rPr>
                <w:color w:val="auto"/>
                <w:szCs w:val="21"/>
              </w:rPr>
              <w:t>)</w:t>
            </w:r>
            <w:r>
              <w:rPr>
                <w:rFonts w:hint="eastAsia"/>
                <w:color w:val="auto"/>
                <w:szCs w:val="21"/>
              </w:rPr>
              <w:t>、在线或离线回收重金属等。</w:t>
            </w:r>
          </w:p>
          <w:p>
            <w:pPr>
              <w:rPr>
                <w:color w:val="auto"/>
                <w:szCs w:val="21"/>
              </w:rPr>
            </w:pPr>
            <w:r>
              <w:rPr>
                <w:color w:val="auto"/>
                <w:szCs w:val="21"/>
              </w:rPr>
              <w:t xml:space="preserve">    </w:t>
            </w:r>
            <w:r>
              <w:rPr>
                <w:color w:val="auto"/>
                <w:szCs w:val="21"/>
              </w:rPr>
              <w:fldChar w:fldCharType="begin"/>
            </w:r>
            <w:r>
              <w:rPr>
                <w:color w:val="auto"/>
                <w:szCs w:val="21"/>
              </w:rPr>
              <w:instrText xml:space="preserve"> = 6 \* GB3 \* MERGEFORMAT </w:instrText>
            </w:r>
            <w:r>
              <w:rPr>
                <w:color w:val="auto"/>
                <w:szCs w:val="21"/>
              </w:rPr>
              <w:fldChar w:fldCharType="separate"/>
            </w:r>
            <w:r>
              <w:rPr>
                <w:rFonts w:hint="eastAsia" w:ascii="宋体" w:hAnsi="宋体" w:cs="宋体"/>
                <w:color w:val="auto"/>
              </w:rPr>
              <w:t>⑥</w:t>
            </w:r>
            <w:r>
              <w:rPr>
                <w:color w:val="auto"/>
                <w:szCs w:val="21"/>
              </w:rPr>
              <w:fldChar w:fldCharType="end"/>
            </w:r>
            <w:r>
              <w:rPr>
                <w:rFonts w:hint="eastAsia"/>
                <w:color w:val="auto"/>
                <w:szCs w:val="21"/>
              </w:rPr>
              <w:t>提高电镀产品合格率是最有效减少污染物产生的措施，</w:t>
            </w:r>
            <w:r>
              <w:rPr>
                <w:color w:val="auto"/>
                <w:szCs w:val="21"/>
              </w:rPr>
              <w:t>“</w:t>
            </w:r>
            <w:r>
              <w:rPr>
                <w:rFonts w:hint="eastAsia"/>
                <w:color w:val="auto"/>
                <w:szCs w:val="21"/>
              </w:rPr>
              <w:t>有镀液成分和杂质定量检测措施、有记录</w:t>
            </w:r>
            <w:r>
              <w:rPr>
                <w:color w:val="auto"/>
                <w:szCs w:val="21"/>
              </w:rPr>
              <w:t>”</w:t>
            </w:r>
            <w:r>
              <w:rPr>
                <w:rFonts w:hint="eastAsia"/>
                <w:color w:val="auto"/>
                <w:szCs w:val="21"/>
              </w:rPr>
              <w:t>是指使用仪器定量检测镀液成分和主要杂质并有日常运行记录或委外检测报告。</w:t>
            </w:r>
          </w:p>
          <w:p>
            <w:pPr>
              <w:rPr>
                <w:color w:val="auto"/>
                <w:szCs w:val="21"/>
              </w:rPr>
            </w:pPr>
            <w:r>
              <w:rPr>
                <w:color w:val="auto"/>
                <w:szCs w:val="21"/>
              </w:rPr>
              <w:t xml:space="preserve">    </w:t>
            </w:r>
            <w:r>
              <w:rPr>
                <w:color w:val="auto"/>
                <w:szCs w:val="21"/>
              </w:rPr>
              <w:fldChar w:fldCharType="begin"/>
            </w:r>
            <w:r>
              <w:rPr>
                <w:color w:val="auto"/>
                <w:szCs w:val="21"/>
              </w:rPr>
              <w:instrText xml:space="preserve"> = 7 \* GB3 \* MERGEFORMAT </w:instrText>
            </w:r>
            <w:r>
              <w:rPr>
                <w:color w:val="auto"/>
                <w:szCs w:val="21"/>
              </w:rPr>
              <w:fldChar w:fldCharType="separate"/>
            </w:r>
            <w:r>
              <w:rPr>
                <w:rFonts w:hint="eastAsia" w:ascii="宋体" w:hAnsi="宋体" w:cs="宋体"/>
                <w:color w:val="auto"/>
              </w:rPr>
              <w:t>⑦</w:t>
            </w:r>
            <w:r>
              <w:rPr>
                <w:color w:val="auto"/>
                <w:szCs w:val="21"/>
              </w:rPr>
              <w:fldChar w:fldCharType="end"/>
            </w:r>
            <w:r>
              <w:rPr>
                <w:rFonts w:hint="eastAsia"/>
                <w:color w:val="auto"/>
                <w:szCs w:val="21"/>
              </w:rPr>
              <w:t>自动生产线所占百分比以产能计算；多品种、小批量生产的电镀企业</w:t>
            </w:r>
            <w:r>
              <w:rPr>
                <w:color w:val="auto"/>
                <w:szCs w:val="21"/>
              </w:rPr>
              <w:t>(</w:t>
            </w:r>
            <w:r>
              <w:rPr>
                <w:rFonts w:hint="eastAsia"/>
                <w:color w:val="auto"/>
                <w:szCs w:val="21"/>
              </w:rPr>
              <w:t>车间</w:t>
            </w:r>
            <w:r>
              <w:rPr>
                <w:color w:val="auto"/>
                <w:szCs w:val="21"/>
              </w:rPr>
              <w:t>)</w:t>
            </w:r>
            <w:r>
              <w:rPr>
                <w:rFonts w:hint="eastAsia"/>
                <w:color w:val="auto"/>
                <w:szCs w:val="21"/>
              </w:rPr>
              <w:t>对生产线自动化没有要求。</w:t>
            </w:r>
          </w:p>
          <w:p>
            <w:pPr>
              <w:rPr>
                <w:color w:val="auto"/>
                <w:szCs w:val="21"/>
              </w:rPr>
            </w:pPr>
            <w:r>
              <w:rPr>
                <w:color w:val="auto"/>
                <w:szCs w:val="21"/>
              </w:rPr>
              <w:t xml:space="preserve">    </w:t>
            </w:r>
            <w:r>
              <w:rPr>
                <w:color w:val="auto"/>
                <w:szCs w:val="21"/>
              </w:rPr>
              <w:fldChar w:fldCharType="begin"/>
            </w:r>
            <w:r>
              <w:rPr>
                <w:color w:val="auto"/>
                <w:szCs w:val="21"/>
              </w:rPr>
              <w:instrText xml:space="preserve"> = 8 \* GB3 \* MERGEFORMAT </w:instrText>
            </w:r>
            <w:r>
              <w:rPr>
                <w:color w:val="auto"/>
                <w:szCs w:val="21"/>
              </w:rPr>
              <w:fldChar w:fldCharType="separate"/>
            </w:r>
            <w:r>
              <w:rPr>
                <w:rFonts w:hint="eastAsia" w:ascii="宋体" w:hAnsi="宋体" w:cs="宋体"/>
                <w:color w:val="auto"/>
              </w:rPr>
              <w:t>⑧</w:t>
            </w:r>
            <w:r>
              <w:rPr>
                <w:color w:val="auto"/>
                <w:szCs w:val="21"/>
              </w:rPr>
              <w:fldChar w:fldCharType="end"/>
            </w:r>
            <w:r>
              <w:rPr>
                <w:rFonts w:hint="eastAsia"/>
                <w:color w:val="auto"/>
                <w:szCs w:val="21"/>
              </w:rPr>
              <w:t>生产车间基本要求：设备和管道无跑、冒、滴、漏，有可靠的防范泄漏措施、生产作业地面、输送废水管道、废水处理系统有防腐防渗措施、有酸雾、氰化氢、氟化物、颗粒物等废气净化设施，有运行记录。</w:t>
            </w:r>
          </w:p>
          <w:p>
            <w:pPr>
              <w:rPr>
                <w:color w:val="auto"/>
                <w:szCs w:val="21"/>
              </w:rPr>
            </w:pPr>
            <w:r>
              <w:rPr>
                <w:color w:val="auto"/>
                <w:szCs w:val="21"/>
              </w:rPr>
              <w:t xml:space="preserve">    </w:t>
            </w:r>
            <w:r>
              <w:rPr>
                <w:color w:val="auto"/>
                <w:szCs w:val="21"/>
              </w:rPr>
              <w:fldChar w:fldCharType="begin"/>
            </w:r>
            <w:r>
              <w:rPr>
                <w:color w:val="auto"/>
                <w:szCs w:val="21"/>
              </w:rPr>
              <w:instrText xml:space="preserve"> = 9 \* GB3 \* MERGEFORMAT </w:instrText>
            </w:r>
            <w:r>
              <w:rPr>
                <w:color w:val="auto"/>
                <w:szCs w:val="21"/>
              </w:rPr>
              <w:fldChar w:fldCharType="separate"/>
            </w:r>
            <w:r>
              <w:rPr>
                <w:rFonts w:hint="eastAsia" w:ascii="宋体" w:hAnsi="宋体" w:cs="宋体"/>
                <w:color w:val="auto"/>
              </w:rPr>
              <w:t>⑨</w:t>
            </w:r>
            <w:r>
              <w:rPr>
                <w:color w:val="auto"/>
                <w:szCs w:val="21"/>
              </w:rPr>
              <w:fldChar w:fldCharType="end"/>
            </w:r>
            <w:r>
              <w:rPr>
                <w:rFonts w:hint="eastAsia"/>
                <w:color w:val="auto"/>
                <w:szCs w:val="21"/>
              </w:rPr>
              <w:t>低铬钝化指钝化液中钝化铬酸酐含量低于</w:t>
            </w:r>
            <w:r>
              <w:rPr>
                <w:color w:val="auto"/>
                <w:szCs w:val="21"/>
              </w:rPr>
              <w:t>5g/l</w:t>
            </w:r>
            <w:r>
              <w:rPr>
                <w:rFonts w:hint="eastAsia"/>
                <w:color w:val="auto"/>
                <w:szCs w:val="21"/>
              </w:rPr>
              <w:t>。</w:t>
            </w:r>
          </w:p>
          <w:p>
            <w:pPr>
              <w:rPr>
                <w:color w:val="auto"/>
                <w:szCs w:val="21"/>
              </w:rPr>
            </w:pPr>
            <w:r>
              <w:rPr>
                <w:color w:val="auto"/>
                <w:szCs w:val="21"/>
              </w:rPr>
              <w:t xml:space="preserve">    </w:t>
            </w:r>
            <w:r>
              <w:rPr>
                <w:color w:val="auto"/>
                <w:szCs w:val="21"/>
              </w:rPr>
              <w:fldChar w:fldCharType="begin"/>
            </w:r>
            <w:r>
              <w:rPr>
                <w:color w:val="auto"/>
                <w:szCs w:val="21"/>
              </w:rPr>
              <w:instrText xml:space="preserve"> = 10 \* GB3 \* MERGEFORMAT </w:instrText>
            </w:r>
            <w:r>
              <w:rPr>
                <w:color w:val="auto"/>
                <w:szCs w:val="21"/>
              </w:rPr>
              <w:fldChar w:fldCharType="separate"/>
            </w:r>
            <w:r>
              <w:rPr>
                <w:rFonts w:hint="eastAsia" w:ascii="宋体" w:hAnsi="宋体" w:cs="宋体"/>
                <w:color w:val="auto"/>
              </w:rPr>
              <w:t>⑩</w:t>
            </w:r>
            <w:r>
              <w:rPr>
                <w:color w:val="auto"/>
                <w:szCs w:val="21"/>
              </w:rPr>
              <w:fldChar w:fldCharType="end"/>
            </w:r>
            <w:r>
              <w:rPr>
                <w:rFonts w:hint="eastAsia"/>
                <w:color w:val="auto"/>
                <w:szCs w:val="21"/>
              </w:rPr>
              <w:t>电镀废水处理量应</w:t>
            </w:r>
            <w:r>
              <w:rPr>
                <w:color w:val="auto"/>
                <w:szCs w:val="21"/>
              </w:rPr>
              <w:t>≥</w:t>
            </w:r>
            <w:r>
              <w:rPr>
                <w:rFonts w:hint="eastAsia"/>
                <w:color w:val="auto"/>
                <w:szCs w:val="21"/>
              </w:rPr>
              <w:t>电镀车间</w:t>
            </w:r>
            <w:r>
              <w:rPr>
                <w:color w:val="auto"/>
                <w:szCs w:val="21"/>
              </w:rPr>
              <w:t>(</w:t>
            </w:r>
            <w:r>
              <w:rPr>
                <w:rFonts w:hint="eastAsia"/>
                <w:color w:val="auto"/>
                <w:szCs w:val="21"/>
              </w:rPr>
              <w:t>生产线</w:t>
            </w:r>
            <w:r>
              <w:rPr>
                <w:color w:val="auto"/>
                <w:szCs w:val="21"/>
              </w:rPr>
              <w:t>)</w:t>
            </w:r>
            <w:r>
              <w:rPr>
                <w:rFonts w:hint="eastAsia"/>
                <w:color w:val="auto"/>
                <w:szCs w:val="21"/>
              </w:rPr>
              <w:t>总用水量的</w:t>
            </w:r>
            <w:r>
              <w:rPr>
                <w:color w:val="auto"/>
                <w:szCs w:val="21"/>
              </w:rPr>
              <w:t>85%(</w:t>
            </w:r>
            <w:r>
              <w:rPr>
                <w:rFonts w:hint="eastAsia"/>
                <w:color w:val="auto"/>
                <w:szCs w:val="21"/>
              </w:rPr>
              <w:t>高温处理槽为主的生产线除外</w:t>
            </w:r>
            <w:r>
              <w:rPr>
                <w:color w:val="auto"/>
                <w:szCs w:val="21"/>
              </w:rPr>
              <w:t>)</w:t>
            </w:r>
            <w:r>
              <w:rPr>
                <w:rFonts w:hint="eastAsia"/>
                <w:color w:val="auto"/>
                <w:szCs w:val="21"/>
              </w:rPr>
              <w:t>。</w:t>
            </w:r>
          </w:p>
          <w:p>
            <w:pPr>
              <w:rPr>
                <w:color w:val="auto"/>
                <w:szCs w:val="21"/>
              </w:rPr>
            </w:pPr>
            <w:r>
              <w:rPr>
                <w:color w:val="auto"/>
                <w:szCs w:val="21"/>
              </w:rPr>
              <w:t xml:space="preserve">    </w:t>
            </w:r>
            <w:r>
              <w:rPr>
                <w:rFonts w:ascii="Cambria Math" w:hAnsi="Cambria Math" w:cs="Cambria Math"/>
                <w:color w:val="auto"/>
                <w:szCs w:val="21"/>
              </w:rPr>
              <w:t>⑪</w:t>
            </w:r>
            <w:r>
              <w:rPr>
                <w:rFonts w:hint="eastAsia"/>
                <w:color w:val="auto"/>
                <w:szCs w:val="21"/>
              </w:rPr>
              <w:t>非电镀车间废水：电镀车间废水包括电镀车间生产、现场洗手、洗工服、洗澡、化验室等产生的废水。其他无关车间并不含重金属的废水为</w:t>
            </w:r>
            <w:r>
              <w:rPr>
                <w:color w:val="auto"/>
                <w:szCs w:val="21"/>
              </w:rPr>
              <w:t>“</w:t>
            </w:r>
            <w:r>
              <w:rPr>
                <w:rFonts w:hint="eastAsia"/>
                <w:color w:val="auto"/>
                <w:szCs w:val="21"/>
              </w:rPr>
              <w:t>非电镀车间废水</w:t>
            </w:r>
            <w:r>
              <w:rPr>
                <w:color w:val="auto"/>
                <w:szCs w:val="21"/>
              </w:rPr>
              <w:t>”</w:t>
            </w:r>
            <w:r>
              <w:rPr>
                <w:rFonts w:hint="eastAsia"/>
                <w:color w:val="auto"/>
                <w:szCs w:val="21"/>
              </w:rPr>
              <w:t>。</w:t>
            </w:r>
          </w:p>
        </w:tc>
      </w:tr>
    </w:tbl>
    <w:p>
      <w:pPr>
        <w:spacing w:line="360" w:lineRule="auto"/>
        <w:ind w:firstLine="480" w:firstLineChars="200"/>
        <w:jc w:val="left"/>
        <w:rPr>
          <w:color w:val="auto"/>
          <w:sz w:val="24"/>
        </w:rPr>
      </w:pPr>
    </w:p>
    <w:p>
      <w:pPr>
        <w:widowControl/>
        <w:spacing w:line="360" w:lineRule="auto"/>
        <w:jc w:val="left"/>
        <w:rPr>
          <w:color w:val="auto"/>
          <w:sz w:val="24"/>
        </w:rPr>
        <w:sectPr>
          <w:pgSz w:w="23760" w:h="16781" w:orient="landscape"/>
          <w:pgMar w:top="1417" w:right="1418" w:bottom="935" w:left="1418" w:header="992" w:footer="992" w:gutter="0"/>
          <w:pgBorders>
            <w:top w:val="none" w:sz="0" w:space="0"/>
            <w:left w:val="none" w:sz="0" w:space="0"/>
            <w:bottom w:val="none" w:sz="0" w:space="0"/>
            <w:right w:val="none" w:sz="0" w:space="0"/>
          </w:pgBorders>
          <w:cols w:space="720" w:num="1"/>
        </w:sectPr>
      </w:pPr>
    </w:p>
    <w:p>
      <w:pPr>
        <w:spacing w:line="360" w:lineRule="auto"/>
        <w:ind w:firstLine="482" w:firstLineChars="200"/>
        <w:jc w:val="center"/>
        <w:rPr>
          <w:b/>
          <w:color w:val="auto"/>
          <w:sz w:val="24"/>
        </w:rPr>
      </w:pPr>
      <w:r>
        <w:rPr>
          <w:rFonts w:hint="eastAsia"/>
          <w:b/>
          <w:color w:val="auto"/>
          <w:sz w:val="24"/>
        </w:rPr>
        <w:t>表5.6</w:t>
      </w:r>
      <w:r>
        <w:rPr>
          <w:b/>
          <w:color w:val="auto"/>
          <w:sz w:val="24"/>
        </w:rPr>
        <w:t xml:space="preserve">-2   </w:t>
      </w:r>
      <w:r>
        <w:rPr>
          <w:rFonts w:hint="eastAsia"/>
          <w:b/>
          <w:color w:val="auto"/>
          <w:sz w:val="24"/>
        </w:rPr>
        <w:t>企业清洁生产水平确定</w:t>
      </w:r>
    </w:p>
    <w:tbl>
      <w:tblPr>
        <w:tblStyle w:val="22"/>
        <w:tblW w:w="928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41"/>
        <w:gridCol w:w="2224"/>
        <w:gridCol w:w="2460"/>
        <w:gridCol w:w="16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blHeader/>
        </w:trPr>
        <w:tc>
          <w:tcPr>
            <w:tcW w:w="2941" w:type="dxa"/>
            <w:tcBorders>
              <w:top w:val="single" w:color="000000" w:sz="12" w:space="0"/>
              <w:left w:val="nil"/>
              <w:bottom w:val="single" w:color="000000" w:sz="4" w:space="0"/>
              <w:right w:val="single" w:color="000000" w:sz="4" w:space="0"/>
            </w:tcBorders>
            <w:vAlign w:val="center"/>
          </w:tcPr>
          <w:p>
            <w:pPr>
              <w:widowControl/>
              <w:snapToGrid w:val="0"/>
              <w:jc w:val="center"/>
              <w:rPr>
                <w:color w:val="auto"/>
                <w:kern w:val="0"/>
                <w:position w:val="-3"/>
                <w:szCs w:val="21"/>
              </w:rPr>
            </w:pPr>
            <w:r>
              <w:rPr>
                <w:rFonts w:hint="eastAsia"/>
                <w:color w:val="auto"/>
                <w:kern w:val="0"/>
                <w:position w:val="-3"/>
                <w:szCs w:val="21"/>
              </w:rPr>
              <w:t>企业清洁生产水平</w:t>
            </w:r>
          </w:p>
        </w:tc>
        <w:tc>
          <w:tcPr>
            <w:tcW w:w="2224" w:type="dxa"/>
            <w:tcBorders>
              <w:top w:val="single" w:color="000000" w:sz="12" w:space="0"/>
              <w:left w:val="single" w:color="000000" w:sz="4" w:space="0"/>
              <w:bottom w:val="single" w:color="000000" w:sz="4" w:space="0"/>
              <w:right w:val="single" w:color="000000" w:sz="4" w:space="0"/>
            </w:tcBorders>
            <w:vAlign w:val="center"/>
          </w:tcPr>
          <w:p>
            <w:pPr>
              <w:widowControl/>
              <w:snapToGrid w:val="0"/>
              <w:jc w:val="center"/>
              <w:rPr>
                <w:color w:val="auto"/>
                <w:kern w:val="0"/>
                <w:position w:val="-3"/>
                <w:szCs w:val="21"/>
              </w:rPr>
            </w:pPr>
            <w:r>
              <w:rPr>
                <w:rFonts w:hint="eastAsia"/>
                <w:color w:val="auto"/>
                <w:kern w:val="0"/>
                <w:position w:val="-3"/>
                <w:szCs w:val="21"/>
              </w:rPr>
              <w:t>评定条件</w:t>
            </w:r>
          </w:p>
        </w:tc>
        <w:tc>
          <w:tcPr>
            <w:tcW w:w="2460" w:type="dxa"/>
            <w:tcBorders>
              <w:top w:val="single" w:color="000000" w:sz="12" w:space="0"/>
              <w:left w:val="single" w:color="000000" w:sz="4" w:space="0"/>
              <w:bottom w:val="single" w:color="000000" w:sz="4" w:space="0"/>
              <w:right w:val="single" w:color="000000" w:sz="4" w:space="0"/>
            </w:tcBorders>
            <w:vAlign w:val="center"/>
          </w:tcPr>
          <w:p>
            <w:pPr>
              <w:widowControl/>
              <w:snapToGrid w:val="0"/>
              <w:jc w:val="center"/>
              <w:rPr>
                <w:color w:val="auto"/>
                <w:kern w:val="0"/>
                <w:position w:val="-3"/>
                <w:szCs w:val="21"/>
              </w:rPr>
            </w:pPr>
            <w:r>
              <w:rPr>
                <w:rFonts w:hint="eastAsia"/>
                <w:color w:val="auto"/>
                <w:kern w:val="0"/>
                <w:position w:val="-3"/>
                <w:szCs w:val="21"/>
              </w:rPr>
              <w:t>企业评分</w:t>
            </w:r>
          </w:p>
        </w:tc>
        <w:tc>
          <w:tcPr>
            <w:tcW w:w="1660" w:type="dxa"/>
            <w:tcBorders>
              <w:top w:val="single" w:color="000000" w:sz="12" w:space="0"/>
              <w:left w:val="single" w:color="000000" w:sz="4" w:space="0"/>
              <w:bottom w:val="single" w:color="000000" w:sz="4" w:space="0"/>
              <w:right w:val="nil"/>
            </w:tcBorders>
            <w:vAlign w:val="center"/>
          </w:tcPr>
          <w:p>
            <w:pPr>
              <w:widowControl/>
              <w:snapToGrid w:val="0"/>
              <w:jc w:val="center"/>
              <w:rPr>
                <w:color w:val="auto"/>
                <w:kern w:val="0"/>
                <w:position w:val="-3"/>
                <w:szCs w:val="21"/>
              </w:rPr>
            </w:pPr>
            <w:r>
              <w:rPr>
                <w:rFonts w:hint="eastAsia"/>
                <w:color w:val="auto"/>
                <w:kern w:val="0"/>
                <w:position w:val="-3"/>
                <w:szCs w:val="21"/>
              </w:rPr>
              <w:t>企业清洁生产水平确定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941" w:type="dxa"/>
            <w:tcBorders>
              <w:top w:val="single" w:color="000000" w:sz="4" w:space="0"/>
              <w:left w:val="nil"/>
              <w:bottom w:val="single" w:color="000000" w:sz="4" w:space="0"/>
              <w:right w:val="single" w:color="000000" w:sz="4" w:space="0"/>
            </w:tcBorders>
            <w:vAlign w:val="center"/>
          </w:tcPr>
          <w:p>
            <w:pPr>
              <w:jc w:val="center"/>
              <w:rPr>
                <w:color w:val="auto"/>
                <w:szCs w:val="21"/>
              </w:rPr>
            </w:pP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rPr>
              <w:t>I</w:t>
            </w:r>
            <w:r>
              <w:rPr>
                <w:color w:val="auto"/>
                <w:szCs w:val="21"/>
              </w:rPr>
              <w:fldChar w:fldCharType="end"/>
            </w:r>
            <w:r>
              <w:rPr>
                <w:rFonts w:hint="eastAsia"/>
                <w:color w:val="auto"/>
                <w:szCs w:val="21"/>
              </w:rPr>
              <w:t>级</w:t>
            </w:r>
            <w:r>
              <w:rPr>
                <w:color w:val="auto"/>
                <w:szCs w:val="21"/>
              </w:rPr>
              <w:t>(</w:t>
            </w:r>
            <w:r>
              <w:rPr>
                <w:rFonts w:hint="eastAsia"/>
                <w:color w:val="auto"/>
                <w:szCs w:val="21"/>
              </w:rPr>
              <w:t>国际先进领先水平</w:t>
            </w:r>
            <w:r>
              <w:rPr>
                <w:color w:val="auto"/>
                <w:szCs w:val="21"/>
              </w:rPr>
              <w:t>)</w:t>
            </w:r>
          </w:p>
        </w:tc>
        <w:tc>
          <w:tcPr>
            <w:tcW w:w="2224" w:type="dxa"/>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rFonts w:hint="eastAsia"/>
                <w:color w:val="auto"/>
                <w:szCs w:val="21"/>
              </w:rPr>
              <w:t>同时满足：</w:t>
            </w:r>
            <w:r>
              <w:rPr>
                <w:color w:val="auto"/>
                <w:szCs w:val="21"/>
              </w:rPr>
              <w:t>Y</w:t>
            </w:r>
            <w:r>
              <w:rPr>
                <w:color w:val="auto"/>
                <w:szCs w:val="21"/>
                <w:vertAlign w:val="subscript"/>
              </w:rPr>
              <w:fldChar w:fldCharType="begin"/>
            </w:r>
            <w:r>
              <w:rPr>
                <w:color w:val="auto"/>
                <w:szCs w:val="21"/>
                <w:vertAlign w:val="subscript"/>
              </w:rPr>
              <w:instrText xml:space="preserve"> = 1 \* ROMAN \* MERGEFORMAT </w:instrText>
            </w:r>
            <w:r>
              <w:rPr>
                <w:color w:val="auto"/>
                <w:szCs w:val="21"/>
                <w:vertAlign w:val="subscript"/>
              </w:rPr>
              <w:fldChar w:fldCharType="separate"/>
            </w:r>
            <w:r>
              <w:rPr>
                <w:color w:val="auto"/>
                <w:vertAlign w:val="subscript"/>
              </w:rPr>
              <w:t>I</w:t>
            </w:r>
            <w:r>
              <w:rPr>
                <w:color w:val="auto"/>
                <w:szCs w:val="21"/>
                <w:vertAlign w:val="subscript"/>
              </w:rPr>
              <w:fldChar w:fldCharType="end"/>
            </w:r>
            <w:r>
              <w:rPr>
                <w:color w:val="auto"/>
                <w:szCs w:val="21"/>
              </w:rPr>
              <w:t>≥85</w:t>
            </w:r>
            <w:r>
              <w:rPr>
                <w:rFonts w:hint="eastAsia"/>
                <w:color w:val="auto"/>
                <w:szCs w:val="21"/>
              </w:rPr>
              <w:t>；限定性指标全部满足</w:t>
            </w:r>
            <w:r>
              <w:rPr>
                <w:color w:val="auto"/>
                <w:szCs w:val="21"/>
              </w:rPr>
              <w:fldChar w:fldCharType="begin"/>
            </w:r>
            <w:r>
              <w:rPr>
                <w:color w:val="auto"/>
                <w:szCs w:val="21"/>
              </w:rPr>
              <w:instrText xml:space="preserve"> = 1 \* ROMAN \* MERGEFORMAT </w:instrText>
            </w:r>
            <w:r>
              <w:rPr>
                <w:color w:val="auto"/>
                <w:szCs w:val="21"/>
              </w:rPr>
              <w:fldChar w:fldCharType="separate"/>
            </w:r>
            <w:r>
              <w:rPr>
                <w:color w:val="auto"/>
              </w:rPr>
              <w:t>I</w:t>
            </w:r>
            <w:r>
              <w:rPr>
                <w:color w:val="auto"/>
                <w:szCs w:val="21"/>
              </w:rPr>
              <w:fldChar w:fldCharType="end"/>
            </w:r>
            <w:r>
              <w:rPr>
                <w:rFonts w:hint="eastAsia"/>
                <w:color w:val="auto"/>
                <w:szCs w:val="21"/>
              </w:rPr>
              <w:t>级基准值要求</w:t>
            </w:r>
          </w:p>
        </w:tc>
        <w:tc>
          <w:tcPr>
            <w:tcW w:w="2460" w:type="dxa"/>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Y</w:t>
            </w:r>
            <w:r>
              <w:rPr>
                <w:color w:val="auto"/>
                <w:szCs w:val="21"/>
                <w:vertAlign w:val="subscript"/>
              </w:rPr>
              <w:fldChar w:fldCharType="begin"/>
            </w:r>
            <w:r>
              <w:rPr>
                <w:color w:val="auto"/>
                <w:szCs w:val="21"/>
                <w:vertAlign w:val="subscript"/>
              </w:rPr>
              <w:instrText xml:space="preserve"> = 1 \* ROMAN \* MERGEFORMAT </w:instrText>
            </w:r>
            <w:r>
              <w:rPr>
                <w:color w:val="auto"/>
                <w:szCs w:val="21"/>
                <w:vertAlign w:val="subscript"/>
              </w:rPr>
              <w:fldChar w:fldCharType="separate"/>
            </w:r>
            <w:r>
              <w:rPr>
                <w:color w:val="auto"/>
                <w:vertAlign w:val="subscript"/>
              </w:rPr>
              <w:t>I</w:t>
            </w:r>
            <w:r>
              <w:rPr>
                <w:color w:val="auto"/>
                <w:szCs w:val="21"/>
                <w:vertAlign w:val="subscript"/>
              </w:rPr>
              <w:fldChar w:fldCharType="end"/>
            </w:r>
            <w:r>
              <w:rPr>
                <w:color w:val="auto"/>
                <w:szCs w:val="21"/>
              </w:rPr>
              <w:t>=71</w:t>
            </w:r>
          </w:p>
        </w:tc>
        <w:tc>
          <w:tcPr>
            <w:tcW w:w="1660" w:type="dxa"/>
            <w:vMerge w:val="restart"/>
            <w:tcBorders>
              <w:top w:val="single" w:color="000000" w:sz="4" w:space="0"/>
              <w:left w:val="single" w:color="000000" w:sz="4" w:space="0"/>
              <w:bottom w:val="single" w:color="000000" w:sz="12" w:space="0"/>
              <w:right w:val="nil"/>
            </w:tcBorders>
            <w:vAlign w:val="center"/>
          </w:tcPr>
          <w:p>
            <w:pPr>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941" w:type="dxa"/>
            <w:tcBorders>
              <w:top w:val="single" w:color="000000" w:sz="4" w:space="0"/>
              <w:left w:val="nil"/>
              <w:bottom w:val="single" w:color="000000" w:sz="4" w:space="0"/>
              <w:right w:val="single" w:color="000000" w:sz="4" w:space="0"/>
            </w:tcBorders>
            <w:vAlign w:val="center"/>
          </w:tcPr>
          <w:p>
            <w:pPr>
              <w:jc w:val="center"/>
              <w:rPr>
                <w:color w:val="auto"/>
                <w:szCs w:val="21"/>
              </w:rPr>
            </w:pP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w:t>
            </w:r>
            <w:r>
              <w:rPr>
                <w:color w:val="auto"/>
                <w:szCs w:val="21"/>
              </w:rPr>
              <w:t>(</w:t>
            </w:r>
            <w:r>
              <w:rPr>
                <w:rFonts w:hint="eastAsia"/>
                <w:color w:val="auto"/>
                <w:szCs w:val="21"/>
              </w:rPr>
              <w:t>国内先进领先水平</w:t>
            </w:r>
            <w:r>
              <w:rPr>
                <w:color w:val="auto"/>
                <w:szCs w:val="21"/>
              </w:rPr>
              <w:t>)</w:t>
            </w:r>
          </w:p>
        </w:tc>
        <w:tc>
          <w:tcPr>
            <w:tcW w:w="2224" w:type="dxa"/>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rFonts w:hint="eastAsia"/>
                <w:color w:val="auto"/>
                <w:szCs w:val="21"/>
              </w:rPr>
              <w:t>同时满足：</w:t>
            </w:r>
            <w:r>
              <w:rPr>
                <w:color w:val="auto"/>
                <w:szCs w:val="21"/>
              </w:rPr>
              <w:t>Y</w:t>
            </w:r>
            <w:r>
              <w:rPr>
                <w:color w:val="auto"/>
                <w:szCs w:val="21"/>
                <w:vertAlign w:val="subscript"/>
              </w:rPr>
              <w:fldChar w:fldCharType="begin"/>
            </w:r>
            <w:r>
              <w:rPr>
                <w:color w:val="auto"/>
                <w:szCs w:val="21"/>
                <w:vertAlign w:val="subscript"/>
              </w:rPr>
              <w:instrText xml:space="preserve"> = 2 \* ROMAN \* MERGEFORMAT </w:instrText>
            </w:r>
            <w:r>
              <w:rPr>
                <w:color w:val="auto"/>
                <w:szCs w:val="21"/>
                <w:vertAlign w:val="subscript"/>
              </w:rPr>
              <w:fldChar w:fldCharType="separate"/>
            </w:r>
            <w:r>
              <w:rPr>
                <w:color w:val="auto"/>
                <w:vertAlign w:val="subscript"/>
              </w:rPr>
              <w:t>II</w:t>
            </w:r>
            <w:r>
              <w:rPr>
                <w:color w:val="auto"/>
                <w:szCs w:val="21"/>
                <w:vertAlign w:val="subscript"/>
              </w:rPr>
              <w:fldChar w:fldCharType="end"/>
            </w:r>
            <w:r>
              <w:rPr>
                <w:color w:val="auto"/>
                <w:szCs w:val="21"/>
              </w:rPr>
              <w:t>≥85</w:t>
            </w:r>
            <w:r>
              <w:rPr>
                <w:rFonts w:hint="eastAsia"/>
                <w:color w:val="auto"/>
                <w:szCs w:val="21"/>
              </w:rPr>
              <w:t>；限定性指标全部满足</w:t>
            </w: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级基准值要求及以上</w:t>
            </w:r>
          </w:p>
        </w:tc>
        <w:tc>
          <w:tcPr>
            <w:tcW w:w="2460" w:type="dxa"/>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szCs w:val="21"/>
              </w:rPr>
              <w:t>Y</w:t>
            </w:r>
            <w:r>
              <w:rPr>
                <w:rFonts w:hint="eastAsia" w:ascii="宋体" w:hAnsi="宋体" w:cs="宋体"/>
                <w:color w:val="auto"/>
                <w:szCs w:val="21"/>
                <w:vertAlign w:val="subscript"/>
              </w:rPr>
              <w:t>Ⅱ</w:t>
            </w:r>
            <w:r>
              <w:rPr>
                <w:color w:val="auto"/>
                <w:szCs w:val="21"/>
              </w:rPr>
              <w:t>=85</w:t>
            </w:r>
            <w:r>
              <w:rPr>
                <w:rFonts w:hint="eastAsia"/>
                <w:color w:val="auto"/>
                <w:szCs w:val="21"/>
              </w:rPr>
              <w:t>，且限定性指标全部满足</w:t>
            </w:r>
            <w:r>
              <w:rPr>
                <w:color w:val="auto"/>
                <w:szCs w:val="21"/>
              </w:rPr>
              <w:fldChar w:fldCharType="begin"/>
            </w:r>
            <w:r>
              <w:rPr>
                <w:color w:val="auto"/>
                <w:szCs w:val="21"/>
              </w:rPr>
              <w:instrText xml:space="preserve"> = 2 \* ROMAN \* MERGEFORMAT </w:instrText>
            </w:r>
            <w:r>
              <w:rPr>
                <w:color w:val="auto"/>
                <w:szCs w:val="21"/>
              </w:rPr>
              <w:fldChar w:fldCharType="separate"/>
            </w:r>
            <w:r>
              <w:rPr>
                <w:color w:val="auto"/>
              </w:rPr>
              <w:t>II</w:t>
            </w:r>
            <w:r>
              <w:rPr>
                <w:color w:val="auto"/>
                <w:szCs w:val="21"/>
              </w:rPr>
              <w:fldChar w:fldCharType="end"/>
            </w:r>
            <w:r>
              <w:rPr>
                <w:rFonts w:hint="eastAsia"/>
                <w:color w:val="auto"/>
                <w:szCs w:val="21"/>
              </w:rPr>
              <w:t>级基准值要求</w:t>
            </w:r>
          </w:p>
        </w:tc>
        <w:tc>
          <w:tcPr>
            <w:tcW w:w="1660" w:type="dxa"/>
            <w:vMerge w:val="continue"/>
            <w:tcBorders>
              <w:top w:val="single" w:color="000000" w:sz="4" w:space="0"/>
              <w:left w:val="single" w:color="000000" w:sz="4" w:space="0"/>
              <w:bottom w:val="single" w:color="000000" w:sz="12" w:space="0"/>
              <w:right w:val="nil"/>
            </w:tcBorders>
            <w:vAlign w:val="center"/>
          </w:tcPr>
          <w:p>
            <w:pPr>
              <w:widowControl/>
              <w:jc w:val="left"/>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941" w:type="dxa"/>
            <w:tcBorders>
              <w:top w:val="single" w:color="000000" w:sz="4" w:space="0"/>
              <w:left w:val="nil"/>
              <w:bottom w:val="single" w:color="000000" w:sz="12" w:space="0"/>
              <w:right w:val="single" w:color="000000" w:sz="4" w:space="0"/>
            </w:tcBorders>
            <w:vAlign w:val="center"/>
          </w:tcPr>
          <w:p>
            <w:pPr>
              <w:jc w:val="center"/>
              <w:rPr>
                <w:color w:val="auto"/>
                <w:szCs w:val="21"/>
              </w:rPr>
            </w:pPr>
            <w:r>
              <w:rPr>
                <w:color w:val="auto"/>
                <w:szCs w:val="21"/>
              </w:rPr>
              <w:fldChar w:fldCharType="begin"/>
            </w:r>
            <w:r>
              <w:rPr>
                <w:color w:val="auto"/>
                <w:szCs w:val="21"/>
              </w:rPr>
              <w:instrText xml:space="preserve"> = 3 \* ROMAN \* MERGEFORMAT </w:instrText>
            </w:r>
            <w:r>
              <w:rPr>
                <w:color w:val="auto"/>
                <w:szCs w:val="21"/>
              </w:rPr>
              <w:fldChar w:fldCharType="separate"/>
            </w:r>
            <w:r>
              <w:rPr>
                <w:color w:val="auto"/>
              </w:rPr>
              <w:t>III</w:t>
            </w:r>
            <w:r>
              <w:rPr>
                <w:color w:val="auto"/>
                <w:szCs w:val="21"/>
              </w:rPr>
              <w:fldChar w:fldCharType="end"/>
            </w:r>
            <w:r>
              <w:rPr>
                <w:rFonts w:hint="eastAsia"/>
                <w:color w:val="auto"/>
                <w:szCs w:val="21"/>
              </w:rPr>
              <w:t>级</w:t>
            </w:r>
            <w:r>
              <w:rPr>
                <w:color w:val="auto"/>
                <w:szCs w:val="21"/>
              </w:rPr>
              <w:t>(</w:t>
            </w:r>
            <w:r>
              <w:rPr>
                <w:rFonts w:hint="eastAsia"/>
                <w:color w:val="auto"/>
                <w:szCs w:val="21"/>
              </w:rPr>
              <w:t>国内清洁生产基本水平</w:t>
            </w:r>
            <w:r>
              <w:rPr>
                <w:color w:val="auto"/>
                <w:szCs w:val="21"/>
              </w:rPr>
              <w:t>)</w:t>
            </w:r>
          </w:p>
        </w:tc>
        <w:tc>
          <w:tcPr>
            <w:tcW w:w="2224" w:type="dxa"/>
            <w:tcBorders>
              <w:top w:val="single" w:color="000000" w:sz="4" w:space="0"/>
              <w:left w:val="single" w:color="000000" w:sz="4" w:space="0"/>
              <w:bottom w:val="single" w:color="000000" w:sz="12" w:space="0"/>
              <w:right w:val="single" w:color="000000" w:sz="4" w:space="0"/>
            </w:tcBorders>
            <w:vAlign w:val="center"/>
          </w:tcPr>
          <w:p>
            <w:pPr>
              <w:jc w:val="center"/>
              <w:rPr>
                <w:color w:val="auto"/>
                <w:szCs w:val="21"/>
              </w:rPr>
            </w:pPr>
            <w:r>
              <w:rPr>
                <w:rFonts w:hint="eastAsia"/>
                <w:color w:val="auto"/>
                <w:szCs w:val="21"/>
              </w:rPr>
              <w:t>满足：</w:t>
            </w:r>
            <w:r>
              <w:rPr>
                <w:color w:val="auto"/>
                <w:szCs w:val="21"/>
              </w:rPr>
              <w:t>Y</w:t>
            </w:r>
            <w:r>
              <w:rPr>
                <w:color w:val="auto"/>
                <w:szCs w:val="21"/>
                <w:vertAlign w:val="subscript"/>
              </w:rPr>
              <w:fldChar w:fldCharType="begin"/>
            </w:r>
            <w:r>
              <w:rPr>
                <w:color w:val="auto"/>
                <w:szCs w:val="21"/>
                <w:vertAlign w:val="subscript"/>
              </w:rPr>
              <w:instrText xml:space="preserve"> = 3 \* ROMAN \* MERGEFORMAT </w:instrText>
            </w:r>
            <w:r>
              <w:rPr>
                <w:color w:val="auto"/>
                <w:szCs w:val="21"/>
                <w:vertAlign w:val="subscript"/>
              </w:rPr>
              <w:fldChar w:fldCharType="separate"/>
            </w:r>
            <w:r>
              <w:rPr>
                <w:color w:val="auto"/>
                <w:vertAlign w:val="subscript"/>
              </w:rPr>
              <w:t>III</w:t>
            </w:r>
            <w:r>
              <w:rPr>
                <w:color w:val="auto"/>
                <w:szCs w:val="21"/>
                <w:vertAlign w:val="subscript"/>
              </w:rPr>
              <w:fldChar w:fldCharType="end"/>
            </w:r>
            <w:r>
              <w:rPr>
                <w:color w:val="auto"/>
                <w:szCs w:val="21"/>
              </w:rPr>
              <w:t>≥100</w:t>
            </w:r>
          </w:p>
        </w:tc>
        <w:tc>
          <w:tcPr>
            <w:tcW w:w="2460" w:type="dxa"/>
            <w:tcBorders>
              <w:top w:val="single" w:color="000000" w:sz="4" w:space="0"/>
              <w:left w:val="single" w:color="000000" w:sz="4" w:space="0"/>
              <w:bottom w:val="single" w:color="000000" w:sz="12" w:space="0"/>
              <w:right w:val="single" w:color="000000" w:sz="4" w:space="0"/>
            </w:tcBorders>
            <w:vAlign w:val="center"/>
          </w:tcPr>
          <w:p>
            <w:pPr>
              <w:jc w:val="center"/>
              <w:rPr>
                <w:color w:val="auto"/>
                <w:szCs w:val="21"/>
              </w:rPr>
            </w:pPr>
            <w:r>
              <w:rPr>
                <w:color w:val="auto"/>
                <w:szCs w:val="21"/>
              </w:rPr>
              <w:t>Y</w:t>
            </w:r>
            <w:r>
              <w:rPr>
                <w:rFonts w:hint="eastAsia" w:ascii="宋体" w:hAnsi="宋体" w:cs="宋体"/>
                <w:color w:val="auto"/>
                <w:szCs w:val="21"/>
                <w:vertAlign w:val="subscript"/>
              </w:rPr>
              <w:t>Ⅲ</w:t>
            </w:r>
            <w:r>
              <w:rPr>
                <w:color w:val="auto"/>
                <w:szCs w:val="21"/>
              </w:rPr>
              <w:t>=100</w:t>
            </w:r>
          </w:p>
        </w:tc>
        <w:tc>
          <w:tcPr>
            <w:tcW w:w="1660" w:type="dxa"/>
            <w:vMerge w:val="continue"/>
            <w:tcBorders>
              <w:top w:val="single" w:color="000000" w:sz="4" w:space="0"/>
              <w:left w:val="single" w:color="000000" w:sz="4" w:space="0"/>
              <w:bottom w:val="single" w:color="000000" w:sz="12" w:space="0"/>
              <w:right w:val="nil"/>
            </w:tcBorders>
            <w:vAlign w:val="center"/>
          </w:tcPr>
          <w:p>
            <w:pPr>
              <w:widowControl/>
              <w:jc w:val="left"/>
              <w:rPr>
                <w:color w:val="auto"/>
                <w:szCs w:val="21"/>
              </w:rPr>
            </w:pPr>
          </w:p>
        </w:tc>
      </w:tr>
    </w:tbl>
    <w:p>
      <w:pPr>
        <w:spacing w:line="360" w:lineRule="auto"/>
        <w:ind w:firstLine="480" w:firstLineChars="200"/>
        <w:jc w:val="left"/>
        <w:rPr>
          <w:color w:val="auto"/>
          <w:sz w:val="24"/>
        </w:rPr>
      </w:pPr>
      <w:r>
        <w:rPr>
          <w:rFonts w:hint="eastAsia"/>
          <w:color w:val="auto"/>
          <w:sz w:val="24"/>
        </w:rPr>
        <w:t>由表5.6</w:t>
      </w:r>
      <w:r>
        <w:rPr>
          <w:color w:val="auto"/>
          <w:sz w:val="24"/>
        </w:rPr>
        <w:t>-1</w:t>
      </w:r>
      <w:r>
        <w:rPr>
          <w:rFonts w:hint="eastAsia"/>
          <w:color w:val="auto"/>
          <w:sz w:val="24"/>
        </w:rPr>
        <w:t>和表5.6</w:t>
      </w:r>
      <w:r>
        <w:rPr>
          <w:color w:val="auto"/>
          <w:sz w:val="24"/>
        </w:rPr>
        <w:t>-2</w:t>
      </w:r>
      <w:r>
        <w:rPr>
          <w:rFonts w:hint="eastAsia"/>
          <w:color w:val="auto"/>
          <w:sz w:val="24"/>
        </w:rPr>
        <w:t>可知，项目电镀生产线投产后，</w:t>
      </w:r>
      <w:r>
        <w:rPr>
          <w:color w:val="auto"/>
          <w:sz w:val="24"/>
        </w:rPr>
        <w:t>70%</w:t>
      </w:r>
      <w:r>
        <w:rPr>
          <w:rFonts w:hint="eastAsia"/>
          <w:color w:val="auto"/>
          <w:sz w:val="24"/>
        </w:rPr>
        <w:t>生产线实现自动化或半自动化，设有节水设施等，采用较为先进的生产工艺；以电力为能源，符合清洁能源的要求，总体清洁生产水平达到二级国内先进水平。</w:t>
      </w:r>
    </w:p>
    <w:p>
      <w:pPr>
        <w:spacing w:line="360" w:lineRule="auto"/>
        <w:outlineLvl w:val="2"/>
        <w:rPr>
          <w:b/>
          <w:color w:val="auto"/>
          <w:sz w:val="24"/>
        </w:rPr>
      </w:pPr>
      <w:r>
        <w:rPr>
          <w:rFonts w:hint="eastAsia"/>
          <w:b/>
          <w:color w:val="auto"/>
          <w:sz w:val="24"/>
        </w:rPr>
        <w:t>5.6</w:t>
      </w:r>
      <w:r>
        <w:rPr>
          <w:b/>
          <w:color w:val="auto"/>
          <w:sz w:val="24"/>
        </w:rPr>
        <w:t>.2</w:t>
      </w:r>
      <w:r>
        <w:rPr>
          <w:rFonts w:hint="eastAsia"/>
          <w:b/>
          <w:color w:val="auto"/>
          <w:sz w:val="24"/>
        </w:rPr>
        <w:t>清洁生产建议</w:t>
      </w:r>
    </w:p>
    <w:p>
      <w:pPr>
        <w:spacing w:line="336" w:lineRule="auto"/>
        <w:ind w:firstLine="480" w:firstLineChars="200"/>
        <w:jc w:val="left"/>
        <w:rPr>
          <w:color w:val="auto"/>
          <w:sz w:val="24"/>
        </w:rPr>
      </w:pPr>
      <w:r>
        <w:rPr>
          <w:rFonts w:hint="eastAsia"/>
          <w:color w:val="auto"/>
          <w:sz w:val="24"/>
        </w:rPr>
        <w:t>对建设项目清洁生产的分析评价可以看出，项目还可以在清洁生产方面做出更多的努力，结合本项目特点提出如下建议：</w:t>
      </w:r>
    </w:p>
    <w:p>
      <w:pPr>
        <w:spacing w:line="336" w:lineRule="auto"/>
        <w:ind w:firstLine="480" w:firstLineChars="200"/>
        <w:jc w:val="left"/>
        <w:rPr>
          <w:color w:val="auto"/>
          <w:sz w:val="24"/>
        </w:rPr>
      </w:pPr>
      <w:r>
        <w:rPr>
          <w:color w:val="auto"/>
          <w:sz w:val="24"/>
        </w:rPr>
        <w:t>1</w:t>
      </w:r>
      <w:r>
        <w:rPr>
          <w:rFonts w:hint="eastAsia"/>
          <w:color w:val="auto"/>
          <w:sz w:val="24"/>
        </w:rPr>
        <w:t>、节能、减排措施</w:t>
      </w:r>
    </w:p>
    <w:p>
      <w:pPr>
        <w:spacing w:line="336" w:lineRule="auto"/>
        <w:ind w:firstLine="480" w:firstLineChars="200"/>
        <w:jc w:val="left"/>
        <w:rPr>
          <w:color w:val="auto"/>
          <w:sz w:val="24"/>
        </w:rPr>
      </w:pPr>
      <w:r>
        <w:rPr>
          <w:rFonts w:hint="eastAsia"/>
          <w:color w:val="auto"/>
          <w:sz w:val="24"/>
        </w:rPr>
        <w:t>用水、用电实现三级计量：一级计量是指总厂为核算单位进行管理的计量点；二级计量是指以车间为核算单位进行管理的计量点；三级计量是指以班组、重点耗水耗能设备为核算单位进行管理的计量点。如生产用水计量装置包括全厂总水表、车间总水表、每条生产线进水的分水表；同时，应在重点耗水工序安装单位的水表，实施三级计量实现最大的清洁生产效益。</w:t>
      </w:r>
    </w:p>
    <w:p>
      <w:pPr>
        <w:spacing w:line="336" w:lineRule="auto"/>
        <w:ind w:firstLine="480" w:firstLineChars="200"/>
        <w:jc w:val="left"/>
        <w:rPr>
          <w:color w:val="auto"/>
          <w:sz w:val="24"/>
        </w:rPr>
      </w:pPr>
      <w:r>
        <w:rPr>
          <w:color w:val="auto"/>
          <w:sz w:val="24"/>
        </w:rPr>
        <w:t>2</w:t>
      </w:r>
      <w:r>
        <w:rPr>
          <w:rFonts w:hint="eastAsia"/>
          <w:color w:val="auto"/>
          <w:sz w:val="24"/>
        </w:rPr>
        <w:t>、加大自动化规模设计，尽量减少手工操作，减少手工操作转移过程中产生的滴落废液，同时建议在挂件转移路线下面设置收集槽，可以减少人工转移挂件时，使槽液滴落到地面，造成物料浪费及污水横流，减少混排废水的产生。</w:t>
      </w:r>
    </w:p>
    <w:p>
      <w:pPr>
        <w:numPr>
          <w:ilvl w:val="0"/>
          <w:numId w:val="18"/>
        </w:numPr>
        <w:spacing w:line="336" w:lineRule="auto"/>
        <w:ind w:firstLine="480" w:firstLineChars="200"/>
        <w:jc w:val="left"/>
        <w:rPr>
          <w:color w:val="auto"/>
          <w:sz w:val="24"/>
        </w:rPr>
      </w:pPr>
      <w:r>
        <w:rPr>
          <w:rFonts w:hint="eastAsia"/>
          <w:color w:val="auto"/>
          <w:sz w:val="24"/>
        </w:rPr>
        <w:t>加强地面的防腐防渗漏措施。</w:t>
      </w:r>
    </w:p>
    <w:p>
      <w:pPr>
        <w:numPr>
          <w:ilvl w:val="0"/>
          <w:numId w:val="18"/>
        </w:numPr>
        <w:spacing w:line="336" w:lineRule="auto"/>
        <w:ind w:firstLine="480" w:firstLineChars="200"/>
        <w:jc w:val="left"/>
        <w:rPr>
          <w:color w:val="auto"/>
          <w:sz w:val="24"/>
        </w:rPr>
      </w:pPr>
      <w:r>
        <w:rPr>
          <w:rFonts w:hint="eastAsia"/>
          <w:color w:val="auto"/>
          <w:sz w:val="24"/>
        </w:rPr>
        <w:t>原材料管理</w:t>
      </w:r>
    </w:p>
    <w:p>
      <w:pPr>
        <w:spacing w:line="336" w:lineRule="auto"/>
        <w:ind w:firstLine="480" w:firstLineChars="200"/>
        <w:jc w:val="left"/>
        <w:rPr>
          <w:color w:val="auto"/>
          <w:sz w:val="24"/>
        </w:rPr>
      </w:pPr>
      <w:r>
        <w:rPr>
          <w:rFonts w:hint="eastAsia"/>
          <w:color w:val="auto"/>
          <w:sz w:val="24"/>
        </w:rPr>
        <w:t>建议采用清洁原材料，尽量不用氟化物。</w:t>
      </w:r>
    </w:p>
    <w:p>
      <w:pPr>
        <w:spacing w:line="336" w:lineRule="auto"/>
        <w:ind w:firstLine="480" w:firstLineChars="200"/>
        <w:jc w:val="left"/>
        <w:rPr>
          <w:color w:val="auto"/>
          <w:sz w:val="24"/>
        </w:rPr>
      </w:pPr>
      <w:r>
        <w:rPr>
          <w:color w:val="auto"/>
          <w:sz w:val="24"/>
        </w:rPr>
        <w:t>5</w:t>
      </w:r>
      <w:r>
        <w:rPr>
          <w:rFonts w:hint="eastAsia"/>
          <w:color w:val="auto"/>
          <w:sz w:val="24"/>
        </w:rPr>
        <w:t>、企业管理</w:t>
      </w:r>
    </w:p>
    <w:p>
      <w:pPr>
        <w:spacing w:line="336" w:lineRule="auto"/>
        <w:ind w:firstLine="480" w:firstLineChars="200"/>
        <w:jc w:val="left"/>
        <w:rPr>
          <w:color w:val="auto"/>
          <w:sz w:val="24"/>
        </w:rPr>
      </w:pPr>
      <w:r>
        <w:rPr>
          <w:rFonts w:hint="eastAsia"/>
          <w:color w:val="auto"/>
          <w:sz w:val="24"/>
        </w:rPr>
        <w:t>（</w:t>
      </w:r>
      <w:r>
        <w:rPr>
          <w:color w:val="auto"/>
          <w:sz w:val="24"/>
        </w:rPr>
        <w:t>1</w:t>
      </w:r>
      <w:r>
        <w:rPr>
          <w:rFonts w:hint="eastAsia"/>
          <w:color w:val="auto"/>
          <w:sz w:val="24"/>
        </w:rPr>
        <w:t>）加强基础管理，对能源、试剂、新鲜水等所有物料都进行计量，实行节奖超罚等管理手段，逐步减少原辅材料及能源的消耗、降低成本、提高企业管理水平。</w:t>
      </w:r>
    </w:p>
    <w:p>
      <w:pPr>
        <w:spacing w:line="336" w:lineRule="auto"/>
        <w:ind w:firstLine="480" w:firstLineChars="200"/>
        <w:jc w:val="left"/>
        <w:rPr>
          <w:color w:val="auto"/>
          <w:sz w:val="24"/>
        </w:rPr>
      </w:pPr>
      <w:r>
        <w:rPr>
          <w:rFonts w:hint="eastAsia"/>
          <w:color w:val="auto"/>
          <w:sz w:val="24"/>
        </w:rPr>
        <w:t>（</w:t>
      </w:r>
      <w:r>
        <w:rPr>
          <w:color w:val="auto"/>
          <w:sz w:val="24"/>
        </w:rPr>
        <w:t>2</w:t>
      </w:r>
      <w:r>
        <w:rPr>
          <w:rFonts w:hint="eastAsia"/>
          <w:color w:val="auto"/>
          <w:sz w:val="24"/>
        </w:rPr>
        <w:t>）加强企业环境管理，逐步实现对各个废物流</w:t>
      </w:r>
      <w:r>
        <w:rPr>
          <w:color w:val="auto"/>
          <w:sz w:val="24"/>
        </w:rPr>
        <w:t>(</w:t>
      </w:r>
      <w:r>
        <w:rPr>
          <w:rFonts w:hint="eastAsia"/>
          <w:color w:val="auto"/>
          <w:sz w:val="24"/>
        </w:rPr>
        <w:t>废水、废气、固体废物</w:t>
      </w:r>
      <w:r>
        <w:rPr>
          <w:color w:val="auto"/>
          <w:sz w:val="24"/>
        </w:rPr>
        <w:t>)</w:t>
      </w:r>
      <w:r>
        <w:rPr>
          <w:rFonts w:hint="eastAsia"/>
          <w:color w:val="auto"/>
          <w:sz w:val="24"/>
        </w:rPr>
        <w:t>进行例行监控。</w:t>
      </w:r>
    </w:p>
    <w:p>
      <w:pPr>
        <w:spacing w:line="336" w:lineRule="auto"/>
        <w:ind w:firstLine="480" w:firstLineChars="200"/>
        <w:jc w:val="left"/>
        <w:rPr>
          <w:color w:val="auto"/>
          <w:sz w:val="24"/>
        </w:rPr>
      </w:pPr>
      <w:r>
        <w:rPr>
          <w:rFonts w:hint="eastAsia"/>
          <w:color w:val="auto"/>
          <w:sz w:val="24"/>
        </w:rPr>
        <w:t>（</w:t>
      </w:r>
      <w:r>
        <w:rPr>
          <w:color w:val="auto"/>
          <w:sz w:val="24"/>
        </w:rPr>
        <w:t>3</w:t>
      </w:r>
      <w:r>
        <w:rPr>
          <w:rFonts w:hint="eastAsia"/>
          <w:color w:val="auto"/>
          <w:sz w:val="24"/>
        </w:rPr>
        <w:t>）加强车间现场管理，杜绝跑、冒、滴、漏。</w:t>
      </w:r>
    </w:p>
    <w:p>
      <w:pPr>
        <w:spacing w:line="336" w:lineRule="auto"/>
        <w:ind w:firstLine="480" w:firstLineChars="200"/>
        <w:jc w:val="left"/>
        <w:rPr>
          <w:color w:val="auto"/>
          <w:sz w:val="24"/>
        </w:rPr>
      </w:pPr>
      <w:r>
        <w:rPr>
          <w:color w:val="auto"/>
          <w:sz w:val="24"/>
        </w:rPr>
        <w:t>6</w:t>
      </w:r>
      <w:r>
        <w:rPr>
          <w:rFonts w:hint="eastAsia"/>
          <w:color w:val="auto"/>
          <w:sz w:val="24"/>
        </w:rPr>
        <w:t>、过程控制</w:t>
      </w:r>
    </w:p>
    <w:p>
      <w:pPr>
        <w:spacing w:line="336" w:lineRule="auto"/>
        <w:ind w:firstLine="480" w:firstLineChars="200"/>
        <w:jc w:val="left"/>
        <w:rPr>
          <w:color w:val="auto"/>
          <w:sz w:val="24"/>
        </w:rPr>
      </w:pPr>
      <w:r>
        <w:rPr>
          <w:rFonts w:hint="eastAsia"/>
          <w:color w:val="auto"/>
          <w:sz w:val="24"/>
        </w:rPr>
        <w:t>（</w:t>
      </w:r>
      <w:r>
        <w:rPr>
          <w:color w:val="auto"/>
          <w:sz w:val="24"/>
        </w:rPr>
        <w:t>1</w:t>
      </w:r>
      <w:r>
        <w:rPr>
          <w:rFonts w:hint="eastAsia"/>
          <w:color w:val="auto"/>
          <w:sz w:val="24"/>
        </w:rPr>
        <w:t>）严格按照工艺流程操作，注意生产各个环节的控制。</w:t>
      </w:r>
    </w:p>
    <w:p>
      <w:pPr>
        <w:spacing w:line="336" w:lineRule="auto"/>
        <w:ind w:firstLine="480" w:firstLineChars="200"/>
        <w:jc w:val="left"/>
        <w:rPr>
          <w:color w:val="auto"/>
          <w:sz w:val="24"/>
        </w:rPr>
      </w:pPr>
      <w:r>
        <w:rPr>
          <w:rFonts w:hint="eastAsia"/>
          <w:color w:val="auto"/>
          <w:sz w:val="24"/>
        </w:rPr>
        <w:t>（</w:t>
      </w:r>
      <w:r>
        <w:rPr>
          <w:color w:val="auto"/>
          <w:sz w:val="24"/>
        </w:rPr>
        <w:t>2</w:t>
      </w:r>
      <w:r>
        <w:rPr>
          <w:rFonts w:hint="eastAsia"/>
          <w:color w:val="auto"/>
          <w:sz w:val="24"/>
        </w:rPr>
        <w:t>）对公司主要设备设施系统采取预防性</w:t>
      </w:r>
      <w:r>
        <w:rPr>
          <w:color w:val="auto"/>
          <w:sz w:val="24"/>
        </w:rPr>
        <w:t>/</w:t>
      </w:r>
      <w:r>
        <w:rPr>
          <w:rFonts w:hint="eastAsia"/>
          <w:color w:val="auto"/>
          <w:sz w:val="24"/>
        </w:rPr>
        <w:t>计划性维修维护措施。</w:t>
      </w:r>
    </w:p>
    <w:p>
      <w:pPr>
        <w:spacing w:line="336" w:lineRule="auto"/>
        <w:ind w:firstLine="480" w:firstLineChars="200"/>
        <w:jc w:val="left"/>
        <w:rPr>
          <w:color w:val="auto"/>
          <w:sz w:val="24"/>
        </w:rPr>
      </w:pPr>
      <w:r>
        <w:rPr>
          <w:color w:val="auto"/>
          <w:sz w:val="24"/>
        </w:rPr>
        <w:t>7</w:t>
      </w:r>
      <w:r>
        <w:rPr>
          <w:rFonts w:hint="eastAsia"/>
          <w:color w:val="auto"/>
          <w:sz w:val="24"/>
        </w:rPr>
        <w:t>、现场管理</w:t>
      </w:r>
    </w:p>
    <w:p>
      <w:pPr>
        <w:spacing w:line="336" w:lineRule="auto"/>
        <w:ind w:firstLine="480" w:firstLineChars="200"/>
        <w:jc w:val="left"/>
        <w:rPr>
          <w:color w:val="auto"/>
          <w:sz w:val="24"/>
        </w:rPr>
      </w:pPr>
      <w:r>
        <w:rPr>
          <w:rFonts w:hint="eastAsia"/>
          <w:color w:val="auto"/>
          <w:sz w:val="24"/>
        </w:rPr>
        <w:t>（</w:t>
      </w:r>
      <w:r>
        <w:rPr>
          <w:color w:val="auto"/>
          <w:sz w:val="24"/>
        </w:rPr>
        <w:t>1</w:t>
      </w:r>
      <w:r>
        <w:rPr>
          <w:rFonts w:hint="eastAsia"/>
          <w:color w:val="auto"/>
          <w:sz w:val="24"/>
        </w:rPr>
        <w:t>）严格控制化学品和添加剂等物料处理和制备过程中跑冒滴漏。</w:t>
      </w:r>
    </w:p>
    <w:p>
      <w:pPr>
        <w:spacing w:line="336" w:lineRule="auto"/>
        <w:ind w:firstLine="480" w:firstLineChars="200"/>
        <w:jc w:val="left"/>
        <w:rPr>
          <w:color w:val="auto"/>
          <w:sz w:val="24"/>
        </w:rPr>
      </w:pPr>
      <w:r>
        <w:rPr>
          <w:rFonts w:hint="eastAsia"/>
          <w:color w:val="auto"/>
          <w:sz w:val="24"/>
        </w:rPr>
        <w:t>（</w:t>
      </w:r>
      <w:r>
        <w:rPr>
          <w:color w:val="auto"/>
          <w:sz w:val="24"/>
        </w:rPr>
        <w:t>2</w:t>
      </w:r>
      <w:r>
        <w:rPr>
          <w:rFonts w:hint="eastAsia"/>
          <w:color w:val="auto"/>
          <w:sz w:val="24"/>
        </w:rPr>
        <w:t>）妥善收集和贮存危险固废。</w:t>
      </w:r>
    </w:p>
    <w:p>
      <w:pPr>
        <w:spacing w:line="336" w:lineRule="auto"/>
        <w:ind w:firstLine="480" w:firstLineChars="200"/>
        <w:jc w:val="left"/>
        <w:rPr>
          <w:color w:val="auto"/>
          <w:sz w:val="24"/>
        </w:rPr>
      </w:pPr>
      <w:r>
        <w:rPr>
          <w:color w:val="auto"/>
          <w:sz w:val="24"/>
        </w:rPr>
        <w:t>8</w:t>
      </w:r>
      <w:r>
        <w:rPr>
          <w:rFonts w:hint="eastAsia"/>
          <w:color w:val="auto"/>
          <w:sz w:val="24"/>
        </w:rPr>
        <w:t>、废物的循环回用</w:t>
      </w:r>
      <w:r>
        <w:rPr>
          <w:color w:val="auto"/>
          <w:sz w:val="24"/>
        </w:rPr>
        <w:t>/</w:t>
      </w:r>
      <w:r>
        <w:rPr>
          <w:rFonts w:hint="eastAsia"/>
          <w:color w:val="auto"/>
          <w:sz w:val="24"/>
        </w:rPr>
        <w:t>回收利用</w:t>
      </w:r>
    </w:p>
    <w:p>
      <w:pPr>
        <w:spacing w:line="336" w:lineRule="auto"/>
        <w:ind w:firstLine="480" w:firstLineChars="200"/>
        <w:jc w:val="left"/>
        <w:rPr>
          <w:color w:val="auto"/>
          <w:sz w:val="24"/>
        </w:rPr>
      </w:pPr>
      <w:r>
        <w:rPr>
          <w:rFonts w:hint="eastAsia"/>
          <w:color w:val="auto"/>
          <w:sz w:val="24"/>
        </w:rPr>
        <w:t>本项目应对生产过程中产生的可回收利用的固体废物进行回收利用，提高清洁生产水平。</w:t>
      </w:r>
    </w:p>
    <w:p>
      <w:pPr>
        <w:numPr>
          <w:ilvl w:val="0"/>
          <w:numId w:val="19"/>
        </w:numPr>
        <w:snapToGrid w:val="0"/>
        <w:spacing w:line="360" w:lineRule="auto"/>
        <w:outlineLvl w:val="0"/>
        <w:rPr>
          <w:b/>
          <w:color w:val="auto"/>
          <w:sz w:val="32"/>
          <w:szCs w:val="32"/>
        </w:rPr>
      </w:pPr>
      <w:r>
        <w:rPr>
          <w:rFonts w:hint="eastAsia"/>
          <w:b/>
          <w:color w:val="auto"/>
          <w:sz w:val="32"/>
          <w:szCs w:val="32"/>
        </w:rPr>
        <w:t>施工期环境影响分析</w:t>
      </w:r>
    </w:p>
    <w:p>
      <w:pPr>
        <w:spacing w:line="360" w:lineRule="auto"/>
        <w:ind w:firstLine="480"/>
        <w:rPr>
          <w:rFonts w:hAnsi="宋体"/>
          <w:color w:val="auto"/>
          <w:sz w:val="24"/>
        </w:rPr>
      </w:pPr>
      <w:r>
        <w:rPr>
          <w:rFonts w:hint="eastAsia" w:hAnsi="宋体"/>
          <w:color w:val="auto"/>
          <w:sz w:val="24"/>
        </w:rPr>
        <w:t>本项目利用福鼎市文渡金属表面处理集控中心已建厂房，施工期仅进行设备安装，安装阶段产生的污染较小，设备调试阶段仅产生少量废气，设备噪声较小，施工期对环境影响较小。因此，本环评不对施工期进行影响分析。</w:t>
      </w:r>
    </w:p>
    <w:p>
      <w:pPr>
        <w:pStyle w:val="31"/>
        <w:snapToGrid w:val="0"/>
        <w:spacing w:line="360" w:lineRule="auto"/>
        <w:rPr>
          <w:rFonts w:ascii="Times New Roman" w:hAnsi="Times New Roman"/>
          <w:color w:val="auto"/>
        </w:rPr>
      </w:pPr>
      <w:r>
        <w:rPr>
          <w:rFonts w:hint="eastAsia" w:ascii="Times New Roman" w:hAnsi="Times New Roman"/>
          <w:color w:val="auto"/>
        </w:rPr>
        <w:t>七、运营期环境影响评价</w:t>
      </w:r>
    </w:p>
    <w:p>
      <w:pPr>
        <w:pStyle w:val="37"/>
        <w:snapToGrid w:val="0"/>
        <w:spacing w:line="360" w:lineRule="auto"/>
        <w:rPr>
          <w:rFonts w:ascii="Times New Roman" w:hAnsi="Times New Roman"/>
          <w:color w:val="auto"/>
        </w:rPr>
      </w:pPr>
      <w:r>
        <w:rPr>
          <w:rFonts w:ascii="Times New Roman" w:hAnsi="Times New Roman"/>
          <w:color w:val="auto"/>
        </w:rPr>
        <w:t xml:space="preserve">7.1 </w:t>
      </w:r>
      <w:r>
        <w:rPr>
          <w:rFonts w:hint="eastAsia" w:ascii="Times New Roman" w:hAnsi="Times New Roman"/>
          <w:color w:val="auto"/>
        </w:rPr>
        <w:t>地表水环境影响评价</w:t>
      </w:r>
    </w:p>
    <w:p>
      <w:pPr>
        <w:pStyle w:val="91"/>
        <w:rPr>
          <w:rFonts w:ascii="Times New Roman" w:hAnsi="Times New Roman"/>
          <w:color w:val="auto"/>
        </w:rPr>
      </w:pPr>
      <w:r>
        <w:rPr>
          <w:rFonts w:ascii="Times New Roman" w:hAnsi="Times New Roman"/>
          <w:color w:val="auto"/>
        </w:rPr>
        <w:t>（1）生活污水</w:t>
      </w:r>
    </w:p>
    <w:p>
      <w:pPr>
        <w:pStyle w:val="91"/>
        <w:rPr>
          <w:rFonts w:ascii="Times New Roman" w:hAnsi="Times New Roman"/>
          <w:color w:val="auto"/>
        </w:rPr>
      </w:pPr>
      <w:r>
        <w:rPr>
          <w:rFonts w:ascii="Times New Roman" w:hAnsi="Times New Roman"/>
          <w:color w:val="auto"/>
        </w:rPr>
        <w:t>本项目</w:t>
      </w:r>
      <w:r>
        <w:rPr>
          <w:rFonts w:ascii="Times New Roman" w:hAnsi="Times New Roman"/>
          <w:bCs w:val="0"/>
          <w:color w:val="auto"/>
          <w:szCs w:val="21"/>
        </w:rPr>
        <w:t>生活污水排放量为</w:t>
      </w:r>
      <w:r>
        <w:rPr>
          <w:rFonts w:ascii="Times New Roman" w:hAnsi="Times New Roman"/>
          <w:color w:val="auto"/>
        </w:rPr>
        <w:t>0.225m</w:t>
      </w:r>
      <w:r>
        <w:rPr>
          <w:rFonts w:ascii="Times New Roman" w:hAnsi="Times New Roman"/>
          <w:color w:val="auto"/>
          <w:vertAlign w:val="superscript"/>
        </w:rPr>
        <w:t>3</w:t>
      </w:r>
      <w:r>
        <w:rPr>
          <w:rFonts w:ascii="Times New Roman" w:hAnsi="Times New Roman"/>
          <w:color w:val="auto"/>
        </w:rPr>
        <w:t>/d（67.5m</w:t>
      </w:r>
      <w:r>
        <w:rPr>
          <w:rFonts w:ascii="Times New Roman" w:hAnsi="Times New Roman"/>
          <w:color w:val="auto"/>
          <w:vertAlign w:val="superscript"/>
        </w:rPr>
        <w:t>3</w:t>
      </w:r>
      <w:r>
        <w:rPr>
          <w:rFonts w:ascii="Times New Roman" w:hAnsi="Times New Roman"/>
          <w:color w:val="auto"/>
        </w:rPr>
        <w:t>/a），生活污水经化粪池处理后《污水综合排放标准》（GB8978-1996）表4中三级标准（其中氨氮执行《污水排入城镇下水道水质标准》（GB/T31962-2015）表1的B等级标准后接入福鼎市文渡工业集中区市政污水管网，排入</w:t>
      </w:r>
      <w:r>
        <w:rPr>
          <w:rFonts w:ascii="Times New Roman" w:hAnsi="Times New Roman"/>
          <w:color w:val="auto"/>
          <w:kern w:val="0"/>
        </w:rPr>
        <w:t>福鼎市文渡污水处理厂</w:t>
      </w:r>
      <w:r>
        <w:rPr>
          <w:rFonts w:ascii="Times New Roman" w:hAnsi="Times New Roman"/>
          <w:color w:val="auto"/>
        </w:rPr>
        <w:t>处理。</w:t>
      </w:r>
    </w:p>
    <w:p>
      <w:pPr>
        <w:pStyle w:val="91"/>
        <w:numPr>
          <w:ilvl w:val="0"/>
          <w:numId w:val="20"/>
        </w:numPr>
        <w:rPr>
          <w:rFonts w:ascii="Times New Roman" w:hAnsi="Times New Roman"/>
          <w:color w:val="auto"/>
        </w:rPr>
      </w:pPr>
      <w:r>
        <w:rPr>
          <w:rFonts w:hint="eastAsia" w:ascii="Times New Roman" w:hAnsi="Times New Roman"/>
          <w:color w:val="auto"/>
        </w:rPr>
        <w:t>生产废水</w:t>
      </w:r>
    </w:p>
    <w:p>
      <w:pPr>
        <w:pStyle w:val="104"/>
        <w:spacing w:line="360" w:lineRule="auto"/>
        <w:ind w:left="-2" w:leftChars="-1" w:right="50" w:rightChars="24" w:firstLine="480" w:firstLineChars="200"/>
        <w:rPr>
          <w:color w:val="auto"/>
          <w:sz w:val="24"/>
        </w:rPr>
      </w:pPr>
      <w:r>
        <w:rPr>
          <w:color w:val="auto"/>
          <w:sz w:val="24"/>
          <w:szCs w:val="24"/>
        </w:rPr>
        <w:t>项目生产过程主要的生产废水为各工序清洗产生的清洗废水、滤芯清洗废水、地面冲洗废水、废气处理过程中产生的废水，全年产生生产废水量为</w:t>
      </w:r>
      <w:r>
        <w:rPr>
          <w:rFonts w:hint="default" w:ascii="Times New Roman" w:hAnsi="Times New Roman" w:eastAsia="宋体" w:cs="Times New Roman"/>
          <w:i w:val="0"/>
          <w:color w:val="auto"/>
          <w:kern w:val="0"/>
          <w:sz w:val="24"/>
          <w:szCs w:val="24"/>
          <w:u w:val="none"/>
          <w:lang w:val="en-US" w:eastAsia="zh-CN" w:bidi="ar"/>
        </w:rPr>
        <w:t>8011.64</w:t>
      </w:r>
      <w:r>
        <w:rPr>
          <w:color w:val="auto"/>
          <w:sz w:val="24"/>
          <w:szCs w:val="24"/>
        </w:rPr>
        <w:t>t/a，其中含铬废水</w:t>
      </w:r>
      <w:r>
        <w:rPr>
          <w:rFonts w:hint="default" w:ascii="Times New Roman" w:hAnsi="Times New Roman" w:eastAsia="宋体" w:cs="Times New Roman"/>
          <w:i w:val="0"/>
          <w:color w:val="auto"/>
          <w:kern w:val="0"/>
          <w:sz w:val="24"/>
          <w:szCs w:val="24"/>
          <w:u w:val="none"/>
          <w:lang w:val="en-US" w:eastAsia="zh-CN" w:bidi="ar"/>
        </w:rPr>
        <w:t>1054.04</w:t>
      </w:r>
      <w:r>
        <w:rPr>
          <w:color w:val="auto"/>
          <w:sz w:val="24"/>
          <w:szCs w:val="24"/>
        </w:rPr>
        <w:t>t/a，接入含铬废水收集管网；含镍废水量</w:t>
      </w:r>
      <w:r>
        <w:rPr>
          <w:rFonts w:hint="default" w:ascii="Times New Roman" w:hAnsi="Times New Roman" w:eastAsia="宋体" w:cs="Times New Roman"/>
          <w:i w:val="0"/>
          <w:color w:val="auto"/>
          <w:kern w:val="0"/>
          <w:sz w:val="24"/>
          <w:szCs w:val="24"/>
          <w:u w:val="none"/>
          <w:lang w:val="en-US" w:eastAsia="zh-CN" w:bidi="ar"/>
        </w:rPr>
        <w:t>1132.04</w:t>
      </w:r>
      <w:r>
        <w:rPr>
          <w:color w:val="auto"/>
          <w:sz w:val="24"/>
          <w:szCs w:val="24"/>
        </w:rPr>
        <w:t>t/a，接含镍废水收集管网；含油废水量</w:t>
      </w:r>
      <w:r>
        <w:rPr>
          <w:rFonts w:hint="default" w:ascii="Times New Roman" w:hAnsi="Times New Roman" w:eastAsia="宋体" w:cs="Times New Roman"/>
          <w:i w:val="0"/>
          <w:color w:val="auto"/>
          <w:kern w:val="0"/>
          <w:sz w:val="24"/>
          <w:szCs w:val="24"/>
          <w:u w:val="none"/>
          <w:lang w:val="en-US" w:eastAsia="zh-CN" w:bidi="ar"/>
        </w:rPr>
        <w:t>2110.16</w:t>
      </w:r>
      <w:r>
        <w:rPr>
          <w:color w:val="auto"/>
          <w:sz w:val="24"/>
          <w:szCs w:val="24"/>
        </w:rPr>
        <w:t>t/a，接入含</w:t>
      </w:r>
      <w:r>
        <w:rPr>
          <w:rFonts w:hint="eastAsia"/>
          <w:color w:val="auto"/>
          <w:sz w:val="24"/>
          <w:szCs w:val="24"/>
        </w:rPr>
        <w:t>油</w:t>
      </w:r>
      <w:r>
        <w:rPr>
          <w:color w:val="auto"/>
          <w:sz w:val="24"/>
          <w:szCs w:val="24"/>
        </w:rPr>
        <w:t>废水收集管网；含</w:t>
      </w:r>
      <w:r>
        <w:rPr>
          <w:rFonts w:hint="eastAsia"/>
          <w:color w:val="auto"/>
          <w:sz w:val="24"/>
          <w:szCs w:val="24"/>
        </w:rPr>
        <w:t>氰</w:t>
      </w:r>
      <w:r>
        <w:rPr>
          <w:color w:val="auto"/>
          <w:sz w:val="24"/>
          <w:szCs w:val="24"/>
        </w:rPr>
        <w:t>废水量</w:t>
      </w:r>
      <w:r>
        <w:rPr>
          <w:rFonts w:hint="default" w:ascii="Times New Roman" w:hAnsi="Times New Roman" w:eastAsia="宋体" w:cs="Times New Roman"/>
          <w:i w:val="0"/>
          <w:color w:val="auto"/>
          <w:kern w:val="0"/>
          <w:sz w:val="24"/>
          <w:szCs w:val="24"/>
          <w:u w:val="none"/>
          <w:lang w:val="en-US" w:eastAsia="zh-CN" w:bidi="ar"/>
        </w:rPr>
        <w:t>2909.4</w:t>
      </w:r>
      <w:r>
        <w:rPr>
          <w:color w:val="auto"/>
          <w:sz w:val="24"/>
          <w:szCs w:val="24"/>
        </w:rPr>
        <w:t>t/a，接含</w:t>
      </w:r>
      <w:r>
        <w:rPr>
          <w:rFonts w:hint="eastAsia"/>
          <w:color w:val="auto"/>
          <w:sz w:val="24"/>
          <w:szCs w:val="24"/>
        </w:rPr>
        <w:t>氰</w:t>
      </w:r>
      <w:r>
        <w:rPr>
          <w:color w:val="auto"/>
          <w:sz w:val="24"/>
          <w:szCs w:val="24"/>
        </w:rPr>
        <w:t>废水收集管网；其余废水</w:t>
      </w:r>
      <w:r>
        <w:rPr>
          <w:rFonts w:hint="default" w:ascii="Times New Roman" w:hAnsi="Times New Roman" w:eastAsia="宋体" w:cs="Times New Roman"/>
          <w:i w:val="0"/>
          <w:color w:val="auto"/>
          <w:kern w:val="0"/>
          <w:sz w:val="24"/>
          <w:szCs w:val="24"/>
          <w:u w:val="none"/>
          <w:lang w:val="en-US" w:eastAsia="zh-CN" w:bidi="ar"/>
        </w:rPr>
        <w:t>806</w:t>
      </w:r>
      <w:r>
        <w:rPr>
          <w:color w:val="auto"/>
          <w:sz w:val="24"/>
          <w:szCs w:val="24"/>
        </w:rPr>
        <w:t>t/a</w:t>
      </w:r>
      <w:r>
        <w:rPr>
          <w:color w:val="auto"/>
          <w:sz w:val="24"/>
        </w:rPr>
        <w:t>接入混合废水收集管网。</w:t>
      </w:r>
      <w:r>
        <w:rPr>
          <w:color w:val="auto"/>
          <w:sz w:val="24"/>
        </w:rPr>
        <w:t>各股废水水质满足集控中心污水站进水水质水量要求。</w:t>
      </w:r>
      <w:r>
        <w:rPr>
          <w:rFonts w:hint="eastAsia"/>
          <w:color w:val="auto"/>
          <w:sz w:val="24"/>
        </w:rPr>
        <w:t>拟建项目各废水排入集控中心污水处理站的排放量由原有工程等量替换，不会对集控中心的分类收集处理设施造成冲击负荷。</w:t>
      </w:r>
    </w:p>
    <w:p>
      <w:pPr>
        <w:pStyle w:val="104"/>
        <w:spacing w:line="360" w:lineRule="auto"/>
        <w:ind w:left="-2" w:leftChars="-1" w:right="50" w:rightChars="24" w:firstLine="480" w:firstLineChars="200"/>
        <w:rPr>
          <w:rFonts w:hint="eastAsia"/>
          <w:color w:val="auto"/>
          <w:sz w:val="24"/>
        </w:rPr>
      </w:pPr>
      <w:r>
        <w:rPr>
          <w:rFonts w:hint="eastAsia"/>
          <w:color w:val="auto"/>
          <w:sz w:val="24"/>
        </w:rPr>
        <w:t>项目废水经污水站处理后，排入福鼎市文渡污水处理厂进行生化处理，污水站尾水各指标达《电镀污水排放标准》（GB21900-2008）表2的相应要求（其中COD、氨氮达文渡污水厂进水水质要求，即氨氮≤120mg/L，COD≤500mg/L）。</w:t>
      </w:r>
    </w:p>
    <w:p>
      <w:pPr>
        <w:pStyle w:val="104"/>
        <w:spacing w:line="360" w:lineRule="auto"/>
        <w:ind w:left="-2" w:leftChars="-1" w:right="50" w:rightChars="24" w:firstLine="480" w:firstLineChars="200"/>
        <w:rPr>
          <w:rFonts w:hint="eastAsia"/>
          <w:color w:val="auto"/>
          <w:sz w:val="24"/>
        </w:rPr>
        <w:sectPr>
          <w:pgSz w:w="11906" w:h="16838"/>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pStyle w:val="4"/>
        <w:numPr>
          <w:ilvl w:val="0"/>
          <w:numId w:val="0"/>
        </w:numPr>
        <w:spacing w:before="0" w:after="0"/>
        <w:ind w:leftChars="0"/>
        <w:jc w:val="center"/>
        <w:rPr>
          <w:rFonts w:hint="eastAsia" w:ascii="Times New Roman" w:hAnsi="Times New Roman" w:eastAsia="宋体" w:cs="Times New Roman"/>
          <w:b/>
          <w:bCs/>
          <w:color w:val="auto"/>
          <w:kern w:val="2"/>
          <w:sz w:val="24"/>
          <w:szCs w:val="24"/>
          <w:lang w:val="en-US" w:eastAsia="zh-CN" w:bidi="ar-SA"/>
        </w:rPr>
      </w:pPr>
      <w:bookmarkStart w:id="25" w:name="_Toc27853"/>
      <w:r>
        <w:rPr>
          <w:rFonts w:hint="eastAsia" w:cs="Times New Roman"/>
          <w:b/>
          <w:bCs/>
          <w:color w:val="auto"/>
          <w:kern w:val="2"/>
          <w:sz w:val="24"/>
          <w:szCs w:val="24"/>
          <w:lang w:val="en-US" w:eastAsia="zh-CN" w:bidi="ar-SA"/>
        </w:rPr>
        <w:t>表7.1-1</w:t>
      </w:r>
      <w:r>
        <w:rPr>
          <w:rFonts w:hint="eastAsia" w:ascii="Times New Roman" w:hAnsi="Times New Roman" w:eastAsia="宋体" w:cs="Times New Roman"/>
          <w:b/>
          <w:bCs/>
          <w:color w:val="auto"/>
          <w:kern w:val="2"/>
          <w:sz w:val="24"/>
          <w:szCs w:val="24"/>
          <w:lang w:val="en-US" w:eastAsia="zh-CN" w:bidi="ar-SA"/>
        </w:rPr>
        <w:t xml:space="preserve">  地表水环境影响评价自查表</w:t>
      </w:r>
      <w:bookmarkEnd w:id="25"/>
    </w:p>
    <w:tbl>
      <w:tblPr>
        <w:tblStyle w:val="22"/>
        <w:tblW w:w="14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2969"/>
        <w:gridCol w:w="2139"/>
        <w:gridCol w:w="183"/>
        <w:gridCol w:w="1243"/>
        <w:gridCol w:w="712"/>
        <w:gridCol w:w="1071"/>
        <w:gridCol w:w="109"/>
        <w:gridCol w:w="960"/>
        <w:gridCol w:w="713"/>
        <w:gridCol w:w="1426"/>
        <w:gridCol w:w="53"/>
        <w:gridCol w:w="590"/>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3527" w:type="dxa"/>
            <w:gridSpan w:val="2"/>
            <w:noWrap/>
            <w:vAlign w:val="center"/>
          </w:tcPr>
          <w:p>
            <w:pPr>
              <w:tabs>
                <w:tab w:val="left" w:pos="8297"/>
              </w:tabs>
              <w:ind w:firstLine="480"/>
              <w:jc w:val="left"/>
              <w:rPr>
                <w:color w:val="auto"/>
                <w:kern w:val="0"/>
                <w:sz w:val="18"/>
                <w:szCs w:val="18"/>
              </w:rPr>
            </w:pPr>
            <w:r>
              <w:rPr>
                <w:rFonts w:hint="eastAsia"/>
                <w:color w:val="auto"/>
              </w:rPr>
              <w:tab/>
            </w:r>
            <w:r>
              <w:rPr>
                <w:color w:val="auto"/>
                <w:kern w:val="0"/>
                <w:sz w:val="18"/>
                <w:szCs w:val="18"/>
              </w:rPr>
              <w:t>工作内容</w:t>
            </w:r>
          </w:p>
        </w:tc>
        <w:tc>
          <w:tcPr>
            <w:tcW w:w="10695" w:type="dxa"/>
            <w:gridSpan w:val="12"/>
            <w:noWrap/>
            <w:vAlign w:val="center"/>
          </w:tcPr>
          <w:p>
            <w:pPr>
              <w:spacing w:line="240" w:lineRule="auto"/>
              <w:ind w:firstLine="360"/>
              <w:jc w:val="center"/>
              <w:rPr>
                <w:color w:val="auto"/>
                <w:kern w:val="0"/>
                <w:sz w:val="18"/>
                <w:szCs w:val="18"/>
              </w:rPr>
            </w:pPr>
            <w:r>
              <w:rPr>
                <w:rFonts w:hint="eastAsia"/>
                <w:color w:val="auto"/>
                <w:kern w:val="0"/>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textDirection w:val="tbRlV"/>
            <w:vAlign w:val="center"/>
          </w:tcPr>
          <w:p>
            <w:pPr>
              <w:spacing w:line="240" w:lineRule="auto"/>
              <w:ind w:firstLine="360"/>
              <w:jc w:val="center"/>
              <w:rPr>
                <w:color w:val="auto"/>
                <w:kern w:val="0"/>
                <w:sz w:val="18"/>
                <w:szCs w:val="18"/>
              </w:rPr>
            </w:pPr>
            <w:r>
              <w:rPr>
                <w:color w:val="auto"/>
                <w:kern w:val="0"/>
                <w:sz w:val="18"/>
                <w:szCs w:val="18"/>
              </w:rPr>
              <w:t>影响识别</w:t>
            </w: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影响类型</w:t>
            </w:r>
          </w:p>
        </w:tc>
        <w:tc>
          <w:tcPr>
            <w:tcW w:w="10695" w:type="dxa"/>
            <w:gridSpan w:val="12"/>
            <w:noWrap/>
            <w:vAlign w:val="center"/>
          </w:tcPr>
          <w:p>
            <w:pPr>
              <w:spacing w:line="240" w:lineRule="auto"/>
              <w:ind w:firstLine="360"/>
              <w:jc w:val="left"/>
              <w:rPr>
                <w:color w:val="auto"/>
                <w:kern w:val="0"/>
                <w:sz w:val="18"/>
                <w:szCs w:val="18"/>
              </w:rPr>
            </w:pPr>
            <w:r>
              <w:rPr>
                <w:rFonts w:hint="eastAsia"/>
                <w:color w:val="auto"/>
                <w:kern w:val="0"/>
                <w:sz w:val="18"/>
                <w:szCs w:val="18"/>
              </w:rPr>
              <w:t>水</w:t>
            </w:r>
            <w:r>
              <w:rPr>
                <w:color w:val="auto"/>
                <w:kern w:val="0"/>
                <w:sz w:val="18"/>
                <w:szCs w:val="18"/>
              </w:rPr>
              <w:t xml:space="preserve">污染影响型 </w:t>
            </w:r>
            <w:r>
              <w:rPr>
                <w:rFonts w:ascii="宋体" w:hAnsi="宋体"/>
                <w:color w:val="auto"/>
                <w:kern w:val="0"/>
                <w:sz w:val="18"/>
                <w:szCs w:val="18"/>
              </w:rPr>
              <w:sym w:font="Wingdings 2" w:char="0052"/>
            </w:r>
            <w:r>
              <w:rPr>
                <w:color w:val="auto"/>
                <w:kern w:val="0"/>
                <w:sz w:val="18"/>
                <w:szCs w:val="18"/>
              </w:rPr>
              <w:t xml:space="preserve">；水文要素影响型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水环境保护目标</w:t>
            </w:r>
          </w:p>
        </w:tc>
        <w:tc>
          <w:tcPr>
            <w:tcW w:w="10695" w:type="dxa"/>
            <w:gridSpan w:val="12"/>
            <w:noWrap w:val="0"/>
            <w:vAlign w:val="center"/>
          </w:tcPr>
          <w:p>
            <w:pPr>
              <w:spacing w:line="240" w:lineRule="auto"/>
              <w:ind w:firstLine="360"/>
              <w:jc w:val="left"/>
              <w:rPr>
                <w:color w:val="auto"/>
                <w:kern w:val="0"/>
                <w:sz w:val="18"/>
                <w:szCs w:val="18"/>
              </w:rPr>
            </w:pPr>
            <w:r>
              <w:rPr>
                <w:color w:val="auto"/>
                <w:kern w:val="0"/>
                <w:sz w:val="18"/>
                <w:szCs w:val="18"/>
              </w:rPr>
              <w:t xml:space="preserve">饮用水水源保护区 </w:t>
            </w:r>
            <w:r>
              <w:rPr>
                <w:rFonts w:ascii="宋体" w:hAnsi="宋体"/>
                <w:color w:val="auto"/>
                <w:kern w:val="0"/>
                <w:sz w:val="18"/>
                <w:szCs w:val="18"/>
              </w:rPr>
              <w:t>□；</w:t>
            </w:r>
            <w:r>
              <w:rPr>
                <w:color w:val="auto"/>
                <w:kern w:val="0"/>
                <w:sz w:val="18"/>
                <w:szCs w:val="18"/>
              </w:rPr>
              <w:t xml:space="preserve">饮用水取水口 </w:t>
            </w:r>
            <w:r>
              <w:rPr>
                <w:rFonts w:ascii="宋体" w:hAnsi="宋体"/>
                <w:color w:val="auto"/>
                <w:kern w:val="0"/>
                <w:sz w:val="18"/>
                <w:szCs w:val="18"/>
              </w:rPr>
              <w:t>□；</w:t>
            </w:r>
            <w:r>
              <w:rPr>
                <w:color w:val="auto"/>
                <w:kern w:val="0"/>
                <w:sz w:val="18"/>
                <w:szCs w:val="18"/>
              </w:rPr>
              <w:t xml:space="preserve">涉水的自然保护区 </w:t>
            </w:r>
            <w:r>
              <w:rPr>
                <w:rFonts w:ascii="宋体" w:hAnsi="宋体"/>
                <w:color w:val="auto"/>
                <w:kern w:val="0"/>
                <w:sz w:val="18"/>
                <w:szCs w:val="18"/>
              </w:rPr>
              <w:t>□；</w:t>
            </w:r>
            <w:r>
              <w:rPr>
                <w:color w:val="auto"/>
                <w:kern w:val="0"/>
                <w:sz w:val="18"/>
                <w:szCs w:val="18"/>
              </w:rPr>
              <w:t xml:space="preserve">重要湿地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重点保护与珍稀水生生物的栖息地 </w:t>
            </w:r>
            <w:r>
              <w:rPr>
                <w:rFonts w:ascii="宋体" w:hAnsi="宋体"/>
                <w:color w:val="auto"/>
                <w:kern w:val="0"/>
                <w:sz w:val="18"/>
                <w:szCs w:val="18"/>
              </w:rPr>
              <w:t>□；</w:t>
            </w:r>
            <w:r>
              <w:rPr>
                <w:color w:val="auto"/>
                <w:kern w:val="0"/>
                <w:sz w:val="18"/>
                <w:szCs w:val="18"/>
              </w:rPr>
              <w:t>重要水生生物的自然产卵场及索饵场、越冬场和洄游通道、</w:t>
            </w:r>
            <w:r>
              <w:rPr>
                <w:rFonts w:ascii="宋体" w:hAnsi="宋体"/>
                <w:color w:val="auto"/>
                <w:kern w:val="0"/>
                <w:sz w:val="18"/>
                <w:szCs w:val="18"/>
              </w:rPr>
              <w:t>天然渔场等渔业水体</w:t>
            </w:r>
            <w:r>
              <w:rPr>
                <w:color w:val="auto"/>
                <w:kern w:val="0"/>
                <w:sz w:val="18"/>
                <w:szCs w:val="18"/>
              </w:rPr>
              <w:t xml:space="preserve"> </w:t>
            </w:r>
            <w:r>
              <w:rPr>
                <w:rFonts w:ascii="宋体" w:hAnsi="宋体"/>
                <w:color w:val="auto"/>
                <w:kern w:val="0"/>
                <w:sz w:val="18"/>
                <w:szCs w:val="18"/>
              </w:rPr>
              <w:t>□；</w:t>
            </w:r>
            <w:r>
              <w:rPr>
                <w:color w:val="auto"/>
                <w:kern w:val="0"/>
                <w:sz w:val="18"/>
                <w:szCs w:val="18"/>
              </w:rPr>
              <w:t xml:space="preserve">涉水的风景名胜区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color w:val="auto"/>
                <w:kern w:val="0"/>
                <w:sz w:val="18"/>
                <w:szCs w:val="18"/>
              </w:rPr>
              <w:t>影响途径</w:t>
            </w:r>
          </w:p>
        </w:tc>
        <w:tc>
          <w:tcPr>
            <w:tcW w:w="5348" w:type="dxa"/>
            <w:gridSpan w:val="5"/>
            <w:noWrap w:val="0"/>
            <w:vAlign w:val="center"/>
          </w:tcPr>
          <w:p>
            <w:pPr>
              <w:spacing w:line="240" w:lineRule="auto"/>
              <w:ind w:firstLine="360"/>
              <w:jc w:val="center"/>
              <w:rPr>
                <w:color w:val="auto"/>
                <w:kern w:val="0"/>
                <w:sz w:val="18"/>
                <w:szCs w:val="18"/>
              </w:rPr>
            </w:pPr>
            <w:r>
              <w:rPr>
                <w:rFonts w:hint="eastAsia"/>
                <w:color w:val="auto"/>
                <w:kern w:val="0"/>
                <w:sz w:val="18"/>
                <w:szCs w:val="18"/>
              </w:rPr>
              <w:t>水</w:t>
            </w:r>
            <w:r>
              <w:rPr>
                <w:color w:val="auto"/>
                <w:kern w:val="0"/>
                <w:sz w:val="18"/>
                <w:szCs w:val="18"/>
              </w:rPr>
              <w:t>污染影响型</w:t>
            </w:r>
          </w:p>
        </w:tc>
        <w:tc>
          <w:tcPr>
            <w:tcW w:w="5347" w:type="dxa"/>
            <w:gridSpan w:val="7"/>
            <w:noWrap w:val="0"/>
            <w:vAlign w:val="center"/>
          </w:tcPr>
          <w:p>
            <w:pPr>
              <w:spacing w:line="240" w:lineRule="auto"/>
              <w:ind w:firstLine="360"/>
              <w:jc w:val="center"/>
              <w:rPr>
                <w:color w:val="auto"/>
                <w:kern w:val="0"/>
                <w:sz w:val="18"/>
                <w:szCs w:val="18"/>
              </w:rPr>
            </w:pPr>
            <w:r>
              <w:rPr>
                <w:color w:val="auto"/>
                <w:kern w:val="0"/>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5348" w:type="dxa"/>
            <w:gridSpan w:val="5"/>
            <w:noWrap w:val="0"/>
            <w:vAlign w:val="center"/>
          </w:tcPr>
          <w:p>
            <w:pPr>
              <w:spacing w:line="240" w:lineRule="auto"/>
              <w:ind w:firstLine="360"/>
              <w:jc w:val="left"/>
              <w:rPr>
                <w:rFonts w:hint="eastAsia"/>
                <w:color w:val="auto"/>
                <w:kern w:val="0"/>
                <w:sz w:val="18"/>
                <w:szCs w:val="18"/>
              </w:rPr>
            </w:pPr>
            <w:r>
              <w:rPr>
                <w:color w:val="auto"/>
                <w:kern w:val="0"/>
                <w:sz w:val="18"/>
                <w:szCs w:val="18"/>
              </w:rPr>
              <w:t xml:space="preserve">直接排放 </w:t>
            </w:r>
            <w:r>
              <w:rPr>
                <w:rFonts w:ascii="宋体" w:hAnsi="宋体"/>
                <w:color w:val="auto"/>
                <w:kern w:val="0"/>
                <w:sz w:val="18"/>
                <w:szCs w:val="18"/>
              </w:rPr>
              <w:sym w:font="Wingdings 2" w:char="00A3"/>
            </w:r>
            <w:r>
              <w:rPr>
                <w:rFonts w:ascii="宋体" w:hAnsi="宋体"/>
                <w:color w:val="auto"/>
                <w:kern w:val="0"/>
                <w:sz w:val="18"/>
                <w:szCs w:val="18"/>
              </w:rPr>
              <w:t>；</w:t>
            </w:r>
            <w:r>
              <w:rPr>
                <w:color w:val="auto"/>
                <w:kern w:val="0"/>
                <w:sz w:val="18"/>
                <w:szCs w:val="18"/>
              </w:rPr>
              <w:t xml:space="preserve">间接排放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其他</w:t>
            </w:r>
            <w:r>
              <w:rPr>
                <w:rFonts w:hint="eastAsia"/>
                <w:color w:val="auto"/>
                <w:kern w:val="0"/>
                <w:sz w:val="18"/>
                <w:szCs w:val="18"/>
              </w:rPr>
              <w:t xml:space="preserve"> </w:t>
            </w:r>
            <w:r>
              <w:rPr>
                <w:rFonts w:ascii="宋体" w:hAnsi="宋体"/>
                <w:color w:val="auto"/>
                <w:kern w:val="0"/>
                <w:sz w:val="18"/>
                <w:szCs w:val="18"/>
              </w:rPr>
              <w:t>□</w:t>
            </w:r>
          </w:p>
        </w:tc>
        <w:tc>
          <w:tcPr>
            <w:tcW w:w="5347" w:type="dxa"/>
            <w:gridSpan w:val="7"/>
            <w:noWrap w:val="0"/>
            <w:vAlign w:val="center"/>
          </w:tcPr>
          <w:p>
            <w:pPr>
              <w:spacing w:line="240" w:lineRule="auto"/>
              <w:ind w:firstLine="360"/>
              <w:jc w:val="left"/>
              <w:rPr>
                <w:color w:val="auto"/>
                <w:kern w:val="0"/>
                <w:sz w:val="18"/>
                <w:szCs w:val="18"/>
              </w:rPr>
            </w:pPr>
            <w:r>
              <w:rPr>
                <w:color w:val="auto"/>
                <w:kern w:val="0"/>
                <w:sz w:val="18"/>
                <w:szCs w:val="18"/>
              </w:rPr>
              <w:t xml:space="preserve">水温 </w:t>
            </w:r>
            <w:r>
              <w:rPr>
                <w:rFonts w:ascii="宋体" w:hAnsi="宋体"/>
                <w:color w:val="auto"/>
                <w:kern w:val="0"/>
                <w:sz w:val="18"/>
                <w:szCs w:val="18"/>
              </w:rPr>
              <w:t>□；</w:t>
            </w:r>
            <w:r>
              <w:rPr>
                <w:color w:val="auto"/>
                <w:kern w:val="0"/>
                <w:sz w:val="18"/>
                <w:szCs w:val="18"/>
              </w:rPr>
              <w:t xml:space="preserve">径流 </w:t>
            </w:r>
            <w:r>
              <w:rPr>
                <w:rFonts w:ascii="宋体" w:hAnsi="宋体"/>
                <w:color w:val="auto"/>
                <w:kern w:val="0"/>
                <w:sz w:val="18"/>
                <w:szCs w:val="18"/>
              </w:rPr>
              <w:t>□；</w:t>
            </w:r>
            <w:r>
              <w:rPr>
                <w:color w:val="auto"/>
                <w:kern w:val="0"/>
                <w:sz w:val="18"/>
                <w:szCs w:val="18"/>
              </w:rPr>
              <w:t xml:space="preserve">水域面积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影响因子</w:t>
            </w:r>
          </w:p>
        </w:tc>
        <w:tc>
          <w:tcPr>
            <w:tcW w:w="5348" w:type="dxa"/>
            <w:gridSpan w:val="5"/>
            <w:noWrap w:val="0"/>
            <w:vAlign w:val="center"/>
          </w:tcPr>
          <w:p>
            <w:pPr>
              <w:spacing w:line="240" w:lineRule="auto"/>
              <w:ind w:firstLine="360"/>
              <w:jc w:val="left"/>
              <w:rPr>
                <w:color w:val="auto"/>
                <w:kern w:val="0"/>
                <w:sz w:val="18"/>
                <w:szCs w:val="18"/>
              </w:rPr>
            </w:pPr>
            <w:r>
              <w:rPr>
                <w:color w:val="auto"/>
                <w:kern w:val="0"/>
                <w:sz w:val="18"/>
                <w:szCs w:val="18"/>
              </w:rPr>
              <w:t xml:space="preserve">持久性污染物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 xml:space="preserve">有毒有害污染物 </w:t>
            </w:r>
            <w:r>
              <w:rPr>
                <w:rFonts w:ascii="宋体" w:hAnsi="宋体"/>
                <w:color w:val="auto"/>
                <w:kern w:val="0"/>
                <w:sz w:val="18"/>
                <w:szCs w:val="18"/>
              </w:rPr>
              <w:t>□；</w:t>
            </w:r>
            <w:r>
              <w:rPr>
                <w:color w:val="auto"/>
                <w:kern w:val="0"/>
                <w:sz w:val="18"/>
                <w:szCs w:val="18"/>
              </w:rPr>
              <w:t xml:space="preserve">非持久性污染物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 xml:space="preserve">pH值 </w:t>
            </w:r>
            <w:r>
              <w:rPr>
                <w:rFonts w:ascii="宋体" w:hAnsi="宋体"/>
                <w:color w:val="auto"/>
                <w:kern w:val="0"/>
                <w:sz w:val="18"/>
                <w:szCs w:val="18"/>
              </w:rPr>
              <w:t>□；</w:t>
            </w:r>
            <w:r>
              <w:rPr>
                <w:color w:val="auto"/>
                <w:kern w:val="0"/>
                <w:sz w:val="18"/>
                <w:szCs w:val="18"/>
              </w:rPr>
              <w:t xml:space="preserve">热污染 </w:t>
            </w:r>
            <w:r>
              <w:rPr>
                <w:rFonts w:ascii="宋体" w:hAnsi="宋体"/>
                <w:color w:val="auto"/>
                <w:kern w:val="0"/>
                <w:sz w:val="18"/>
                <w:szCs w:val="18"/>
              </w:rPr>
              <w:t>□；</w:t>
            </w:r>
            <w:r>
              <w:rPr>
                <w:color w:val="auto"/>
                <w:kern w:val="0"/>
                <w:sz w:val="18"/>
                <w:szCs w:val="18"/>
              </w:rPr>
              <w:t xml:space="preserve">富营养化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sym w:font="Wingdings 2" w:char="00A3"/>
            </w:r>
          </w:p>
        </w:tc>
        <w:tc>
          <w:tcPr>
            <w:tcW w:w="5347" w:type="dxa"/>
            <w:gridSpan w:val="7"/>
            <w:noWrap w:val="0"/>
            <w:vAlign w:val="center"/>
          </w:tcPr>
          <w:p>
            <w:pPr>
              <w:spacing w:line="240" w:lineRule="auto"/>
              <w:ind w:firstLine="360"/>
              <w:jc w:val="left"/>
              <w:rPr>
                <w:color w:val="auto"/>
                <w:kern w:val="0"/>
                <w:sz w:val="18"/>
                <w:szCs w:val="18"/>
              </w:rPr>
            </w:pPr>
            <w:r>
              <w:rPr>
                <w:color w:val="auto"/>
                <w:kern w:val="0"/>
                <w:sz w:val="18"/>
                <w:szCs w:val="18"/>
              </w:rPr>
              <w:t xml:space="preserve">水温 </w:t>
            </w:r>
            <w:r>
              <w:rPr>
                <w:rFonts w:ascii="宋体" w:hAnsi="宋体"/>
                <w:color w:val="auto"/>
                <w:kern w:val="0"/>
                <w:sz w:val="18"/>
                <w:szCs w:val="18"/>
              </w:rPr>
              <w:t>□；</w:t>
            </w:r>
            <w:r>
              <w:rPr>
                <w:color w:val="auto"/>
                <w:kern w:val="0"/>
                <w:sz w:val="18"/>
                <w:szCs w:val="18"/>
              </w:rPr>
              <w:t xml:space="preserve">水位（水深） </w:t>
            </w:r>
            <w:r>
              <w:rPr>
                <w:rFonts w:ascii="宋体" w:hAnsi="宋体"/>
                <w:color w:val="auto"/>
                <w:kern w:val="0"/>
                <w:sz w:val="18"/>
                <w:szCs w:val="18"/>
              </w:rPr>
              <w:t>□；</w:t>
            </w:r>
            <w:r>
              <w:rPr>
                <w:color w:val="auto"/>
                <w:kern w:val="0"/>
                <w:sz w:val="18"/>
                <w:szCs w:val="18"/>
              </w:rPr>
              <w:t xml:space="preserve">流速 </w:t>
            </w:r>
            <w:r>
              <w:rPr>
                <w:rFonts w:ascii="宋体" w:hAnsi="宋体"/>
                <w:color w:val="auto"/>
                <w:kern w:val="0"/>
                <w:sz w:val="18"/>
                <w:szCs w:val="18"/>
              </w:rPr>
              <w:t>□；</w:t>
            </w:r>
            <w:r>
              <w:rPr>
                <w:color w:val="auto"/>
                <w:kern w:val="0"/>
                <w:sz w:val="18"/>
                <w:szCs w:val="18"/>
              </w:rPr>
              <w:t xml:space="preserve">流量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27" w:type="dxa"/>
            <w:gridSpan w:val="2"/>
            <w:vMerge w:val="restart"/>
            <w:noWrap/>
            <w:vAlign w:val="center"/>
          </w:tcPr>
          <w:p>
            <w:pPr>
              <w:spacing w:line="240" w:lineRule="auto"/>
              <w:ind w:firstLine="360"/>
              <w:jc w:val="center"/>
              <w:rPr>
                <w:color w:val="auto"/>
                <w:kern w:val="0"/>
                <w:sz w:val="18"/>
                <w:szCs w:val="18"/>
              </w:rPr>
            </w:pPr>
            <w:r>
              <w:rPr>
                <w:color w:val="auto"/>
                <w:kern w:val="0"/>
                <w:sz w:val="18"/>
                <w:szCs w:val="18"/>
              </w:rPr>
              <w:t>评价等级</w:t>
            </w:r>
          </w:p>
        </w:tc>
        <w:tc>
          <w:tcPr>
            <w:tcW w:w="5348" w:type="dxa"/>
            <w:gridSpan w:val="5"/>
            <w:noWrap/>
            <w:vAlign w:val="center"/>
          </w:tcPr>
          <w:p>
            <w:pPr>
              <w:spacing w:line="240" w:lineRule="auto"/>
              <w:ind w:firstLine="360"/>
              <w:jc w:val="center"/>
              <w:rPr>
                <w:color w:val="auto"/>
                <w:kern w:val="0"/>
                <w:sz w:val="18"/>
                <w:szCs w:val="18"/>
              </w:rPr>
            </w:pPr>
            <w:r>
              <w:rPr>
                <w:rFonts w:hint="eastAsia"/>
                <w:color w:val="auto"/>
                <w:kern w:val="0"/>
                <w:sz w:val="18"/>
                <w:szCs w:val="18"/>
              </w:rPr>
              <w:t>水</w:t>
            </w:r>
            <w:r>
              <w:rPr>
                <w:color w:val="auto"/>
                <w:kern w:val="0"/>
                <w:sz w:val="18"/>
                <w:szCs w:val="18"/>
              </w:rPr>
              <w:t>污染影响型</w:t>
            </w:r>
          </w:p>
        </w:tc>
        <w:tc>
          <w:tcPr>
            <w:tcW w:w="5347" w:type="dxa"/>
            <w:gridSpan w:val="7"/>
            <w:noWrap w:val="0"/>
            <w:vAlign w:val="center"/>
          </w:tcPr>
          <w:p>
            <w:pPr>
              <w:spacing w:line="240" w:lineRule="auto"/>
              <w:ind w:firstLine="360"/>
              <w:jc w:val="center"/>
              <w:rPr>
                <w:color w:val="auto"/>
                <w:kern w:val="0"/>
                <w:sz w:val="18"/>
                <w:szCs w:val="18"/>
              </w:rPr>
            </w:pPr>
            <w:r>
              <w:rPr>
                <w:color w:val="auto"/>
                <w:kern w:val="0"/>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27" w:type="dxa"/>
            <w:gridSpan w:val="2"/>
            <w:vMerge w:val="continue"/>
            <w:noWrap/>
            <w:vAlign w:val="center"/>
          </w:tcPr>
          <w:p>
            <w:pPr>
              <w:spacing w:line="240" w:lineRule="auto"/>
              <w:ind w:firstLine="360"/>
              <w:jc w:val="center"/>
              <w:rPr>
                <w:color w:val="auto"/>
                <w:kern w:val="0"/>
                <w:sz w:val="18"/>
                <w:szCs w:val="18"/>
              </w:rPr>
            </w:pPr>
          </w:p>
        </w:tc>
        <w:tc>
          <w:tcPr>
            <w:tcW w:w="5348" w:type="dxa"/>
            <w:gridSpan w:val="5"/>
            <w:noWrap/>
            <w:vAlign w:val="center"/>
          </w:tcPr>
          <w:p>
            <w:pPr>
              <w:spacing w:line="240" w:lineRule="auto"/>
              <w:ind w:firstLine="360"/>
              <w:jc w:val="left"/>
              <w:rPr>
                <w:color w:val="auto"/>
                <w:kern w:val="0"/>
                <w:sz w:val="18"/>
                <w:szCs w:val="18"/>
              </w:rPr>
            </w:pPr>
            <w:r>
              <w:rPr>
                <w:color w:val="auto"/>
                <w:kern w:val="0"/>
                <w:sz w:val="18"/>
                <w:szCs w:val="18"/>
              </w:rPr>
              <w:t xml:space="preserve">一级 </w:t>
            </w:r>
            <w:r>
              <w:rPr>
                <w:rFonts w:ascii="宋体" w:hAnsi="宋体"/>
                <w:color w:val="auto"/>
                <w:kern w:val="0"/>
                <w:sz w:val="18"/>
                <w:szCs w:val="18"/>
              </w:rPr>
              <w:t>□；</w:t>
            </w:r>
            <w:r>
              <w:rPr>
                <w:color w:val="auto"/>
                <w:kern w:val="0"/>
                <w:sz w:val="18"/>
                <w:szCs w:val="18"/>
              </w:rPr>
              <w:t xml:space="preserve">二级 </w:t>
            </w:r>
            <w:r>
              <w:rPr>
                <w:rFonts w:ascii="宋体" w:hAnsi="宋体"/>
                <w:color w:val="auto"/>
                <w:kern w:val="0"/>
                <w:sz w:val="18"/>
                <w:szCs w:val="18"/>
              </w:rPr>
              <w:t>□；</w:t>
            </w:r>
            <w:r>
              <w:rPr>
                <w:color w:val="auto"/>
                <w:kern w:val="0"/>
                <w:sz w:val="18"/>
                <w:szCs w:val="18"/>
              </w:rPr>
              <w:t xml:space="preserve">三级A </w:t>
            </w:r>
            <w:r>
              <w:rPr>
                <w:rFonts w:ascii="宋体" w:hAnsi="宋体"/>
                <w:color w:val="auto"/>
                <w:kern w:val="0"/>
                <w:sz w:val="18"/>
                <w:szCs w:val="18"/>
              </w:rPr>
              <w:t>□；</w:t>
            </w:r>
            <w:r>
              <w:rPr>
                <w:color w:val="auto"/>
                <w:kern w:val="0"/>
                <w:sz w:val="18"/>
                <w:szCs w:val="18"/>
              </w:rPr>
              <w:t xml:space="preserve">三级B </w:t>
            </w:r>
            <w:r>
              <w:rPr>
                <w:rFonts w:ascii="宋体" w:hAnsi="宋体"/>
                <w:color w:val="auto"/>
                <w:kern w:val="0"/>
                <w:sz w:val="18"/>
                <w:szCs w:val="18"/>
              </w:rPr>
              <w:sym w:font="Wingdings 2" w:char="0052"/>
            </w:r>
          </w:p>
        </w:tc>
        <w:tc>
          <w:tcPr>
            <w:tcW w:w="5347" w:type="dxa"/>
            <w:gridSpan w:val="7"/>
            <w:noWrap w:val="0"/>
            <w:vAlign w:val="center"/>
          </w:tcPr>
          <w:p>
            <w:pPr>
              <w:spacing w:line="240" w:lineRule="auto"/>
              <w:ind w:firstLine="360"/>
              <w:jc w:val="left"/>
              <w:rPr>
                <w:color w:val="auto"/>
                <w:kern w:val="0"/>
                <w:sz w:val="18"/>
                <w:szCs w:val="18"/>
              </w:rPr>
            </w:pPr>
            <w:r>
              <w:rPr>
                <w:color w:val="auto"/>
                <w:kern w:val="0"/>
                <w:sz w:val="18"/>
                <w:szCs w:val="18"/>
              </w:rPr>
              <w:t xml:space="preserve">一级 </w:t>
            </w:r>
            <w:r>
              <w:rPr>
                <w:rFonts w:ascii="宋体" w:hAnsi="宋体"/>
                <w:color w:val="auto"/>
                <w:kern w:val="0"/>
                <w:sz w:val="18"/>
                <w:szCs w:val="18"/>
              </w:rPr>
              <w:t>□；</w:t>
            </w:r>
            <w:r>
              <w:rPr>
                <w:color w:val="auto"/>
                <w:kern w:val="0"/>
                <w:sz w:val="18"/>
                <w:szCs w:val="18"/>
              </w:rPr>
              <w:t xml:space="preserve">二级 </w:t>
            </w:r>
            <w:r>
              <w:rPr>
                <w:rFonts w:ascii="宋体" w:hAnsi="宋体"/>
                <w:color w:val="auto"/>
                <w:kern w:val="0"/>
                <w:sz w:val="18"/>
                <w:szCs w:val="18"/>
              </w:rPr>
              <w:t>□；</w:t>
            </w:r>
            <w:r>
              <w:rPr>
                <w:color w:val="auto"/>
                <w:kern w:val="0"/>
                <w:sz w:val="18"/>
                <w:szCs w:val="18"/>
              </w:rPr>
              <w:t xml:space="preserve">三级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textDirection w:val="tbRlV"/>
            <w:vAlign w:val="center"/>
          </w:tcPr>
          <w:p>
            <w:pPr>
              <w:spacing w:line="240" w:lineRule="auto"/>
              <w:ind w:firstLine="360"/>
              <w:jc w:val="center"/>
              <w:rPr>
                <w:color w:val="auto"/>
                <w:kern w:val="0"/>
                <w:sz w:val="18"/>
                <w:szCs w:val="18"/>
              </w:rPr>
            </w:pPr>
            <w:r>
              <w:rPr>
                <w:color w:val="auto"/>
                <w:kern w:val="0"/>
                <w:sz w:val="18"/>
                <w:szCs w:val="18"/>
              </w:rPr>
              <w:t>现状调查</w:t>
            </w:r>
          </w:p>
        </w:tc>
        <w:tc>
          <w:tcPr>
            <w:tcW w:w="2969" w:type="dxa"/>
            <w:vMerge w:val="restart"/>
            <w:noWrap w:val="0"/>
            <w:vAlign w:val="center"/>
          </w:tcPr>
          <w:p>
            <w:pPr>
              <w:spacing w:line="240" w:lineRule="auto"/>
              <w:ind w:firstLine="360"/>
              <w:jc w:val="center"/>
              <w:rPr>
                <w:color w:val="auto"/>
                <w:kern w:val="0"/>
                <w:sz w:val="18"/>
                <w:szCs w:val="18"/>
              </w:rPr>
            </w:pPr>
            <w:r>
              <w:rPr>
                <w:color w:val="auto"/>
                <w:kern w:val="0"/>
                <w:sz w:val="18"/>
                <w:szCs w:val="18"/>
              </w:rPr>
              <w:t>区域污染源</w:t>
            </w:r>
          </w:p>
        </w:tc>
        <w:tc>
          <w:tcPr>
            <w:tcW w:w="5348" w:type="dxa"/>
            <w:gridSpan w:val="5"/>
            <w:noWrap/>
            <w:vAlign w:val="center"/>
          </w:tcPr>
          <w:p>
            <w:pPr>
              <w:spacing w:line="240" w:lineRule="auto"/>
              <w:ind w:firstLine="360"/>
              <w:jc w:val="center"/>
              <w:rPr>
                <w:color w:val="auto"/>
                <w:kern w:val="0"/>
                <w:sz w:val="18"/>
                <w:szCs w:val="18"/>
              </w:rPr>
            </w:pPr>
            <w:r>
              <w:rPr>
                <w:color w:val="auto"/>
                <w:kern w:val="0"/>
                <w:sz w:val="18"/>
                <w:szCs w:val="18"/>
              </w:rPr>
              <w:t>调查项目</w:t>
            </w:r>
          </w:p>
        </w:tc>
        <w:tc>
          <w:tcPr>
            <w:tcW w:w="5347" w:type="dxa"/>
            <w:gridSpan w:val="7"/>
            <w:noWrap/>
            <w:vAlign w:val="center"/>
          </w:tcPr>
          <w:p>
            <w:pPr>
              <w:spacing w:line="240" w:lineRule="auto"/>
              <w:ind w:firstLine="360"/>
              <w:jc w:val="center"/>
              <w:rPr>
                <w:color w:val="auto"/>
                <w:kern w:val="0"/>
                <w:sz w:val="18"/>
                <w:szCs w:val="18"/>
              </w:rPr>
            </w:pPr>
            <w:r>
              <w:rPr>
                <w:color w:val="auto"/>
                <w:kern w:val="0"/>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left"/>
              <w:rPr>
                <w:color w:val="auto"/>
                <w:kern w:val="0"/>
                <w:sz w:val="18"/>
                <w:szCs w:val="18"/>
              </w:rPr>
            </w:pPr>
          </w:p>
        </w:tc>
        <w:tc>
          <w:tcPr>
            <w:tcW w:w="2322" w:type="dxa"/>
            <w:gridSpan w:val="2"/>
            <w:noWrap w:val="0"/>
            <w:vAlign w:val="center"/>
          </w:tcPr>
          <w:p>
            <w:pPr>
              <w:spacing w:line="240" w:lineRule="auto"/>
              <w:ind w:firstLine="0" w:firstLineChars="0"/>
              <w:jc w:val="left"/>
              <w:rPr>
                <w:color w:val="auto"/>
                <w:kern w:val="0"/>
                <w:sz w:val="18"/>
                <w:szCs w:val="18"/>
              </w:rPr>
            </w:pPr>
            <w:r>
              <w:rPr>
                <w:color w:val="auto"/>
                <w:kern w:val="0"/>
                <w:sz w:val="18"/>
                <w:szCs w:val="18"/>
              </w:rPr>
              <w:t xml:space="preserve">已建 </w:t>
            </w:r>
            <w:r>
              <w:rPr>
                <w:rFonts w:ascii="宋体" w:hAnsi="宋体"/>
                <w:color w:val="auto"/>
                <w:kern w:val="0"/>
                <w:sz w:val="18"/>
                <w:szCs w:val="18"/>
              </w:rPr>
              <w:t>□；</w:t>
            </w:r>
            <w:r>
              <w:rPr>
                <w:color w:val="auto"/>
                <w:kern w:val="0"/>
                <w:sz w:val="18"/>
                <w:szCs w:val="18"/>
              </w:rPr>
              <w:t xml:space="preserve">在建 </w:t>
            </w:r>
            <w:r>
              <w:rPr>
                <w:rFonts w:ascii="宋体" w:hAnsi="宋体"/>
                <w:color w:val="auto"/>
                <w:kern w:val="0"/>
                <w:sz w:val="18"/>
                <w:szCs w:val="18"/>
              </w:rPr>
              <w:t>□；</w:t>
            </w:r>
            <w:r>
              <w:rPr>
                <w:color w:val="auto"/>
                <w:kern w:val="0"/>
                <w:sz w:val="18"/>
                <w:szCs w:val="18"/>
              </w:rPr>
              <w:t>拟建</w:t>
            </w:r>
            <w:r>
              <w:rPr>
                <w:rFonts w:hint="eastAsia"/>
                <w:color w:val="auto"/>
                <w:kern w:val="0"/>
                <w:sz w:val="18"/>
                <w:szCs w:val="18"/>
              </w:rPr>
              <w:t xml:space="preserve">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t>□</w:t>
            </w:r>
          </w:p>
        </w:tc>
        <w:tc>
          <w:tcPr>
            <w:tcW w:w="3026" w:type="dxa"/>
            <w:gridSpan w:val="3"/>
            <w:noWrap w:val="0"/>
            <w:vAlign w:val="center"/>
          </w:tcPr>
          <w:p>
            <w:pPr>
              <w:spacing w:line="240" w:lineRule="auto"/>
              <w:ind w:firstLine="360"/>
              <w:jc w:val="left"/>
              <w:rPr>
                <w:color w:val="auto"/>
                <w:kern w:val="0"/>
                <w:sz w:val="18"/>
                <w:szCs w:val="18"/>
              </w:rPr>
            </w:pPr>
            <w:r>
              <w:rPr>
                <w:rFonts w:hint="eastAsia"/>
                <w:color w:val="auto"/>
                <w:kern w:val="0"/>
                <w:sz w:val="18"/>
                <w:szCs w:val="18"/>
              </w:rPr>
              <w:t xml:space="preserve">拟替代的污染源 </w:t>
            </w:r>
            <w:r>
              <w:rPr>
                <w:rFonts w:ascii="宋体" w:hAnsi="宋体"/>
                <w:color w:val="auto"/>
                <w:kern w:val="0"/>
                <w:sz w:val="18"/>
                <w:szCs w:val="18"/>
              </w:rPr>
              <w:t>□</w:t>
            </w:r>
          </w:p>
        </w:tc>
        <w:tc>
          <w:tcPr>
            <w:tcW w:w="5347" w:type="dxa"/>
            <w:gridSpan w:val="7"/>
            <w:noWrap w:val="0"/>
            <w:vAlign w:val="center"/>
          </w:tcPr>
          <w:p>
            <w:pPr>
              <w:spacing w:line="240" w:lineRule="auto"/>
              <w:ind w:firstLine="0" w:firstLineChars="0"/>
              <w:jc w:val="left"/>
              <w:rPr>
                <w:color w:val="auto"/>
                <w:kern w:val="0"/>
                <w:sz w:val="18"/>
                <w:szCs w:val="18"/>
              </w:rPr>
            </w:pPr>
            <w:r>
              <w:rPr>
                <w:color w:val="auto"/>
                <w:kern w:val="0"/>
                <w:sz w:val="18"/>
                <w:szCs w:val="18"/>
              </w:rPr>
              <w:t xml:space="preserve">排污许可证 </w:t>
            </w:r>
            <w:r>
              <w:rPr>
                <w:rFonts w:ascii="宋体" w:hAnsi="宋体"/>
                <w:color w:val="auto"/>
                <w:kern w:val="0"/>
                <w:sz w:val="18"/>
                <w:szCs w:val="18"/>
              </w:rPr>
              <w:t>□；</w:t>
            </w:r>
            <w:r>
              <w:rPr>
                <w:color w:val="auto"/>
                <w:kern w:val="0"/>
                <w:sz w:val="18"/>
                <w:szCs w:val="18"/>
              </w:rPr>
              <w:t xml:space="preserve">环评 </w:t>
            </w:r>
            <w:r>
              <w:rPr>
                <w:rFonts w:ascii="宋体" w:hAnsi="宋体"/>
                <w:color w:val="auto"/>
                <w:kern w:val="0"/>
                <w:sz w:val="18"/>
                <w:szCs w:val="18"/>
              </w:rPr>
              <w:t>□；</w:t>
            </w:r>
            <w:r>
              <w:rPr>
                <w:color w:val="auto"/>
                <w:kern w:val="0"/>
                <w:sz w:val="18"/>
                <w:szCs w:val="18"/>
              </w:rPr>
              <w:t xml:space="preserve">环保验收 </w:t>
            </w:r>
            <w:r>
              <w:rPr>
                <w:rFonts w:ascii="宋体" w:hAnsi="宋体"/>
                <w:color w:val="auto"/>
                <w:kern w:val="0"/>
                <w:sz w:val="18"/>
                <w:szCs w:val="18"/>
              </w:rPr>
              <w:t>□；</w:t>
            </w:r>
            <w:r>
              <w:rPr>
                <w:color w:val="auto"/>
                <w:kern w:val="0"/>
                <w:sz w:val="18"/>
                <w:szCs w:val="18"/>
              </w:rPr>
              <w:t xml:space="preserve">既有实测 </w:t>
            </w:r>
            <w:r>
              <w:rPr>
                <w:rFonts w:ascii="宋体" w:hAnsi="宋体"/>
                <w:color w:val="auto"/>
                <w:kern w:val="0"/>
                <w:sz w:val="18"/>
                <w:szCs w:val="18"/>
              </w:rPr>
              <w:t>□；</w:t>
            </w:r>
            <w:r>
              <w:rPr>
                <w:color w:val="auto"/>
                <w:kern w:val="0"/>
                <w:sz w:val="18"/>
                <w:szCs w:val="18"/>
              </w:rPr>
              <w:t xml:space="preserve">现场监测 </w:t>
            </w:r>
            <w:r>
              <w:rPr>
                <w:rFonts w:ascii="宋体" w:hAnsi="宋体"/>
                <w:color w:val="auto"/>
                <w:kern w:val="0"/>
                <w:sz w:val="18"/>
                <w:szCs w:val="18"/>
              </w:rPr>
              <w:t>□；</w:t>
            </w:r>
            <w:r>
              <w:rPr>
                <w:color w:val="auto"/>
                <w:kern w:val="0"/>
                <w:sz w:val="18"/>
                <w:szCs w:val="18"/>
              </w:rPr>
              <w:t>入河排</w:t>
            </w:r>
            <w:r>
              <w:rPr>
                <w:rFonts w:hint="eastAsia"/>
                <w:color w:val="auto"/>
                <w:kern w:val="0"/>
                <w:sz w:val="18"/>
                <w:szCs w:val="18"/>
              </w:rPr>
              <w:t>放</w:t>
            </w:r>
            <w:r>
              <w:rPr>
                <w:color w:val="auto"/>
                <w:kern w:val="0"/>
                <w:sz w:val="18"/>
                <w:szCs w:val="18"/>
              </w:rPr>
              <w:t xml:space="preserve">口数据 </w:t>
            </w:r>
            <w:r>
              <w:rPr>
                <w:rFonts w:ascii="宋体" w:hAnsi="宋体"/>
                <w:color w:val="auto"/>
                <w:kern w:val="0"/>
                <w:sz w:val="18"/>
                <w:szCs w:val="18"/>
              </w:rPr>
              <w:t>□；</w:t>
            </w:r>
            <w:r>
              <w:rPr>
                <w:color w:val="auto"/>
                <w:kern w:val="0"/>
                <w:sz w:val="18"/>
                <w:szCs w:val="18"/>
              </w:rPr>
              <w:t>其他</w:t>
            </w:r>
            <w:r>
              <w:rPr>
                <w:rFonts w:hint="eastAsia"/>
                <w:color w:val="auto"/>
                <w:kern w:val="0"/>
                <w:sz w:val="18"/>
                <w:szCs w:val="18"/>
              </w:rPr>
              <w:t xml:space="preserve">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color w:val="auto"/>
                <w:kern w:val="0"/>
                <w:sz w:val="18"/>
                <w:szCs w:val="18"/>
              </w:rPr>
              <w:t>受影响水体水环境质量　</w:t>
            </w:r>
          </w:p>
        </w:tc>
        <w:tc>
          <w:tcPr>
            <w:tcW w:w="5348" w:type="dxa"/>
            <w:gridSpan w:val="5"/>
            <w:noWrap/>
            <w:vAlign w:val="center"/>
          </w:tcPr>
          <w:p>
            <w:pPr>
              <w:spacing w:line="240" w:lineRule="auto"/>
              <w:ind w:firstLine="360"/>
              <w:jc w:val="center"/>
              <w:rPr>
                <w:color w:val="auto"/>
                <w:kern w:val="0"/>
                <w:sz w:val="18"/>
                <w:szCs w:val="18"/>
              </w:rPr>
            </w:pPr>
            <w:r>
              <w:rPr>
                <w:color w:val="auto"/>
                <w:kern w:val="0"/>
                <w:sz w:val="18"/>
                <w:szCs w:val="18"/>
              </w:rPr>
              <w:t>调查时期</w:t>
            </w:r>
          </w:p>
        </w:tc>
        <w:tc>
          <w:tcPr>
            <w:tcW w:w="5347" w:type="dxa"/>
            <w:gridSpan w:val="7"/>
            <w:noWrap/>
            <w:vAlign w:val="center"/>
          </w:tcPr>
          <w:p>
            <w:pPr>
              <w:spacing w:line="240" w:lineRule="auto"/>
              <w:ind w:firstLine="360"/>
              <w:jc w:val="center"/>
              <w:rPr>
                <w:color w:val="auto"/>
                <w:kern w:val="0"/>
                <w:sz w:val="18"/>
                <w:szCs w:val="18"/>
              </w:rPr>
            </w:pPr>
            <w:r>
              <w:rPr>
                <w:color w:val="auto"/>
                <w:kern w:val="0"/>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5348" w:type="dxa"/>
            <w:gridSpan w:val="5"/>
            <w:noWrap w:val="0"/>
            <w:vAlign w:val="center"/>
          </w:tcPr>
          <w:p>
            <w:pPr>
              <w:spacing w:line="240" w:lineRule="auto"/>
              <w:ind w:firstLine="0" w:firstLineChars="0"/>
              <w:jc w:val="left"/>
              <w:rPr>
                <w:color w:val="auto"/>
                <w:kern w:val="0"/>
                <w:sz w:val="18"/>
                <w:szCs w:val="18"/>
              </w:rPr>
            </w:pPr>
            <w:r>
              <w:rPr>
                <w:color w:val="auto"/>
                <w:kern w:val="0"/>
                <w:sz w:val="18"/>
                <w:szCs w:val="18"/>
              </w:rPr>
              <w:t xml:space="preserve">丰水期 </w:t>
            </w:r>
            <w:r>
              <w:rPr>
                <w:rFonts w:ascii="宋体" w:hAnsi="宋体"/>
                <w:color w:val="auto"/>
                <w:kern w:val="0"/>
                <w:sz w:val="18"/>
                <w:szCs w:val="18"/>
              </w:rPr>
              <w:t>□；</w:t>
            </w:r>
            <w:r>
              <w:rPr>
                <w:color w:val="auto"/>
                <w:kern w:val="0"/>
                <w:sz w:val="18"/>
                <w:szCs w:val="18"/>
              </w:rPr>
              <w:t xml:space="preserve">平水期 </w:t>
            </w:r>
            <w:r>
              <w:rPr>
                <w:rFonts w:ascii="宋体" w:hAnsi="宋体"/>
                <w:color w:val="auto"/>
                <w:kern w:val="0"/>
                <w:sz w:val="18"/>
                <w:szCs w:val="18"/>
              </w:rPr>
              <w:t>□；</w:t>
            </w:r>
            <w:r>
              <w:rPr>
                <w:color w:val="auto"/>
                <w:kern w:val="0"/>
                <w:sz w:val="18"/>
                <w:szCs w:val="18"/>
              </w:rPr>
              <w:t xml:space="preserve">枯水期 </w:t>
            </w:r>
            <w:r>
              <w:rPr>
                <w:rFonts w:ascii="宋体" w:hAnsi="宋体"/>
                <w:color w:val="auto"/>
                <w:kern w:val="0"/>
                <w:sz w:val="18"/>
                <w:szCs w:val="18"/>
              </w:rPr>
              <w:t>□；</w:t>
            </w:r>
            <w:r>
              <w:rPr>
                <w:color w:val="auto"/>
                <w:kern w:val="0"/>
                <w:sz w:val="18"/>
                <w:szCs w:val="18"/>
              </w:rPr>
              <w:t xml:space="preserve">冰封期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春季 </w:t>
            </w:r>
            <w:r>
              <w:rPr>
                <w:rFonts w:ascii="宋体" w:hAnsi="宋体"/>
                <w:color w:val="auto"/>
                <w:kern w:val="0"/>
                <w:sz w:val="18"/>
                <w:szCs w:val="18"/>
              </w:rPr>
              <w:t>□；</w:t>
            </w:r>
            <w:r>
              <w:rPr>
                <w:color w:val="auto"/>
                <w:kern w:val="0"/>
                <w:sz w:val="18"/>
                <w:szCs w:val="18"/>
              </w:rPr>
              <w:t xml:space="preserve">夏季 </w:t>
            </w:r>
            <w:r>
              <w:rPr>
                <w:rFonts w:ascii="宋体" w:hAnsi="宋体"/>
                <w:color w:val="auto"/>
                <w:kern w:val="0"/>
                <w:sz w:val="18"/>
                <w:szCs w:val="18"/>
              </w:rPr>
              <w:sym w:font="Wingdings 2" w:char="00A3"/>
            </w:r>
            <w:r>
              <w:rPr>
                <w:rFonts w:ascii="宋体" w:hAnsi="宋体"/>
                <w:color w:val="auto"/>
                <w:kern w:val="0"/>
                <w:sz w:val="18"/>
                <w:szCs w:val="18"/>
              </w:rPr>
              <w:t>；</w:t>
            </w:r>
            <w:r>
              <w:rPr>
                <w:color w:val="auto"/>
                <w:kern w:val="0"/>
                <w:sz w:val="18"/>
                <w:szCs w:val="18"/>
              </w:rPr>
              <w:t xml:space="preserve">秋季 </w:t>
            </w:r>
            <w:r>
              <w:rPr>
                <w:rFonts w:ascii="宋体" w:hAnsi="宋体"/>
                <w:color w:val="auto"/>
                <w:kern w:val="0"/>
                <w:sz w:val="18"/>
                <w:szCs w:val="18"/>
              </w:rPr>
              <w:t>□；</w:t>
            </w:r>
            <w:r>
              <w:rPr>
                <w:color w:val="auto"/>
                <w:kern w:val="0"/>
                <w:sz w:val="18"/>
                <w:szCs w:val="18"/>
              </w:rPr>
              <w:t xml:space="preserve">冬季 </w:t>
            </w:r>
            <w:r>
              <w:rPr>
                <w:rFonts w:ascii="宋体" w:hAnsi="宋体"/>
                <w:color w:val="auto"/>
                <w:kern w:val="0"/>
                <w:sz w:val="18"/>
                <w:szCs w:val="18"/>
              </w:rPr>
              <w:sym w:font="Wingdings 2" w:char="0052"/>
            </w:r>
          </w:p>
        </w:tc>
        <w:tc>
          <w:tcPr>
            <w:tcW w:w="5347" w:type="dxa"/>
            <w:gridSpan w:val="7"/>
            <w:noWrap/>
            <w:vAlign w:val="center"/>
          </w:tcPr>
          <w:p>
            <w:pPr>
              <w:spacing w:line="240" w:lineRule="auto"/>
              <w:ind w:firstLine="360"/>
              <w:jc w:val="center"/>
              <w:rPr>
                <w:color w:val="auto"/>
                <w:kern w:val="0"/>
                <w:sz w:val="18"/>
                <w:szCs w:val="18"/>
              </w:rPr>
            </w:pPr>
            <w:r>
              <w:rPr>
                <w:rFonts w:hint="eastAsia"/>
                <w:color w:val="auto"/>
                <w:kern w:val="0"/>
                <w:sz w:val="18"/>
                <w:szCs w:val="18"/>
              </w:rPr>
              <w:t>生态</w:t>
            </w:r>
            <w:r>
              <w:rPr>
                <w:color w:val="auto"/>
                <w:kern w:val="0"/>
                <w:sz w:val="18"/>
                <w:szCs w:val="18"/>
              </w:rPr>
              <w:t xml:space="preserve">环境保护主管部门 </w:t>
            </w:r>
            <w:r>
              <w:rPr>
                <w:rFonts w:ascii="宋体" w:hAnsi="宋体"/>
                <w:color w:val="auto"/>
                <w:kern w:val="0"/>
                <w:sz w:val="18"/>
                <w:szCs w:val="18"/>
              </w:rPr>
              <w:t>□；</w:t>
            </w:r>
            <w:r>
              <w:rPr>
                <w:color w:val="auto"/>
                <w:kern w:val="0"/>
                <w:sz w:val="18"/>
                <w:szCs w:val="18"/>
              </w:rPr>
              <w:t xml:space="preserve">补充监测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区域水资源开发利用状况</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 xml:space="preserve">未开发 </w:t>
            </w:r>
            <w:r>
              <w:rPr>
                <w:rFonts w:ascii="宋体" w:hAnsi="宋体"/>
                <w:color w:val="auto"/>
                <w:kern w:val="0"/>
                <w:sz w:val="18"/>
                <w:szCs w:val="18"/>
              </w:rPr>
              <w:t>□；</w:t>
            </w:r>
            <w:r>
              <w:rPr>
                <w:color w:val="auto"/>
                <w:kern w:val="0"/>
                <w:sz w:val="18"/>
                <w:szCs w:val="18"/>
              </w:rPr>
              <w:t xml:space="preserve">开发量40%以下 </w:t>
            </w:r>
            <w:r>
              <w:rPr>
                <w:rFonts w:ascii="宋体" w:hAnsi="宋体"/>
                <w:color w:val="auto"/>
                <w:kern w:val="0"/>
                <w:sz w:val="18"/>
                <w:szCs w:val="18"/>
              </w:rPr>
              <w:t>□；</w:t>
            </w:r>
            <w:r>
              <w:rPr>
                <w:color w:val="auto"/>
                <w:kern w:val="0"/>
                <w:sz w:val="18"/>
                <w:szCs w:val="18"/>
              </w:rPr>
              <w:t xml:space="preserve">开发量40%以上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color w:val="auto"/>
                <w:kern w:val="0"/>
                <w:sz w:val="18"/>
                <w:szCs w:val="18"/>
              </w:rPr>
              <w:t>水文情势调查　</w:t>
            </w:r>
          </w:p>
        </w:tc>
        <w:tc>
          <w:tcPr>
            <w:tcW w:w="5348" w:type="dxa"/>
            <w:gridSpan w:val="5"/>
            <w:noWrap/>
            <w:vAlign w:val="center"/>
          </w:tcPr>
          <w:p>
            <w:pPr>
              <w:spacing w:line="240" w:lineRule="auto"/>
              <w:ind w:firstLine="360"/>
              <w:jc w:val="center"/>
              <w:rPr>
                <w:color w:val="auto"/>
                <w:kern w:val="0"/>
                <w:sz w:val="18"/>
                <w:szCs w:val="18"/>
              </w:rPr>
            </w:pPr>
            <w:r>
              <w:rPr>
                <w:color w:val="auto"/>
                <w:kern w:val="0"/>
                <w:sz w:val="18"/>
                <w:szCs w:val="18"/>
              </w:rPr>
              <w:t>调查时期</w:t>
            </w:r>
          </w:p>
        </w:tc>
        <w:tc>
          <w:tcPr>
            <w:tcW w:w="5347" w:type="dxa"/>
            <w:gridSpan w:val="7"/>
            <w:noWrap/>
            <w:vAlign w:val="center"/>
          </w:tcPr>
          <w:p>
            <w:pPr>
              <w:spacing w:line="240" w:lineRule="auto"/>
              <w:ind w:firstLine="360"/>
              <w:jc w:val="center"/>
              <w:rPr>
                <w:color w:val="auto"/>
                <w:kern w:val="0"/>
                <w:sz w:val="18"/>
                <w:szCs w:val="18"/>
              </w:rPr>
            </w:pPr>
            <w:r>
              <w:rPr>
                <w:color w:val="auto"/>
                <w:kern w:val="0"/>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5348" w:type="dxa"/>
            <w:gridSpan w:val="5"/>
            <w:noWrap w:val="0"/>
            <w:vAlign w:val="center"/>
          </w:tcPr>
          <w:p>
            <w:pPr>
              <w:spacing w:line="240" w:lineRule="auto"/>
              <w:ind w:firstLine="0" w:firstLineChars="0"/>
              <w:jc w:val="left"/>
              <w:rPr>
                <w:color w:val="auto"/>
                <w:kern w:val="0"/>
                <w:sz w:val="18"/>
                <w:szCs w:val="18"/>
              </w:rPr>
            </w:pPr>
            <w:r>
              <w:rPr>
                <w:color w:val="auto"/>
                <w:kern w:val="0"/>
                <w:sz w:val="18"/>
                <w:szCs w:val="18"/>
              </w:rPr>
              <w:t xml:space="preserve">丰水期 </w:t>
            </w:r>
            <w:r>
              <w:rPr>
                <w:rFonts w:ascii="宋体" w:hAnsi="宋体"/>
                <w:color w:val="auto"/>
                <w:kern w:val="0"/>
                <w:sz w:val="18"/>
                <w:szCs w:val="18"/>
              </w:rPr>
              <w:t>□；</w:t>
            </w:r>
            <w:r>
              <w:rPr>
                <w:color w:val="auto"/>
                <w:kern w:val="0"/>
                <w:sz w:val="18"/>
                <w:szCs w:val="18"/>
              </w:rPr>
              <w:t xml:space="preserve">平水期 </w:t>
            </w:r>
            <w:r>
              <w:rPr>
                <w:rFonts w:ascii="宋体" w:hAnsi="宋体"/>
                <w:color w:val="auto"/>
                <w:kern w:val="0"/>
                <w:sz w:val="18"/>
                <w:szCs w:val="18"/>
              </w:rPr>
              <w:t>□；</w:t>
            </w:r>
            <w:r>
              <w:rPr>
                <w:color w:val="auto"/>
                <w:kern w:val="0"/>
                <w:sz w:val="18"/>
                <w:szCs w:val="18"/>
              </w:rPr>
              <w:t xml:space="preserve">枯水期 </w:t>
            </w:r>
            <w:r>
              <w:rPr>
                <w:rFonts w:ascii="宋体" w:hAnsi="宋体"/>
                <w:color w:val="auto"/>
                <w:kern w:val="0"/>
                <w:sz w:val="18"/>
                <w:szCs w:val="18"/>
              </w:rPr>
              <w:t>□；</w:t>
            </w:r>
            <w:r>
              <w:rPr>
                <w:color w:val="auto"/>
                <w:kern w:val="0"/>
                <w:sz w:val="18"/>
                <w:szCs w:val="18"/>
              </w:rPr>
              <w:t xml:space="preserve">冰封期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春季 </w:t>
            </w:r>
            <w:r>
              <w:rPr>
                <w:rFonts w:ascii="宋体" w:hAnsi="宋体"/>
                <w:color w:val="auto"/>
                <w:kern w:val="0"/>
                <w:sz w:val="18"/>
                <w:szCs w:val="18"/>
              </w:rPr>
              <w:t>□；</w:t>
            </w:r>
            <w:r>
              <w:rPr>
                <w:color w:val="auto"/>
                <w:kern w:val="0"/>
                <w:sz w:val="18"/>
                <w:szCs w:val="18"/>
              </w:rPr>
              <w:t xml:space="preserve">夏季 </w:t>
            </w:r>
            <w:r>
              <w:rPr>
                <w:rFonts w:ascii="宋体" w:hAnsi="宋体"/>
                <w:color w:val="auto"/>
                <w:kern w:val="0"/>
                <w:sz w:val="18"/>
                <w:szCs w:val="18"/>
              </w:rPr>
              <w:t>□；</w:t>
            </w:r>
            <w:r>
              <w:rPr>
                <w:color w:val="auto"/>
                <w:kern w:val="0"/>
                <w:sz w:val="18"/>
                <w:szCs w:val="18"/>
              </w:rPr>
              <w:t xml:space="preserve">秋季 </w:t>
            </w:r>
            <w:r>
              <w:rPr>
                <w:rFonts w:ascii="宋体" w:hAnsi="宋体"/>
                <w:color w:val="auto"/>
                <w:kern w:val="0"/>
                <w:sz w:val="18"/>
                <w:szCs w:val="18"/>
              </w:rPr>
              <w:t>□；</w:t>
            </w:r>
            <w:r>
              <w:rPr>
                <w:color w:val="auto"/>
                <w:kern w:val="0"/>
                <w:sz w:val="18"/>
                <w:szCs w:val="18"/>
              </w:rPr>
              <w:t xml:space="preserve">冬季 </w:t>
            </w:r>
            <w:r>
              <w:rPr>
                <w:rFonts w:ascii="宋体" w:hAnsi="宋体"/>
                <w:color w:val="auto"/>
                <w:kern w:val="0"/>
                <w:sz w:val="18"/>
                <w:szCs w:val="18"/>
              </w:rPr>
              <w:t>□</w:t>
            </w:r>
          </w:p>
        </w:tc>
        <w:tc>
          <w:tcPr>
            <w:tcW w:w="5347" w:type="dxa"/>
            <w:gridSpan w:val="7"/>
            <w:noWrap/>
            <w:vAlign w:val="center"/>
          </w:tcPr>
          <w:p>
            <w:pPr>
              <w:spacing w:line="240" w:lineRule="auto"/>
              <w:ind w:firstLine="360"/>
              <w:jc w:val="left"/>
              <w:rPr>
                <w:color w:val="auto"/>
                <w:kern w:val="0"/>
                <w:sz w:val="18"/>
                <w:szCs w:val="18"/>
              </w:rPr>
            </w:pPr>
            <w:r>
              <w:rPr>
                <w:color w:val="auto"/>
                <w:kern w:val="0"/>
                <w:sz w:val="18"/>
                <w:szCs w:val="18"/>
              </w:rPr>
              <w:t xml:space="preserve">水行政主管部门 </w:t>
            </w:r>
            <w:r>
              <w:rPr>
                <w:rFonts w:ascii="宋体" w:hAnsi="宋体"/>
                <w:color w:val="auto"/>
                <w:kern w:val="0"/>
                <w:sz w:val="18"/>
                <w:szCs w:val="18"/>
              </w:rPr>
              <w:t>□；</w:t>
            </w:r>
            <w:r>
              <w:rPr>
                <w:color w:val="auto"/>
                <w:kern w:val="0"/>
                <w:sz w:val="18"/>
                <w:szCs w:val="18"/>
              </w:rPr>
              <w:t xml:space="preserve">补充监测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color w:val="auto"/>
                <w:kern w:val="0"/>
                <w:sz w:val="18"/>
                <w:szCs w:val="18"/>
              </w:rPr>
              <w:t>补充监测　</w:t>
            </w:r>
          </w:p>
        </w:tc>
        <w:tc>
          <w:tcPr>
            <w:tcW w:w="5348" w:type="dxa"/>
            <w:gridSpan w:val="5"/>
            <w:noWrap w:val="0"/>
            <w:vAlign w:val="center"/>
          </w:tcPr>
          <w:p>
            <w:pPr>
              <w:spacing w:line="240" w:lineRule="auto"/>
              <w:ind w:firstLine="360"/>
              <w:jc w:val="center"/>
              <w:rPr>
                <w:color w:val="auto"/>
                <w:kern w:val="0"/>
                <w:sz w:val="18"/>
                <w:szCs w:val="18"/>
              </w:rPr>
            </w:pPr>
            <w:r>
              <w:rPr>
                <w:color w:val="auto"/>
                <w:kern w:val="0"/>
                <w:sz w:val="18"/>
                <w:szCs w:val="18"/>
              </w:rPr>
              <w:t>监测时期</w:t>
            </w:r>
          </w:p>
        </w:tc>
        <w:tc>
          <w:tcPr>
            <w:tcW w:w="3261" w:type="dxa"/>
            <w:gridSpan w:val="5"/>
            <w:noWrap/>
            <w:vAlign w:val="center"/>
          </w:tcPr>
          <w:p>
            <w:pPr>
              <w:spacing w:line="240" w:lineRule="auto"/>
              <w:ind w:firstLine="360"/>
              <w:jc w:val="center"/>
              <w:rPr>
                <w:color w:val="auto"/>
                <w:kern w:val="0"/>
                <w:sz w:val="18"/>
                <w:szCs w:val="18"/>
              </w:rPr>
            </w:pPr>
            <w:r>
              <w:rPr>
                <w:color w:val="auto"/>
                <w:kern w:val="0"/>
                <w:sz w:val="18"/>
                <w:szCs w:val="18"/>
              </w:rPr>
              <w:t>监测因子</w:t>
            </w:r>
          </w:p>
        </w:tc>
        <w:tc>
          <w:tcPr>
            <w:tcW w:w="2086" w:type="dxa"/>
            <w:gridSpan w:val="2"/>
            <w:noWrap/>
            <w:vAlign w:val="center"/>
          </w:tcPr>
          <w:p>
            <w:pPr>
              <w:spacing w:line="240" w:lineRule="auto"/>
              <w:ind w:firstLine="360"/>
              <w:jc w:val="center"/>
              <w:rPr>
                <w:color w:val="auto"/>
                <w:kern w:val="0"/>
                <w:sz w:val="18"/>
                <w:szCs w:val="18"/>
              </w:rPr>
            </w:pPr>
            <w:r>
              <w:rPr>
                <w:color w:val="auto"/>
                <w:kern w:val="0"/>
                <w:sz w:val="18"/>
                <w:szCs w:val="18"/>
              </w:rPr>
              <w:t>监测断面</w:t>
            </w:r>
            <w:r>
              <w:rPr>
                <w:rFonts w:hint="eastAsia"/>
                <w:color w:val="auto"/>
                <w:kern w:val="0"/>
                <w:sz w:val="18"/>
                <w:szCs w:val="18"/>
              </w:rPr>
              <w:t>或</w:t>
            </w:r>
            <w:r>
              <w:rPr>
                <w:color w:val="auto"/>
                <w:kern w:val="0"/>
                <w:sz w:val="18"/>
                <w:szCs w:val="18"/>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5348" w:type="dxa"/>
            <w:gridSpan w:val="5"/>
            <w:noWrap w:val="0"/>
            <w:vAlign w:val="center"/>
          </w:tcPr>
          <w:p>
            <w:pPr>
              <w:spacing w:line="240" w:lineRule="auto"/>
              <w:ind w:firstLine="0" w:firstLineChars="0"/>
              <w:jc w:val="left"/>
              <w:rPr>
                <w:color w:val="auto"/>
                <w:kern w:val="0"/>
                <w:sz w:val="18"/>
                <w:szCs w:val="18"/>
              </w:rPr>
            </w:pPr>
            <w:r>
              <w:rPr>
                <w:color w:val="auto"/>
                <w:kern w:val="0"/>
                <w:sz w:val="18"/>
                <w:szCs w:val="18"/>
              </w:rPr>
              <w:t xml:space="preserve">丰水期 </w:t>
            </w:r>
            <w:r>
              <w:rPr>
                <w:rFonts w:ascii="宋体" w:hAnsi="宋体"/>
                <w:color w:val="auto"/>
                <w:kern w:val="0"/>
                <w:sz w:val="18"/>
                <w:szCs w:val="18"/>
              </w:rPr>
              <w:t>□；</w:t>
            </w:r>
            <w:r>
              <w:rPr>
                <w:color w:val="auto"/>
                <w:kern w:val="0"/>
                <w:sz w:val="18"/>
                <w:szCs w:val="18"/>
              </w:rPr>
              <w:t xml:space="preserve">平水期 </w:t>
            </w:r>
            <w:r>
              <w:rPr>
                <w:rFonts w:ascii="宋体" w:hAnsi="宋体"/>
                <w:color w:val="auto"/>
                <w:kern w:val="0"/>
                <w:sz w:val="18"/>
                <w:szCs w:val="18"/>
              </w:rPr>
              <w:t>□；</w:t>
            </w:r>
            <w:r>
              <w:rPr>
                <w:color w:val="auto"/>
                <w:kern w:val="0"/>
                <w:sz w:val="18"/>
                <w:szCs w:val="18"/>
              </w:rPr>
              <w:t xml:space="preserve">枯水期 </w:t>
            </w:r>
            <w:r>
              <w:rPr>
                <w:rFonts w:ascii="宋体" w:hAnsi="宋体"/>
                <w:color w:val="auto"/>
                <w:kern w:val="0"/>
                <w:sz w:val="18"/>
                <w:szCs w:val="18"/>
              </w:rPr>
              <w:t>□；</w:t>
            </w:r>
            <w:r>
              <w:rPr>
                <w:color w:val="auto"/>
                <w:kern w:val="0"/>
                <w:sz w:val="18"/>
                <w:szCs w:val="18"/>
              </w:rPr>
              <w:t xml:space="preserve">冰封期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春季 </w:t>
            </w:r>
            <w:r>
              <w:rPr>
                <w:rFonts w:ascii="宋体" w:hAnsi="宋体"/>
                <w:color w:val="auto"/>
                <w:kern w:val="0"/>
                <w:sz w:val="18"/>
                <w:szCs w:val="18"/>
              </w:rPr>
              <w:t>□；</w:t>
            </w:r>
            <w:r>
              <w:rPr>
                <w:color w:val="auto"/>
                <w:kern w:val="0"/>
                <w:sz w:val="18"/>
                <w:szCs w:val="18"/>
              </w:rPr>
              <w:t xml:space="preserve">夏季 </w:t>
            </w:r>
            <w:r>
              <w:rPr>
                <w:rFonts w:ascii="宋体" w:hAnsi="宋体"/>
                <w:color w:val="auto"/>
                <w:kern w:val="0"/>
                <w:sz w:val="18"/>
                <w:szCs w:val="18"/>
              </w:rPr>
              <w:t>□；</w:t>
            </w:r>
            <w:r>
              <w:rPr>
                <w:color w:val="auto"/>
                <w:kern w:val="0"/>
                <w:sz w:val="18"/>
                <w:szCs w:val="18"/>
              </w:rPr>
              <w:t xml:space="preserve">秋季 </w:t>
            </w:r>
            <w:r>
              <w:rPr>
                <w:rFonts w:ascii="宋体" w:hAnsi="宋体"/>
                <w:color w:val="auto"/>
                <w:kern w:val="0"/>
                <w:sz w:val="18"/>
                <w:szCs w:val="18"/>
              </w:rPr>
              <w:t>□；</w:t>
            </w:r>
            <w:r>
              <w:rPr>
                <w:color w:val="auto"/>
                <w:kern w:val="0"/>
                <w:sz w:val="18"/>
                <w:szCs w:val="18"/>
              </w:rPr>
              <w:t xml:space="preserve">冬季 </w:t>
            </w:r>
            <w:r>
              <w:rPr>
                <w:rFonts w:ascii="宋体" w:hAnsi="宋体"/>
                <w:color w:val="auto"/>
                <w:kern w:val="0"/>
                <w:sz w:val="18"/>
                <w:szCs w:val="18"/>
              </w:rPr>
              <w:t>□</w:t>
            </w:r>
          </w:p>
        </w:tc>
        <w:tc>
          <w:tcPr>
            <w:tcW w:w="3261" w:type="dxa"/>
            <w:gridSpan w:val="5"/>
            <w:noWrap/>
            <w:vAlign w:val="center"/>
          </w:tcPr>
          <w:p>
            <w:pPr>
              <w:spacing w:line="240" w:lineRule="auto"/>
              <w:ind w:firstLine="360"/>
              <w:jc w:val="left"/>
              <w:rPr>
                <w:color w:val="auto"/>
                <w:kern w:val="0"/>
                <w:sz w:val="18"/>
                <w:szCs w:val="18"/>
              </w:rPr>
            </w:pPr>
            <w:r>
              <w:rPr>
                <w:color w:val="auto"/>
                <w:kern w:val="0"/>
                <w:sz w:val="18"/>
                <w:szCs w:val="18"/>
              </w:rPr>
              <w:t>（   ）</w:t>
            </w:r>
          </w:p>
        </w:tc>
        <w:tc>
          <w:tcPr>
            <w:tcW w:w="2086" w:type="dxa"/>
            <w:gridSpan w:val="2"/>
            <w:noWrap/>
            <w:vAlign w:val="center"/>
          </w:tcPr>
          <w:p>
            <w:pPr>
              <w:spacing w:line="240" w:lineRule="auto"/>
              <w:ind w:firstLine="360"/>
              <w:jc w:val="left"/>
              <w:rPr>
                <w:color w:val="auto"/>
                <w:kern w:val="0"/>
                <w:sz w:val="18"/>
                <w:szCs w:val="18"/>
              </w:rPr>
            </w:pPr>
            <w:r>
              <w:rPr>
                <w:color w:val="auto"/>
                <w:kern w:val="0"/>
                <w:sz w:val="18"/>
                <w:szCs w:val="18"/>
              </w:rPr>
              <w:t>监测断面</w:t>
            </w:r>
            <w:r>
              <w:rPr>
                <w:rFonts w:hint="eastAsia"/>
                <w:color w:val="auto"/>
                <w:kern w:val="0"/>
                <w:sz w:val="18"/>
                <w:szCs w:val="18"/>
              </w:rPr>
              <w:t>或</w:t>
            </w:r>
            <w:r>
              <w:rPr>
                <w:color w:val="auto"/>
                <w:kern w:val="0"/>
                <w:sz w:val="18"/>
                <w:szCs w:val="18"/>
              </w:rPr>
              <w:t>点位个数（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textDirection w:val="tbRlV"/>
            <w:vAlign w:val="center"/>
          </w:tcPr>
          <w:p>
            <w:pPr>
              <w:spacing w:line="240" w:lineRule="auto"/>
              <w:ind w:firstLine="360"/>
              <w:jc w:val="center"/>
              <w:rPr>
                <w:color w:val="auto"/>
                <w:kern w:val="0"/>
                <w:sz w:val="18"/>
                <w:szCs w:val="18"/>
              </w:rPr>
            </w:pPr>
            <w:r>
              <w:rPr>
                <w:color w:val="auto"/>
                <w:kern w:val="0"/>
                <w:sz w:val="18"/>
                <w:szCs w:val="18"/>
              </w:rPr>
              <w:t>现状评价</w:t>
            </w: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评价范围</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河流：长度（   ）km；湖库、河口及近岸海域：面积（   ）km</w:t>
            </w:r>
            <w:r>
              <w:rPr>
                <w:color w:val="auto"/>
                <w:kern w:val="0"/>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评价因子</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 xml:space="preserve">（  </w:t>
            </w:r>
            <w:r>
              <w:rPr>
                <w:rFonts w:hint="eastAsia"/>
                <w:color w:val="auto"/>
                <w:kern w:val="0"/>
                <w:sz w:val="18"/>
                <w:szCs w:val="18"/>
              </w:rPr>
              <w:t>pH、氨氮、高锰酸钾指数、石油类</w:t>
            </w:r>
            <w:r>
              <w:rPr>
                <w:rFonts w:hint="eastAsia"/>
                <w:color w:val="auto"/>
                <w:kern w:val="0"/>
                <w:sz w:val="18"/>
                <w:szCs w:val="18"/>
                <w:lang w:eastAsia="zh-CN"/>
              </w:rPr>
              <w:t>、总磷、总镍、总铬</w:t>
            </w:r>
            <w:r>
              <w:rPr>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评价标准</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 xml:space="preserve">河流、湖库、河口：Ⅰ类 </w:t>
            </w:r>
            <w:r>
              <w:rPr>
                <w:rFonts w:ascii="宋体" w:hAnsi="宋体"/>
                <w:color w:val="auto"/>
                <w:kern w:val="0"/>
                <w:sz w:val="18"/>
                <w:szCs w:val="18"/>
              </w:rPr>
              <w:t>□；</w:t>
            </w:r>
            <w:r>
              <w:rPr>
                <w:color w:val="auto"/>
                <w:kern w:val="0"/>
                <w:sz w:val="18"/>
                <w:szCs w:val="18"/>
              </w:rPr>
              <w:t xml:space="preserve">Ⅱ类 </w:t>
            </w:r>
            <w:r>
              <w:rPr>
                <w:rFonts w:ascii="宋体" w:hAnsi="宋体"/>
                <w:color w:val="auto"/>
                <w:kern w:val="0"/>
                <w:sz w:val="18"/>
                <w:szCs w:val="18"/>
              </w:rPr>
              <w:t>□；</w:t>
            </w:r>
            <w:r>
              <w:rPr>
                <w:color w:val="auto"/>
                <w:kern w:val="0"/>
                <w:sz w:val="18"/>
                <w:szCs w:val="18"/>
              </w:rPr>
              <w:t xml:space="preserve">Ⅲ类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 xml:space="preserve">Ⅳ类 </w:t>
            </w:r>
            <w:r>
              <w:rPr>
                <w:rFonts w:ascii="宋体" w:hAnsi="宋体"/>
                <w:color w:val="auto"/>
                <w:kern w:val="0"/>
                <w:sz w:val="18"/>
                <w:szCs w:val="18"/>
              </w:rPr>
              <w:t>□；</w:t>
            </w:r>
            <w:r>
              <w:rPr>
                <w:color w:val="auto"/>
                <w:kern w:val="0"/>
                <w:sz w:val="18"/>
                <w:szCs w:val="18"/>
              </w:rPr>
              <w:t xml:space="preserve">Ⅴ类 </w:t>
            </w:r>
            <w:r>
              <w:rPr>
                <w:rFonts w:ascii="宋体" w:hAnsi="宋体"/>
                <w:color w:val="auto"/>
                <w:kern w:val="0"/>
                <w:sz w:val="18"/>
                <w:szCs w:val="18"/>
              </w:rPr>
              <w:t>□</w:t>
            </w:r>
          </w:p>
          <w:p>
            <w:pPr>
              <w:spacing w:line="240" w:lineRule="auto"/>
              <w:ind w:firstLine="360"/>
              <w:jc w:val="left"/>
              <w:rPr>
                <w:color w:val="auto"/>
                <w:kern w:val="0"/>
                <w:sz w:val="18"/>
                <w:szCs w:val="18"/>
              </w:rPr>
            </w:pPr>
            <w:r>
              <w:rPr>
                <w:color w:val="auto"/>
                <w:kern w:val="0"/>
                <w:sz w:val="18"/>
                <w:szCs w:val="18"/>
              </w:rPr>
              <w:t xml:space="preserve">近岸海域：第一类 </w:t>
            </w:r>
            <w:r>
              <w:rPr>
                <w:rFonts w:ascii="宋体" w:hAnsi="宋体"/>
                <w:color w:val="auto"/>
                <w:kern w:val="0"/>
                <w:sz w:val="18"/>
                <w:szCs w:val="18"/>
              </w:rPr>
              <w:t>□；</w:t>
            </w:r>
            <w:r>
              <w:rPr>
                <w:color w:val="auto"/>
                <w:kern w:val="0"/>
                <w:sz w:val="18"/>
                <w:szCs w:val="18"/>
              </w:rPr>
              <w:t xml:space="preserve">第二类 </w:t>
            </w:r>
            <w:r>
              <w:rPr>
                <w:rFonts w:ascii="宋体" w:hAnsi="宋体"/>
                <w:color w:val="auto"/>
                <w:kern w:val="0"/>
                <w:sz w:val="18"/>
                <w:szCs w:val="18"/>
              </w:rPr>
              <w:t>□；</w:t>
            </w:r>
            <w:r>
              <w:rPr>
                <w:color w:val="auto"/>
                <w:kern w:val="0"/>
                <w:sz w:val="18"/>
                <w:szCs w:val="18"/>
              </w:rPr>
              <w:t xml:space="preserve">第三类 </w:t>
            </w:r>
            <w:r>
              <w:rPr>
                <w:rFonts w:ascii="宋体" w:hAnsi="宋体"/>
                <w:color w:val="auto"/>
                <w:kern w:val="0"/>
                <w:sz w:val="18"/>
                <w:szCs w:val="18"/>
              </w:rPr>
              <w:t>□；</w:t>
            </w:r>
            <w:r>
              <w:rPr>
                <w:color w:val="auto"/>
                <w:kern w:val="0"/>
                <w:sz w:val="18"/>
                <w:szCs w:val="18"/>
              </w:rPr>
              <w:t xml:space="preserve">第四类 </w:t>
            </w:r>
            <w:r>
              <w:rPr>
                <w:rFonts w:ascii="宋体" w:hAnsi="宋体"/>
                <w:color w:val="auto"/>
                <w:kern w:val="0"/>
                <w:sz w:val="18"/>
                <w:szCs w:val="18"/>
              </w:rPr>
              <w:t>□</w:t>
            </w:r>
          </w:p>
          <w:p>
            <w:pPr>
              <w:spacing w:line="240" w:lineRule="auto"/>
              <w:ind w:firstLine="360"/>
              <w:jc w:val="left"/>
              <w:rPr>
                <w:color w:val="auto"/>
                <w:kern w:val="0"/>
                <w:sz w:val="18"/>
                <w:szCs w:val="18"/>
              </w:rPr>
            </w:pPr>
            <w:r>
              <w:rPr>
                <w:color w:val="auto"/>
                <w:kern w:val="0"/>
                <w:sz w:val="18"/>
                <w:szCs w:val="18"/>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评价时期</w:t>
            </w:r>
          </w:p>
        </w:tc>
        <w:tc>
          <w:tcPr>
            <w:tcW w:w="10695" w:type="dxa"/>
            <w:gridSpan w:val="12"/>
            <w:noWrap w:val="0"/>
            <w:vAlign w:val="center"/>
          </w:tcPr>
          <w:p>
            <w:pPr>
              <w:spacing w:line="240" w:lineRule="auto"/>
              <w:ind w:firstLine="0" w:firstLineChars="0"/>
              <w:jc w:val="left"/>
              <w:rPr>
                <w:color w:val="auto"/>
                <w:kern w:val="0"/>
                <w:sz w:val="18"/>
                <w:szCs w:val="18"/>
              </w:rPr>
            </w:pPr>
            <w:r>
              <w:rPr>
                <w:color w:val="auto"/>
                <w:kern w:val="0"/>
                <w:sz w:val="18"/>
                <w:szCs w:val="18"/>
              </w:rPr>
              <w:t xml:space="preserve">丰水期 </w:t>
            </w:r>
            <w:r>
              <w:rPr>
                <w:rFonts w:ascii="宋体" w:hAnsi="宋体"/>
                <w:color w:val="auto"/>
                <w:kern w:val="0"/>
                <w:sz w:val="18"/>
                <w:szCs w:val="18"/>
              </w:rPr>
              <w:t>□；</w:t>
            </w:r>
            <w:r>
              <w:rPr>
                <w:color w:val="auto"/>
                <w:kern w:val="0"/>
                <w:sz w:val="18"/>
                <w:szCs w:val="18"/>
              </w:rPr>
              <w:t xml:space="preserve">平水期 </w:t>
            </w:r>
            <w:r>
              <w:rPr>
                <w:rFonts w:ascii="宋体" w:hAnsi="宋体"/>
                <w:color w:val="auto"/>
                <w:kern w:val="0"/>
                <w:sz w:val="18"/>
                <w:szCs w:val="18"/>
              </w:rPr>
              <w:t>□；</w:t>
            </w:r>
            <w:r>
              <w:rPr>
                <w:color w:val="auto"/>
                <w:kern w:val="0"/>
                <w:sz w:val="18"/>
                <w:szCs w:val="18"/>
              </w:rPr>
              <w:t xml:space="preserve">枯水期 </w:t>
            </w:r>
            <w:r>
              <w:rPr>
                <w:rFonts w:ascii="宋体" w:hAnsi="宋体"/>
                <w:color w:val="auto"/>
                <w:kern w:val="0"/>
                <w:sz w:val="18"/>
                <w:szCs w:val="18"/>
              </w:rPr>
              <w:t>□；</w:t>
            </w:r>
            <w:r>
              <w:rPr>
                <w:color w:val="auto"/>
                <w:kern w:val="0"/>
                <w:sz w:val="18"/>
                <w:szCs w:val="18"/>
              </w:rPr>
              <w:t xml:space="preserve">冰封期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春季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 xml:space="preserve">夏季 </w:t>
            </w:r>
            <w:r>
              <w:rPr>
                <w:rFonts w:ascii="宋体" w:hAnsi="宋体"/>
                <w:color w:val="auto"/>
                <w:kern w:val="0"/>
                <w:sz w:val="18"/>
                <w:szCs w:val="18"/>
              </w:rPr>
              <w:t>□；</w:t>
            </w:r>
            <w:r>
              <w:rPr>
                <w:color w:val="auto"/>
                <w:kern w:val="0"/>
                <w:sz w:val="18"/>
                <w:szCs w:val="18"/>
              </w:rPr>
              <w:t xml:space="preserve">秋季 </w:t>
            </w:r>
            <w:r>
              <w:rPr>
                <w:rFonts w:ascii="宋体" w:hAnsi="宋体"/>
                <w:color w:val="auto"/>
                <w:kern w:val="0"/>
                <w:sz w:val="18"/>
                <w:szCs w:val="18"/>
              </w:rPr>
              <w:t>□；</w:t>
            </w:r>
            <w:r>
              <w:rPr>
                <w:color w:val="auto"/>
                <w:kern w:val="0"/>
                <w:sz w:val="18"/>
                <w:szCs w:val="18"/>
              </w:rPr>
              <w:t xml:space="preserve">冬季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评价结论</w:t>
            </w:r>
          </w:p>
        </w:tc>
        <w:tc>
          <w:tcPr>
            <w:tcW w:w="9199" w:type="dxa"/>
            <w:gridSpan w:val="11"/>
            <w:noWrap w:val="0"/>
            <w:vAlign w:val="center"/>
          </w:tcPr>
          <w:p>
            <w:pPr>
              <w:spacing w:line="240" w:lineRule="auto"/>
              <w:ind w:firstLine="0" w:firstLineChars="0"/>
              <w:jc w:val="left"/>
              <w:rPr>
                <w:rFonts w:ascii="宋体" w:hAnsi="宋体"/>
                <w:color w:val="auto"/>
                <w:kern w:val="0"/>
                <w:sz w:val="18"/>
                <w:szCs w:val="18"/>
              </w:rPr>
            </w:pPr>
            <w:r>
              <w:rPr>
                <w:rFonts w:hint="eastAsia"/>
                <w:color w:val="auto"/>
                <w:kern w:val="0"/>
                <w:sz w:val="18"/>
                <w:szCs w:val="18"/>
              </w:rPr>
              <w:t>水环境功能区或水功能区、</w:t>
            </w:r>
            <w:r>
              <w:rPr>
                <w:color w:val="auto"/>
                <w:kern w:val="0"/>
                <w:sz w:val="18"/>
                <w:szCs w:val="18"/>
              </w:rPr>
              <w:t>近岸海域环境功能区水质达标状况</w:t>
            </w:r>
            <w:r>
              <w:rPr>
                <w:rFonts w:ascii="宋体" w:hAnsi="宋体"/>
                <w:color w:val="auto"/>
                <w:kern w:val="0"/>
                <w:sz w:val="18"/>
                <w:szCs w:val="18"/>
              </w:rPr>
              <w:t>：</w:t>
            </w:r>
            <w:r>
              <w:rPr>
                <w:color w:val="auto"/>
                <w:kern w:val="0"/>
                <w:sz w:val="18"/>
                <w:szCs w:val="18"/>
              </w:rPr>
              <w:t xml:space="preserve">达标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 xml:space="preserve">不达标 </w:t>
            </w:r>
            <w:r>
              <w:rPr>
                <w:rFonts w:ascii="宋体" w:hAnsi="宋体"/>
                <w:color w:val="auto"/>
                <w:kern w:val="0"/>
                <w:sz w:val="18"/>
                <w:szCs w:val="18"/>
              </w:rPr>
              <w:t>□</w:t>
            </w:r>
            <w:r>
              <w:rPr>
                <w:color w:val="auto"/>
                <w:kern w:val="0"/>
                <w:sz w:val="18"/>
                <w:szCs w:val="18"/>
              </w:rPr>
              <w:br w:type="textWrapping"/>
            </w:r>
            <w:r>
              <w:rPr>
                <w:color w:val="auto"/>
                <w:kern w:val="0"/>
                <w:sz w:val="18"/>
                <w:szCs w:val="18"/>
              </w:rPr>
              <w:t>水环境控制单元</w:t>
            </w:r>
            <w:r>
              <w:rPr>
                <w:rFonts w:hint="eastAsia"/>
                <w:color w:val="auto"/>
                <w:kern w:val="0"/>
                <w:sz w:val="18"/>
                <w:szCs w:val="18"/>
              </w:rPr>
              <w:t>或</w:t>
            </w:r>
            <w:r>
              <w:rPr>
                <w:color w:val="auto"/>
                <w:kern w:val="0"/>
                <w:sz w:val="18"/>
                <w:szCs w:val="18"/>
              </w:rPr>
              <w:t xml:space="preserve">断面水质达标状况 </w:t>
            </w:r>
            <w:r>
              <w:rPr>
                <w:rFonts w:ascii="宋体" w:hAnsi="宋体"/>
                <w:color w:val="auto"/>
                <w:kern w:val="0"/>
                <w:sz w:val="18"/>
                <w:szCs w:val="18"/>
              </w:rPr>
              <w:t>：</w:t>
            </w:r>
            <w:r>
              <w:rPr>
                <w:color w:val="auto"/>
                <w:kern w:val="0"/>
                <w:sz w:val="18"/>
                <w:szCs w:val="18"/>
              </w:rPr>
              <w:t xml:space="preserve">达标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 xml:space="preserve">不达标 </w:t>
            </w:r>
            <w:r>
              <w:rPr>
                <w:rFonts w:ascii="宋体" w:hAnsi="宋体"/>
                <w:color w:val="auto"/>
                <w:kern w:val="0"/>
                <w:sz w:val="18"/>
                <w:szCs w:val="18"/>
              </w:rPr>
              <w:t>□</w:t>
            </w:r>
            <w:r>
              <w:rPr>
                <w:color w:val="auto"/>
                <w:kern w:val="0"/>
                <w:sz w:val="18"/>
                <w:szCs w:val="18"/>
              </w:rPr>
              <w:br w:type="textWrapping"/>
            </w:r>
            <w:r>
              <w:rPr>
                <w:color w:val="auto"/>
                <w:kern w:val="0"/>
                <w:sz w:val="18"/>
                <w:szCs w:val="18"/>
              </w:rPr>
              <w:t>水环境保护目标质量状况</w:t>
            </w:r>
            <w:r>
              <w:rPr>
                <w:rFonts w:ascii="宋体" w:hAnsi="宋体"/>
                <w:color w:val="auto"/>
                <w:kern w:val="0"/>
                <w:sz w:val="18"/>
                <w:szCs w:val="18"/>
              </w:rPr>
              <w:t>：</w:t>
            </w:r>
            <w:r>
              <w:rPr>
                <w:color w:val="auto"/>
                <w:kern w:val="0"/>
                <w:sz w:val="18"/>
                <w:szCs w:val="18"/>
              </w:rPr>
              <w:t xml:space="preserve">达标 </w:t>
            </w:r>
            <w:r>
              <w:rPr>
                <w:rFonts w:ascii="宋体" w:hAnsi="宋体"/>
                <w:color w:val="auto"/>
                <w:kern w:val="0"/>
                <w:sz w:val="18"/>
                <w:szCs w:val="18"/>
              </w:rPr>
              <w:t>□；</w:t>
            </w:r>
            <w:r>
              <w:rPr>
                <w:color w:val="auto"/>
                <w:kern w:val="0"/>
                <w:sz w:val="18"/>
                <w:szCs w:val="18"/>
              </w:rPr>
              <w:t xml:space="preserve">不达标 </w:t>
            </w:r>
            <w:r>
              <w:rPr>
                <w:rFonts w:ascii="宋体" w:hAnsi="宋体"/>
                <w:color w:val="auto"/>
                <w:kern w:val="0"/>
                <w:sz w:val="18"/>
                <w:szCs w:val="18"/>
              </w:rPr>
              <w:t>□</w:t>
            </w:r>
            <w:r>
              <w:rPr>
                <w:color w:val="auto"/>
                <w:kern w:val="0"/>
                <w:sz w:val="18"/>
                <w:szCs w:val="18"/>
              </w:rPr>
              <w:br w:type="textWrapping"/>
            </w:r>
            <w:r>
              <w:rPr>
                <w:color w:val="auto"/>
                <w:kern w:val="0"/>
                <w:sz w:val="18"/>
                <w:szCs w:val="18"/>
              </w:rPr>
              <w:t>对照断面、控制断面等</w:t>
            </w:r>
            <w:r>
              <w:rPr>
                <w:rFonts w:hint="eastAsia"/>
                <w:color w:val="auto"/>
                <w:kern w:val="0"/>
                <w:sz w:val="18"/>
                <w:szCs w:val="18"/>
              </w:rPr>
              <w:t>代表性</w:t>
            </w:r>
            <w:r>
              <w:rPr>
                <w:color w:val="auto"/>
                <w:kern w:val="0"/>
                <w:sz w:val="18"/>
                <w:szCs w:val="18"/>
              </w:rPr>
              <w:t xml:space="preserve">断面的水质状况 </w:t>
            </w:r>
            <w:r>
              <w:rPr>
                <w:rFonts w:ascii="宋体" w:hAnsi="宋体"/>
                <w:color w:val="auto"/>
                <w:kern w:val="0"/>
                <w:sz w:val="18"/>
                <w:szCs w:val="18"/>
              </w:rPr>
              <w:t>：</w:t>
            </w:r>
            <w:r>
              <w:rPr>
                <w:color w:val="auto"/>
                <w:kern w:val="0"/>
                <w:sz w:val="18"/>
                <w:szCs w:val="18"/>
              </w:rPr>
              <w:t xml:space="preserve">达标 </w:t>
            </w:r>
            <w:r>
              <w:rPr>
                <w:rFonts w:ascii="宋体" w:hAnsi="宋体"/>
                <w:color w:val="auto"/>
                <w:kern w:val="0"/>
                <w:sz w:val="18"/>
                <w:szCs w:val="18"/>
              </w:rPr>
              <w:t>□；</w:t>
            </w:r>
            <w:r>
              <w:rPr>
                <w:color w:val="auto"/>
                <w:kern w:val="0"/>
                <w:sz w:val="18"/>
                <w:szCs w:val="18"/>
              </w:rPr>
              <w:t xml:space="preserve">不达标 </w:t>
            </w:r>
            <w:r>
              <w:rPr>
                <w:rFonts w:ascii="宋体" w:hAnsi="宋体"/>
                <w:color w:val="auto"/>
                <w:kern w:val="0"/>
                <w:sz w:val="18"/>
                <w:szCs w:val="18"/>
              </w:rPr>
              <w:t>□</w:t>
            </w:r>
          </w:p>
          <w:p>
            <w:pPr>
              <w:spacing w:line="240" w:lineRule="auto"/>
              <w:ind w:firstLine="0" w:firstLineChars="0"/>
              <w:jc w:val="left"/>
              <w:rPr>
                <w:rFonts w:hint="eastAsia"/>
                <w:color w:val="auto"/>
                <w:kern w:val="0"/>
                <w:sz w:val="18"/>
                <w:szCs w:val="18"/>
              </w:rPr>
            </w:pPr>
            <w:r>
              <w:rPr>
                <w:color w:val="auto"/>
                <w:kern w:val="0"/>
                <w:sz w:val="18"/>
                <w:szCs w:val="18"/>
              </w:rPr>
              <w:t xml:space="preserve">底泥污染评价 </w:t>
            </w:r>
            <w:r>
              <w:rPr>
                <w:rFonts w:ascii="宋体" w:hAnsi="宋体"/>
                <w:color w:val="auto"/>
                <w:kern w:val="0"/>
                <w:sz w:val="18"/>
                <w:szCs w:val="18"/>
              </w:rPr>
              <w:t>□</w:t>
            </w:r>
            <w:r>
              <w:rPr>
                <w:color w:val="auto"/>
                <w:kern w:val="0"/>
                <w:sz w:val="18"/>
                <w:szCs w:val="18"/>
              </w:rPr>
              <w:br w:type="textWrapping"/>
            </w:r>
            <w:r>
              <w:rPr>
                <w:color w:val="auto"/>
                <w:kern w:val="0"/>
                <w:sz w:val="18"/>
                <w:szCs w:val="18"/>
              </w:rPr>
              <w:t>水资源</w:t>
            </w:r>
            <w:r>
              <w:rPr>
                <w:rFonts w:hint="eastAsia"/>
                <w:color w:val="auto"/>
                <w:kern w:val="0"/>
                <w:sz w:val="18"/>
                <w:szCs w:val="18"/>
              </w:rPr>
              <w:t>与</w:t>
            </w:r>
            <w:r>
              <w:rPr>
                <w:color w:val="auto"/>
                <w:kern w:val="0"/>
                <w:sz w:val="18"/>
                <w:szCs w:val="18"/>
              </w:rPr>
              <w:t>开发利用程度</w:t>
            </w:r>
            <w:r>
              <w:rPr>
                <w:rFonts w:hint="eastAsia"/>
                <w:color w:val="auto"/>
                <w:kern w:val="0"/>
                <w:sz w:val="18"/>
                <w:szCs w:val="18"/>
              </w:rPr>
              <w:t>及其</w:t>
            </w:r>
            <w:r>
              <w:rPr>
                <w:color w:val="auto"/>
                <w:kern w:val="0"/>
                <w:sz w:val="18"/>
                <w:szCs w:val="18"/>
              </w:rPr>
              <w:t xml:space="preserve">水文情势评价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水环境质量回顾评价 </w:t>
            </w:r>
            <w:r>
              <w:rPr>
                <w:rFonts w:ascii="宋体" w:hAnsi="宋体"/>
                <w:color w:val="auto"/>
                <w:kern w:val="0"/>
                <w:sz w:val="18"/>
                <w:szCs w:val="18"/>
              </w:rPr>
              <w:t>□</w:t>
            </w:r>
            <w:r>
              <w:rPr>
                <w:color w:val="auto"/>
                <w:kern w:val="0"/>
                <w:sz w:val="18"/>
                <w:szCs w:val="18"/>
              </w:rPr>
              <w:br w:type="textWrapping"/>
            </w:r>
            <w:r>
              <w:rPr>
                <w:color w:val="auto"/>
                <w:kern w:val="0"/>
                <w:sz w:val="18"/>
                <w:szCs w:val="18"/>
              </w:rPr>
              <w:t>流域（区域）水资源（</w:t>
            </w:r>
            <w:r>
              <w:rPr>
                <w:rFonts w:hint="eastAsia"/>
                <w:color w:val="auto"/>
                <w:kern w:val="0"/>
                <w:sz w:val="18"/>
                <w:szCs w:val="18"/>
              </w:rPr>
              <w:t>包括</w:t>
            </w:r>
            <w:r>
              <w:rPr>
                <w:color w:val="auto"/>
                <w:kern w:val="0"/>
                <w:sz w:val="18"/>
                <w:szCs w:val="18"/>
              </w:rPr>
              <w:t>水能资源）</w:t>
            </w:r>
            <w:r>
              <w:rPr>
                <w:rFonts w:hint="eastAsia"/>
                <w:color w:val="auto"/>
                <w:kern w:val="0"/>
                <w:sz w:val="18"/>
                <w:szCs w:val="18"/>
              </w:rPr>
              <w:t>与</w:t>
            </w:r>
            <w:r>
              <w:rPr>
                <w:color w:val="auto"/>
                <w:kern w:val="0"/>
                <w:sz w:val="18"/>
                <w:szCs w:val="18"/>
              </w:rPr>
              <w:t xml:space="preserve">开发利用总体状况、生态流量管理要求与现状满足程度、建设项目占用水域空间的水流状况与河湖演变状况 </w:t>
            </w:r>
            <w:r>
              <w:rPr>
                <w:rFonts w:ascii="宋体" w:hAnsi="宋体"/>
                <w:color w:val="auto"/>
                <w:kern w:val="0"/>
                <w:sz w:val="18"/>
                <w:szCs w:val="18"/>
              </w:rPr>
              <w:t>□</w:t>
            </w:r>
          </w:p>
        </w:tc>
        <w:tc>
          <w:tcPr>
            <w:tcW w:w="1496" w:type="dxa"/>
            <w:noWrap w:val="0"/>
            <w:vAlign w:val="center"/>
          </w:tcPr>
          <w:p>
            <w:pPr>
              <w:spacing w:line="240" w:lineRule="auto"/>
              <w:ind w:firstLine="0" w:firstLineChars="0"/>
              <w:jc w:val="center"/>
              <w:rPr>
                <w:rFonts w:hint="eastAsia" w:ascii="宋体" w:hAnsi="宋体"/>
                <w:color w:val="auto"/>
                <w:kern w:val="0"/>
                <w:sz w:val="18"/>
                <w:szCs w:val="18"/>
              </w:rPr>
            </w:pPr>
            <w:r>
              <w:rPr>
                <w:color w:val="auto"/>
                <w:kern w:val="0"/>
                <w:sz w:val="18"/>
                <w:szCs w:val="18"/>
              </w:rPr>
              <w:t>达标</w:t>
            </w:r>
            <w:r>
              <w:rPr>
                <w:rFonts w:hint="eastAsia"/>
                <w:color w:val="auto"/>
                <w:kern w:val="0"/>
                <w:sz w:val="18"/>
                <w:szCs w:val="18"/>
              </w:rPr>
              <w:t>区</w:t>
            </w:r>
            <w:r>
              <w:rPr>
                <w:color w:val="auto"/>
                <w:kern w:val="0"/>
                <w:sz w:val="18"/>
                <w:szCs w:val="18"/>
              </w:rPr>
              <w:t xml:space="preserve"> </w:t>
            </w:r>
            <w:r>
              <w:rPr>
                <w:rFonts w:ascii="宋体" w:hAnsi="宋体"/>
                <w:color w:val="auto"/>
                <w:kern w:val="0"/>
                <w:sz w:val="18"/>
                <w:szCs w:val="18"/>
              </w:rPr>
              <w:sym w:font="Wingdings 2" w:char="0052"/>
            </w:r>
          </w:p>
          <w:p>
            <w:pPr>
              <w:spacing w:line="240" w:lineRule="auto"/>
              <w:ind w:firstLine="0" w:firstLineChars="0"/>
              <w:jc w:val="center"/>
              <w:rPr>
                <w:color w:val="auto"/>
                <w:kern w:val="0"/>
                <w:sz w:val="18"/>
                <w:szCs w:val="18"/>
              </w:rPr>
            </w:pPr>
            <w:r>
              <w:rPr>
                <w:color w:val="auto"/>
                <w:kern w:val="0"/>
                <w:sz w:val="18"/>
                <w:szCs w:val="18"/>
              </w:rPr>
              <w:t>不达标</w:t>
            </w:r>
            <w:r>
              <w:rPr>
                <w:rFonts w:hint="eastAsia"/>
                <w:color w:val="auto"/>
                <w:kern w:val="0"/>
                <w:sz w:val="18"/>
                <w:szCs w:val="18"/>
              </w:rPr>
              <w:t>区</w:t>
            </w:r>
            <w:r>
              <w:rPr>
                <w:color w:val="auto"/>
                <w:kern w:val="0"/>
                <w:sz w:val="18"/>
                <w:szCs w:val="18"/>
              </w:rPr>
              <w:t xml:space="preserve">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textDirection w:val="tbRlV"/>
            <w:vAlign w:val="center"/>
          </w:tcPr>
          <w:p>
            <w:pPr>
              <w:spacing w:line="240" w:lineRule="auto"/>
              <w:ind w:firstLine="360"/>
              <w:jc w:val="center"/>
              <w:rPr>
                <w:color w:val="auto"/>
                <w:kern w:val="0"/>
                <w:sz w:val="18"/>
                <w:szCs w:val="18"/>
              </w:rPr>
            </w:pPr>
            <w:r>
              <w:rPr>
                <w:color w:val="auto"/>
                <w:kern w:val="0"/>
                <w:sz w:val="18"/>
                <w:szCs w:val="18"/>
              </w:rPr>
              <w:t>影响预测</w:t>
            </w: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预测范围</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河流：长度（   ）km；湖库、河口及近岸海域：面积（   ）km</w:t>
            </w:r>
            <w:r>
              <w:rPr>
                <w:color w:val="auto"/>
                <w:kern w:val="0"/>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预测因子</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预测时期</w:t>
            </w:r>
          </w:p>
        </w:tc>
        <w:tc>
          <w:tcPr>
            <w:tcW w:w="10695" w:type="dxa"/>
            <w:gridSpan w:val="12"/>
            <w:noWrap w:val="0"/>
            <w:vAlign w:val="center"/>
          </w:tcPr>
          <w:p>
            <w:pPr>
              <w:spacing w:line="240" w:lineRule="auto"/>
              <w:ind w:firstLine="0" w:firstLineChars="0"/>
              <w:jc w:val="left"/>
              <w:rPr>
                <w:color w:val="auto"/>
                <w:kern w:val="0"/>
                <w:sz w:val="18"/>
                <w:szCs w:val="18"/>
              </w:rPr>
            </w:pPr>
            <w:r>
              <w:rPr>
                <w:color w:val="auto"/>
                <w:kern w:val="0"/>
                <w:sz w:val="18"/>
                <w:szCs w:val="18"/>
              </w:rPr>
              <w:t xml:space="preserve">丰水期 </w:t>
            </w:r>
            <w:r>
              <w:rPr>
                <w:rFonts w:ascii="宋体" w:hAnsi="宋体"/>
                <w:color w:val="auto"/>
                <w:kern w:val="0"/>
                <w:sz w:val="18"/>
                <w:szCs w:val="18"/>
              </w:rPr>
              <w:t>□；</w:t>
            </w:r>
            <w:r>
              <w:rPr>
                <w:color w:val="auto"/>
                <w:kern w:val="0"/>
                <w:sz w:val="18"/>
                <w:szCs w:val="18"/>
              </w:rPr>
              <w:t xml:space="preserve">平水期 </w:t>
            </w:r>
            <w:r>
              <w:rPr>
                <w:rFonts w:ascii="宋体" w:hAnsi="宋体"/>
                <w:color w:val="auto"/>
                <w:kern w:val="0"/>
                <w:sz w:val="18"/>
                <w:szCs w:val="18"/>
              </w:rPr>
              <w:t>□；</w:t>
            </w:r>
            <w:r>
              <w:rPr>
                <w:color w:val="auto"/>
                <w:kern w:val="0"/>
                <w:sz w:val="18"/>
                <w:szCs w:val="18"/>
              </w:rPr>
              <w:t xml:space="preserve">枯水期 </w:t>
            </w:r>
            <w:r>
              <w:rPr>
                <w:rFonts w:ascii="宋体" w:hAnsi="宋体"/>
                <w:color w:val="auto"/>
                <w:kern w:val="0"/>
                <w:sz w:val="18"/>
                <w:szCs w:val="18"/>
              </w:rPr>
              <w:t>□；</w:t>
            </w:r>
            <w:r>
              <w:rPr>
                <w:color w:val="auto"/>
                <w:kern w:val="0"/>
                <w:sz w:val="18"/>
                <w:szCs w:val="18"/>
              </w:rPr>
              <w:t xml:space="preserve">冰封期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春季 </w:t>
            </w:r>
            <w:r>
              <w:rPr>
                <w:rFonts w:ascii="宋体" w:hAnsi="宋体"/>
                <w:color w:val="auto"/>
                <w:kern w:val="0"/>
                <w:sz w:val="18"/>
                <w:szCs w:val="18"/>
              </w:rPr>
              <w:t>□；</w:t>
            </w:r>
            <w:r>
              <w:rPr>
                <w:color w:val="auto"/>
                <w:kern w:val="0"/>
                <w:sz w:val="18"/>
                <w:szCs w:val="18"/>
              </w:rPr>
              <w:t xml:space="preserve">夏季 </w:t>
            </w:r>
            <w:r>
              <w:rPr>
                <w:rFonts w:ascii="宋体" w:hAnsi="宋体"/>
                <w:color w:val="auto"/>
                <w:kern w:val="0"/>
                <w:sz w:val="18"/>
                <w:szCs w:val="18"/>
              </w:rPr>
              <w:t>□；</w:t>
            </w:r>
            <w:r>
              <w:rPr>
                <w:color w:val="auto"/>
                <w:kern w:val="0"/>
                <w:sz w:val="18"/>
                <w:szCs w:val="18"/>
              </w:rPr>
              <w:t xml:space="preserve">秋季 </w:t>
            </w:r>
            <w:r>
              <w:rPr>
                <w:rFonts w:ascii="宋体" w:hAnsi="宋体"/>
                <w:color w:val="auto"/>
                <w:kern w:val="0"/>
                <w:sz w:val="18"/>
                <w:szCs w:val="18"/>
              </w:rPr>
              <w:t>□；</w:t>
            </w:r>
            <w:r>
              <w:rPr>
                <w:color w:val="auto"/>
                <w:kern w:val="0"/>
                <w:sz w:val="18"/>
                <w:szCs w:val="18"/>
              </w:rPr>
              <w:t xml:space="preserve">冬季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设计水文条件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预测情景</w:t>
            </w:r>
          </w:p>
        </w:tc>
        <w:tc>
          <w:tcPr>
            <w:tcW w:w="10695" w:type="dxa"/>
            <w:gridSpan w:val="12"/>
            <w:noWrap w:val="0"/>
            <w:vAlign w:val="center"/>
          </w:tcPr>
          <w:p>
            <w:pPr>
              <w:spacing w:line="240" w:lineRule="auto"/>
              <w:ind w:firstLine="0" w:firstLineChars="0"/>
              <w:jc w:val="left"/>
              <w:rPr>
                <w:color w:val="auto"/>
                <w:kern w:val="0"/>
                <w:sz w:val="18"/>
                <w:szCs w:val="18"/>
              </w:rPr>
            </w:pPr>
            <w:r>
              <w:rPr>
                <w:color w:val="auto"/>
                <w:kern w:val="0"/>
                <w:sz w:val="18"/>
                <w:szCs w:val="18"/>
              </w:rPr>
              <w:t xml:space="preserve">建设期 </w:t>
            </w:r>
            <w:r>
              <w:rPr>
                <w:rFonts w:ascii="宋体" w:hAnsi="宋体"/>
                <w:color w:val="auto"/>
                <w:kern w:val="0"/>
                <w:sz w:val="18"/>
                <w:szCs w:val="18"/>
              </w:rPr>
              <w:t>□；</w:t>
            </w:r>
            <w:r>
              <w:rPr>
                <w:color w:val="auto"/>
                <w:kern w:val="0"/>
                <w:sz w:val="18"/>
                <w:szCs w:val="18"/>
              </w:rPr>
              <w:t xml:space="preserve">生产运行期 </w:t>
            </w:r>
            <w:r>
              <w:rPr>
                <w:rFonts w:ascii="宋体" w:hAnsi="宋体"/>
                <w:color w:val="auto"/>
                <w:kern w:val="0"/>
                <w:sz w:val="18"/>
                <w:szCs w:val="18"/>
              </w:rPr>
              <w:t>□；</w:t>
            </w:r>
            <w:r>
              <w:rPr>
                <w:color w:val="auto"/>
                <w:kern w:val="0"/>
                <w:sz w:val="18"/>
                <w:szCs w:val="18"/>
              </w:rPr>
              <w:t xml:space="preserve">服务期满后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正常工况 </w:t>
            </w:r>
            <w:r>
              <w:rPr>
                <w:rFonts w:ascii="宋体" w:hAnsi="宋体"/>
                <w:color w:val="auto"/>
                <w:kern w:val="0"/>
                <w:sz w:val="18"/>
                <w:szCs w:val="18"/>
              </w:rPr>
              <w:t>□；</w:t>
            </w:r>
            <w:r>
              <w:rPr>
                <w:color w:val="auto"/>
                <w:kern w:val="0"/>
                <w:sz w:val="18"/>
                <w:szCs w:val="18"/>
              </w:rPr>
              <w:t xml:space="preserve">非正常工况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污染控制和减缓措施方案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区（流）域环境质量改善目标要求情景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预测方法</w:t>
            </w:r>
          </w:p>
        </w:tc>
        <w:tc>
          <w:tcPr>
            <w:tcW w:w="10695" w:type="dxa"/>
            <w:gridSpan w:val="12"/>
            <w:noWrap/>
            <w:vAlign w:val="center"/>
          </w:tcPr>
          <w:p>
            <w:pPr>
              <w:spacing w:line="240" w:lineRule="auto"/>
              <w:ind w:firstLine="0" w:firstLineChars="0"/>
              <w:rPr>
                <w:rFonts w:ascii="宋体" w:hAnsi="宋体"/>
                <w:color w:val="auto"/>
                <w:kern w:val="0"/>
                <w:sz w:val="18"/>
                <w:szCs w:val="18"/>
              </w:rPr>
            </w:pPr>
            <w:r>
              <w:rPr>
                <w:color w:val="auto"/>
                <w:kern w:val="0"/>
                <w:sz w:val="18"/>
                <w:szCs w:val="18"/>
              </w:rPr>
              <w:t xml:space="preserve">数值解 </w:t>
            </w:r>
            <w:r>
              <w:rPr>
                <w:rFonts w:ascii="宋体" w:hAnsi="宋体"/>
                <w:color w:val="auto"/>
                <w:kern w:val="0"/>
                <w:sz w:val="18"/>
                <w:szCs w:val="18"/>
              </w:rPr>
              <w:t>□：</w:t>
            </w:r>
            <w:r>
              <w:rPr>
                <w:color w:val="auto"/>
                <w:kern w:val="0"/>
                <w:sz w:val="18"/>
                <w:szCs w:val="18"/>
              </w:rPr>
              <w:t xml:space="preserve">解析解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t>□</w:t>
            </w:r>
          </w:p>
          <w:p>
            <w:pPr>
              <w:spacing w:line="240" w:lineRule="auto"/>
              <w:ind w:firstLine="0" w:firstLineChars="0"/>
              <w:rPr>
                <w:rFonts w:hint="eastAsia"/>
                <w:color w:val="auto"/>
                <w:kern w:val="0"/>
                <w:sz w:val="18"/>
                <w:szCs w:val="18"/>
              </w:rPr>
            </w:pPr>
            <w:r>
              <w:rPr>
                <w:rFonts w:hint="eastAsia"/>
                <w:color w:val="auto"/>
                <w:kern w:val="0"/>
                <w:sz w:val="18"/>
                <w:szCs w:val="18"/>
              </w:rPr>
              <w:t xml:space="preserve">导则推荐模式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558" w:type="dxa"/>
            <w:vMerge w:val="restart"/>
            <w:noWrap/>
            <w:textDirection w:val="tbRlV"/>
            <w:vAlign w:val="center"/>
          </w:tcPr>
          <w:p>
            <w:pPr>
              <w:spacing w:line="240" w:lineRule="auto"/>
              <w:ind w:firstLine="360"/>
              <w:jc w:val="center"/>
              <w:rPr>
                <w:color w:val="auto"/>
                <w:kern w:val="0"/>
                <w:sz w:val="18"/>
                <w:szCs w:val="18"/>
              </w:rPr>
            </w:pPr>
            <w:r>
              <w:rPr>
                <w:color w:val="auto"/>
                <w:kern w:val="0"/>
                <w:sz w:val="18"/>
                <w:szCs w:val="18"/>
              </w:rPr>
              <w:t>影响评价</w:t>
            </w: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水污染控制和水环境影响减缓措施有效性评价</w:t>
            </w:r>
          </w:p>
        </w:tc>
        <w:tc>
          <w:tcPr>
            <w:tcW w:w="10695" w:type="dxa"/>
            <w:gridSpan w:val="12"/>
            <w:noWrap/>
            <w:vAlign w:val="center"/>
          </w:tcPr>
          <w:p>
            <w:pPr>
              <w:spacing w:line="240" w:lineRule="auto"/>
              <w:ind w:firstLine="0" w:firstLineChars="0"/>
              <w:jc w:val="left"/>
              <w:rPr>
                <w:color w:val="auto"/>
                <w:kern w:val="0"/>
                <w:sz w:val="18"/>
                <w:szCs w:val="18"/>
              </w:rPr>
            </w:pPr>
            <w:r>
              <w:rPr>
                <w:color w:val="auto"/>
                <w:kern w:val="0"/>
                <w:sz w:val="18"/>
                <w:szCs w:val="18"/>
              </w:rPr>
              <w:t xml:space="preserve">区（流）域水环境质量改善目标 </w:t>
            </w:r>
            <w:r>
              <w:rPr>
                <w:rFonts w:ascii="宋体" w:hAnsi="宋体"/>
                <w:color w:val="auto"/>
                <w:kern w:val="0"/>
                <w:sz w:val="18"/>
                <w:szCs w:val="18"/>
              </w:rPr>
              <w:t>□；</w:t>
            </w:r>
            <w:r>
              <w:rPr>
                <w:color w:val="auto"/>
                <w:kern w:val="0"/>
                <w:sz w:val="18"/>
                <w:szCs w:val="18"/>
              </w:rPr>
              <w:t xml:space="preserve">替代削减源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水环境影响评价</w:t>
            </w:r>
          </w:p>
        </w:tc>
        <w:tc>
          <w:tcPr>
            <w:tcW w:w="10695" w:type="dxa"/>
            <w:gridSpan w:val="12"/>
            <w:noWrap w:val="0"/>
            <w:vAlign w:val="center"/>
          </w:tcPr>
          <w:p>
            <w:pPr>
              <w:spacing w:line="240" w:lineRule="auto"/>
              <w:ind w:firstLine="0" w:firstLineChars="0"/>
              <w:jc w:val="left"/>
              <w:rPr>
                <w:color w:val="auto"/>
                <w:kern w:val="0"/>
                <w:sz w:val="18"/>
                <w:szCs w:val="18"/>
              </w:rPr>
            </w:pPr>
            <w:r>
              <w:rPr>
                <w:color w:val="auto"/>
                <w:kern w:val="0"/>
                <w:sz w:val="18"/>
                <w:szCs w:val="18"/>
              </w:rPr>
              <w:t>排</w:t>
            </w:r>
            <w:r>
              <w:rPr>
                <w:rFonts w:hint="eastAsia"/>
                <w:color w:val="auto"/>
                <w:kern w:val="0"/>
                <w:sz w:val="18"/>
                <w:szCs w:val="18"/>
              </w:rPr>
              <w:t>放</w:t>
            </w:r>
            <w:r>
              <w:rPr>
                <w:color w:val="auto"/>
                <w:kern w:val="0"/>
                <w:sz w:val="18"/>
                <w:szCs w:val="18"/>
              </w:rPr>
              <w:t>口混合区</w:t>
            </w:r>
            <w:r>
              <w:rPr>
                <w:rFonts w:hint="eastAsia"/>
                <w:color w:val="auto"/>
                <w:kern w:val="0"/>
                <w:sz w:val="18"/>
                <w:szCs w:val="18"/>
              </w:rPr>
              <w:t>外满足水</w:t>
            </w:r>
            <w:r>
              <w:rPr>
                <w:color w:val="auto"/>
                <w:kern w:val="0"/>
                <w:sz w:val="18"/>
                <w:szCs w:val="18"/>
              </w:rPr>
              <w:t xml:space="preserve">环境管理要求 </w:t>
            </w:r>
            <w:r>
              <w:rPr>
                <w:rFonts w:ascii="宋体" w:hAnsi="宋体"/>
                <w:color w:val="auto"/>
                <w:kern w:val="0"/>
                <w:sz w:val="18"/>
                <w:szCs w:val="18"/>
              </w:rPr>
              <w:t>□</w:t>
            </w:r>
            <w:r>
              <w:rPr>
                <w:color w:val="auto"/>
                <w:kern w:val="0"/>
                <w:sz w:val="18"/>
                <w:szCs w:val="18"/>
              </w:rPr>
              <w:br w:type="textWrapping"/>
            </w:r>
            <w:r>
              <w:rPr>
                <w:rFonts w:hint="eastAsia"/>
                <w:color w:val="auto"/>
                <w:kern w:val="0"/>
                <w:sz w:val="18"/>
                <w:szCs w:val="18"/>
              </w:rPr>
              <w:t>水环境功能区或水功能区</w:t>
            </w:r>
            <w:r>
              <w:rPr>
                <w:color w:val="auto"/>
                <w:kern w:val="0"/>
                <w:sz w:val="18"/>
                <w:szCs w:val="18"/>
              </w:rPr>
              <w:t xml:space="preserve">、近岸海域环境功能区水质达标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满足水环境保护目标水域水环境质量要求 </w:t>
            </w:r>
            <w:r>
              <w:rPr>
                <w:rFonts w:ascii="宋体" w:hAnsi="宋体"/>
                <w:color w:val="auto"/>
                <w:kern w:val="0"/>
                <w:sz w:val="18"/>
                <w:szCs w:val="18"/>
              </w:rPr>
              <w:t>□</w:t>
            </w:r>
            <w:r>
              <w:rPr>
                <w:color w:val="auto"/>
                <w:kern w:val="0"/>
                <w:sz w:val="18"/>
                <w:szCs w:val="18"/>
              </w:rPr>
              <w:br w:type="textWrapping"/>
            </w:r>
            <w:r>
              <w:rPr>
                <w:color w:val="auto"/>
                <w:kern w:val="0"/>
                <w:sz w:val="18"/>
                <w:szCs w:val="18"/>
              </w:rPr>
              <w:t>水环境控制单元</w:t>
            </w:r>
            <w:r>
              <w:rPr>
                <w:rFonts w:hint="eastAsia"/>
                <w:color w:val="auto"/>
                <w:kern w:val="0"/>
                <w:sz w:val="18"/>
                <w:szCs w:val="18"/>
              </w:rPr>
              <w:t>或</w:t>
            </w:r>
            <w:r>
              <w:rPr>
                <w:color w:val="auto"/>
                <w:kern w:val="0"/>
                <w:sz w:val="18"/>
                <w:szCs w:val="18"/>
              </w:rPr>
              <w:t xml:space="preserve">断面水质达标 </w:t>
            </w:r>
            <w:r>
              <w:rPr>
                <w:rFonts w:ascii="宋体" w:hAnsi="宋体"/>
                <w:color w:val="auto"/>
                <w:kern w:val="0"/>
                <w:sz w:val="18"/>
                <w:szCs w:val="18"/>
              </w:rPr>
              <w:t>□</w:t>
            </w:r>
            <w:r>
              <w:rPr>
                <w:rFonts w:ascii="宋体" w:hAnsi="宋体"/>
                <w:color w:val="auto"/>
                <w:kern w:val="0"/>
                <w:sz w:val="18"/>
                <w:szCs w:val="18"/>
              </w:rPr>
              <w:br w:type="textWrapping"/>
            </w:r>
            <w:r>
              <w:rPr>
                <w:color w:val="auto"/>
                <w:kern w:val="0"/>
                <w:sz w:val="18"/>
                <w:szCs w:val="18"/>
              </w:rPr>
              <w:t>满足重点水污染物排放总量控制指标要求</w:t>
            </w:r>
            <w:r>
              <w:rPr>
                <w:rFonts w:hint="eastAsia"/>
                <w:color w:val="auto"/>
                <w:kern w:val="0"/>
                <w:sz w:val="18"/>
                <w:szCs w:val="18"/>
              </w:rPr>
              <w:t>，重点行业建设项目， 主要污染物排放满足等量或减量替代要求</w:t>
            </w:r>
            <w:r>
              <w:rPr>
                <w:color w:val="auto"/>
                <w:kern w:val="0"/>
                <w:sz w:val="18"/>
                <w:szCs w:val="18"/>
              </w:rPr>
              <w:t xml:space="preserve"> </w:t>
            </w:r>
            <w:r>
              <w:rPr>
                <w:rFonts w:ascii="宋体" w:hAnsi="宋体"/>
                <w:color w:val="auto"/>
                <w:kern w:val="0"/>
                <w:sz w:val="18"/>
                <w:szCs w:val="18"/>
              </w:rPr>
              <w:t>□</w:t>
            </w:r>
          </w:p>
          <w:p>
            <w:pPr>
              <w:spacing w:line="240" w:lineRule="auto"/>
              <w:ind w:firstLine="0" w:firstLineChars="0"/>
              <w:jc w:val="left"/>
              <w:rPr>
                <w:color w:val="auto"/>
                <w:kern w:val="0"/>
                <w:sz w:val="18"/>
                <w:szCs w:val="18"/>
              </w:rPr>
            </w:pPr>
            <w:r>
              <w:rPr>
                <w:color w:val="auto"/>
                <w:kern w:val="0"/>
                <w:sz w:val="18"/>
                <w:szCs w:val="18"/>
              </w:rPr>
              <w:t xml:space="preserve">满足区（流）域水环境质量改善目标要求 </w:t>
            </w:r>
            <w:r>
              <w:rPr>
                <w:rFonts w:ascii="宋体" w:hAnsi="宋体"/>
                <w:color w:val="auto"/>
                <w:kern w:val="0"/>
                <w:sz w:val="18"/>
                <w:szCs w:val="18"/>
              </w:rPr>
              <w:t>□</w:t>
            </w:r>
            <w:r>
              <w:rPr>
                <w:color w:val="auto"/>
                <w:kern w:val="0"/>
                <w:sz w:val="18"/>
                <w:szCs w:val="18"/>
              </w:rPr>
              <w:br w:type="textWrapping"/>
            </w:r>
            <w:r>
              <w:rPr>
                <w:color w:val="auto"/>
                <w:kern w:val="0"/>
                <w:sz w:val="18"/>
                <w:szCs w:val="18"/>
              </w:rPr>
              <w:t>水文要素影响型建设项目同时应包括水文情势变化评价、</w:t>
            </w:r>
            <w:r>
              <w:rPr>
                <w:rFonts w:hint="eastAsia"/>
                <w:color w:val="auto"/>
                <w:kern w:val="0"/>
                <w:sz w:val="18"/>
                <w:szCs w:val="18"/>
              </w:rPr>
              <w:t>主要水文特征值影响评价、</w:t>
            </w:r>
            <w:r>
              <w:rPr>
                <w:color w:val="auto"/>
                <w:kern w:val="0"/>
                <w:sz w:val="18"/>
                <w:szCs w:val="18"/>
              </w:rPr>
              <w:t xml:space="preserve">生态流量符合性评价 </w:t>
            </w:r>
            <w:r>
              <w:rPr>
                <w:rFonts w:ascii="宋体" w:hAnsi="宋体"/>
                <w:color w:val="auto"/>
                <w:kern w:val="0"/>
                <w:sz w:val="18"/>
                <w:szCs w:val="18"/>
              </w:rPr>
              <w:t>□</w:t>
            </w:r>
            <w:r>
              <w:rPr>
                <w:color w:val="auto"/>
                <w:kern w:val="0"/>
                <w:sz w:val="18"/>
                <w:szCs w:val="18"/>
              </w:rPr>
              <w:br w:type="textWrapping"/>
            </w:r>
            <w:r>
              <w:rPr>
                <w:color w:val="auto"/>
                <w:kern w:val="0"/>
                <w:sz w:val="18"/>
                <w:szCs w:val="18"/>
              </w:rPr>
              <w:t>对于新设或调整入河（湖库、近岸海域）排放口的建设项目，应包括排</w:t>
            </w:r>
            <w:r>
              <w:rPr>
                <w:rFonts w:hint="eastAsia"/>
                <w:color w:val="auto"/>
                <w:kern w:val="0"/>
                <w:sz w:val="18"/>
                <w:szCs w:val="18"/>
              </w:rPr>
              <w:t>放</w:t>
            </w:r>
            <w:r>
              <w:rPr>
                <w:color w:val="auto"/>
                <w:kern w:val="0"/>
                <w:sz w:val="18"/>
                <w:szCs w:val="18"/>
              </w:rPr>
              <w:t xml:space="preserve">口设置的环境合理性评价 </w:t>
            </w:r>
            <w:r>
              <w:rPr>
                <w:rFonts w:ascii="宋体" w:hAnsi="宋体"/>
                <w:color w:val="auto"/>
                <w:kern w:val="0"/>
                <w:sz w:val="18"/>
                <w:szCs w:val="18"/>
              </w:rPr>
              <w:t>□</w:t>
            </w:r>
            <w:r>
              <w:rPr>
                <w:color w:val="auto"/>
                <w:kern w:val="0"/>
                <w:sz w:val="18"/>
                <w:szCs w:val="18"/>
              </w:rPr>
              <w:br w:type="textWrapping"/>
            </w:r>
            <w:r>
              <w:rPr>
                <w:color w:val="auto"/>
                <w:kern w:val="0"/>
                <w:sz w:val="18"/>
                <w:szCs w:val="18"/>
              </w:rPr>
              <w:t xml:space="preserve">满足生态保护红线、水环境质量底线、资源利用上线和环境准入清单管理要求 </w:t>
            </w:r>
            <w:r>
              <w:rPr>
                <w:rFonts w:ascii="宋体" w:hAnsi="宋体"/>
                <w:color w:val="auto"/>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rFonts w:hint="eastAsia"/>
                <w:color w:val="auto"/>
                <w:kern w:val="0"/>
                <w:sz w:val="18"/>
                <w:szCs w:val="18"/>
              </w:rPr>
              <w:t>污染源排放量</w:t>
            </w:r>
            <w:r>
              <w:rPr>
                <w:color w:val="auto"/>
                <w:kern w:val="0"/>
                <w:sz w:val="18"/>
                <w:szCs w:val="18"/>
              </w:rPr>
              <w:t>核算</w:t>
            </w:r>
          </w:p>
        </w:tc>
        <w:tc>
          <w:tcPr>
            <w:tcW w:w="3565" w:type="dxa"/>
            <w:gridSpan w:val="3"/>
            <w:noWrap/>
            <w:vAlign w:val="center"/>
          </w:tcPr>
          <w:p>
            <w:pPr>
              <w:spacing w:line="240" w:lineRule="auto"/>
              <w:ind w:firstLine="360"/>
              <w:jc w:val="center"/>
              <w:rPr>
                <w:color w:val="auto"/>
                <w:kern w:val="0"/>
                <w:sz w:val="18"/>
                <w:szCs w:val="18"/>
              </w:rPr>
            </w:pPr>
            <w:r>
              <w:rPr>
                <w:color w:val="auto"/>
                <w:kern w:val="0"/>
                <w:sz w:val="18"/>
                <w:szCs w:val="18"/>
              </w:rPr>
              <w:t>污染物名称</w:t>
            </w:r>
          </w:p>
        </w:tc>
        <w:tc>
          <w:tcPr>
            <w:tcW w:w="3565" w:type="dxa"/>
            <w:gridSpan w:val="5"/>
            <w:noWrap w:val="0"/>
            <w:vAlign w:val="center"/>
          </w:tcPr>
          <w:p>
            <w:pPr>
              <w:spacing w:line="240" w:lineRule="auto"/>
              <w:ind w:firstLine="360"/>
              <w:jc w:val="center"/>
              <w:rPr>
                <w:color w:val="auto"/>
                <w:kern w:val="0"/>
                <w:sz w:val="18"/>
                <w:szCs w:val="18"/>
              </w:rPr>
            </w:pPr>
            <w:r>
              <w:rPr>
                <w:color w:val="auto"/>
                <w:kern w:val="0"/>
                <w:sz w:val="18"/>
                <w:szCs w:val="18"/>
              </w:rPr>
              <w:t>排放量</w:t>
            </w:r>
            <w:r>
              <w:rPr>
                <w:rFonts w:hint="eastAsia"/>
                <w:color w:val="auto"/>
                <w:kern w:val="0"/>
                <w:sz w:val="18"/>
                <w:szCs w:val="18"/>
              </w:rPr>
              <w:t>/</w:t>
            </w:r>
            <w:r>
              <w:rPr>
                <w:color w:val="auto"/>
                <w:kern w:val="0"/>
                <w:sz w:val="18"/>
                <w:szCs w:val="18"/>
              </w:rPr>
              <w:t>（</w:t>
            </w:r>
            <w:r>
              <w:rPr>
                <w:rFonts w:hint="eastAsia" w:ascii="宋体" w:hAnsi="宋体"/>
                <w:color w:val="auto"/>
                <w:sz w:val="18"/>
                <w:szCs w:val="18"/>
              </w:rPr>
              <w:t>t/a</w:t>
            </w:r>
            <w:r>
              <w:rPr>
                <w:color w:val="auto"/>
                <w:kern w:val="0"/>
                <w:sz w:val="18"/>
                <w:szCs w:val="18"/>
              </w:rPr>
              <w:t>）</w:t>
            </w:r>
          </w:p>
        </w:tc>
        <w:tc>
          <w:tcPr>
            <w:tcW w:w="3565" w:type="dxa"/>
            <w:gridSpan w:val="4"/>
            <w:noWrap w:val="0"/>
            <w:vAlign w:val="center"/>
          </w:tcPr>
          <w:p>
            <w:pPr>
              <w:spacing w:line="240" w:lineRule="auto"/>
              <w:ind w:firstLine="360"/>
              <w:jc w:val="center"/>
              <w:rPr>
                <w:color w:val="auto"/>
                <w:kern w:val="0"/>
                <w:sz w:val="18"/>
                <w:szCs w:val="18"/>
              </w:rPr>
            </w:pPr>
            <w:r>
              <w:rPr>
                <w:color w:val="auto"/>
                <w:kern w:val="0"/>
                <w:sz w:val="18"/>
                <w:szCs w:val="18"/>
              </w:rPr>
              <w:t>排放浓度</w:t>
            </w:r>
            <w:r>
              <w:rPr>
                <w:rFonts w:hint="eastAsia"/>
                <w:color w:val="auto"/>
                <w:kern w:val="0"/>
                <w:sz w:val="18"/>
                <w:szCs w:val="18"/>
              </w:rPr>
              <w:t>/</w:t>
            </w:r>
            <w:r>
              <w:rPr>
                <w:color w:val="auto"/>
                <w:kern w:val="0"/>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3565" w:type="dxa"/>
            <w:gridSpan w:val="3"/>
            <w:noWrap/>
            <w:vAlign w:val="center"/>
          </w:tcPr>
          <w:p>
            <w:pPr>
              <w:spacing w:line="240" w:lineRule="auto"/>
              <w:ind w:firstLine="360"/>
              <w:jc w:val="left"/>
              <w:rPr>
                <w:color w:val="auto"/>
                <w:kern w:val="0"/>
                <w:sz w:val="18"/>
                <w:szCs w:val="18"/>
              </w:rPr>
            </w:pPr>
            <w:r>
              <w:rPr>
                <w:color w:val="auto"/>
                <w:kern w:val="0"/>
                <w:sz w:val="18"/>
                <w:szCs w:val="18"/>
              </w:rPr>
              <w:t>（</w:t>
            </w:r>
            <w:r>
              <w:rPr>
                <w:color w:val="auto"/>
                <w:sz w:val="21"/>
                <w:szCs w:val="21"/>
              </w:rPr>
              <w:t>COD</w:t>
            </w:r>
            <w:r>
              <w:rPr>
                <w:rFonts w:hint="eastAsia"/>
                <w:color w:val="auto"/>
                <w:sz w:val="21"/>
                <w:szCs w:val="21"/>
              </w:rPr>
              <w:t>、</w:t>
            </w:r>
            <w:r>
              <w:rPr>
                <w:color w:val="auto"/>
                <w:sz w:val="21"/>
                <w:szCs w:val="21"/>
              </w:rPr>
              <w:t>NH</w:t>
            </w:r>
            <w:r>
              <w:rPr>
                <w:color w:val="auto"/>
                <w:sz w:val="21"/>
                <w:szCs w:val="21"/>
                <w:vertAlign w:val="subscript"/>
              </w:rPr>
              <w:t>3</w:t>
            </w:r>
            <w:r>
              <w:rPr>
                <w:color w:val="auto"/>
                <w:sz w:val="21"/>
                <w:szCs w:val="21"/>
              </w:rPr>
              <w:t>-N</w:t>
            </w:r>
            <w:r>
              <w:rPr>
                <w:rFonts w:hint="eastAsia"/>
                <w:color w:val="auto"/>
                <w:kern w:val="0"/>
                <w:sz w:val="18"/>
                <w:szCs w:val="18"/>
                <w:lang w:eastAsia="zh-CN"/>
              </w:rPr>
              <w:t>、总铬</w:t>
            </w:r>
            <w:r>
              <w:rPr>
                <w:color w:val="auto"/>
                <w:kern w:val="0"/>
                <w:sz w:val="18"/>
                <w:szCs w:val="18"/>
              </w:rPr>
              <w:t xml:space="preserve">  ）</w:t>
            </w:r>
          </w:p>
        </w:tc>
        <w:tc>
          <w:tcPr>
            <w:tcW w:w="3565" w:type="dxa"/>
            <w:gridSpan w:val="5"/>
            <w:noWrap w:val="0"/>
            <w:vAlign w:val="center"/>
          </w:tcPr>
          <w:p>
            <w:pPr>
              <w:spacing w:line="240" w:lineRule="auto"/>
              <w:ind w:firstLine="360"/>
              <w:jc w:val="left"/>
              <w:rPr>
                <w:color w:val="auto"/>
                <w:kern w:val="0"/>
                <w:sz w:val="18"/>
                <w:szCs w:val="18"/>
              </w:rPr>
            </w:pPr>
            <w:r>
              <w:rPr>
                <w:color w:val="auto"/>
                <w:kern w:val="0"/>
                <w:sz w:val="18"/>
                <w:szCs w:val="18"/>
              </w:rPr>
              <w:t>（</w:t>
            </w:r>
            <w:r>
              <w:rPr>
                <w:rFonts w:hint="eastAsia"/>
                <w:color w:val="auto"/>
                <w:kern w:val="0"/>
                <w:sz w:val="18"/>
                <w:szCs w:val="18"/>
                <w:lang w:val="en-US" w:eastAsia="zh-CN"/>
              </w:rPr>
              <w:t>0.025</w:t>
            </w:r>
            <w:r>
              <w:rPr>
                <w:rFonts w:hint="eastAsia"/>
                <w:color w:val="auto"/>
                <w:kern w:val="0"/>
                <w:sz w:val="18"/>
                <w:szCs w:val="18"/>
              </w:rPr>
              <w:t>、0.0</w:t>
            </w:r>
            <w:r>
              <w:rPr>
                <w:rFonts w:hint="eastAsia"/>
                <w:color w:val="auto"/>
                <w:kern w:val="0"/>
                <w:sz w:val="18"/>
                <w:szCs w:val="18"/>
                <w:lang w:val="en-US" w:eastAsia="zh-CN"/>
              </w:rPr>
              <w:t>06、</w:t>
            </w:r>
            <w:r>
              <w:rPr>
                <w:color w:val="auto"/>
                <w:kern w:val="0"/>
                <w:sz w:val="18"/>
                <w:szCs w:val="18"/>
              </w:rPr>
              <w:t xml:space="preserve"> </w:t>
            </w:r>
            <w:r>
              <w:rPr>
                <w:rFonts w:hint="eastAsia"/>
                <w:color w:val="auto"/>
                <w:kern w:val="0"/>
                <w:sz w:val="18"/>
                <w:szCs w:val="18"/>
                <w:lang w:val="en-US" w:eastAsia="zh-CN"/>
              </w:rPr>
              <w:t>0.00053</w:t>
            </w:r>
            <w:r>
              <w:rPr>
                <w:color w:val="auto"/>
                <w:kern w:val="0"/>
                <w:sz w:val="18"/>
                <w:szCs w:val="18"/>
              </w:rPr>
              <w:t xml:space="preserve"> ）</w:t>
            </w:r>
          </w:p>
        </w:tc>
        <w:tc>
          <w:tcPr>
            <w:tcW w:w="3565" w:type="dxa"/>
            <w:gridSpan w:val="4"/>
            <w:noWrap w:val="0"/>
            <w:vAlign w:val="center"/>
          </w:tcPr>
          <w:p>
            <w:pPr>
              <w:spacing w:line="240" w:lineRule="auto"/>
              <w:ind w:firstLine="360"/>
              <w:jc w:val="left"/>
              <w:rPr>
                <w:color w:val="auto"/>
                <w:kern w:val="0"/>
                <w:sz w:val="18"/>
                <w:szCs w:val="18"/>
              </w:rPr>
            </w:pPr>
            <w:r>
              <w:rPr>
                <w:color w:val="auto"/>
                <w:kern w:val="0"/>
                <w:sz w:val="18"/>
                <w:szCs w:val="18"/>
              </w:rPr>
              <w:t xml:space="preserve">（ </w:t>
            </w:r>
            <w:r>
              <w:rPr>
                <w:rFonts w:hint="eastAsia"/>
                <w:color w:val="auto"/>
                <w:kern w:val="0"/>
                <w:sz w:val="18"/>
                <w:szCs w:val="18"/>
                <w:lang w:val="en-US" w:eastAsia="zh-CN"/>
              </w:rPr>
              <w:t>60</w:t>
            </w:r>
            <w:r>
              <w:rPr>
                <w:rFonts w:hint="eastAsia"/>
                <w:color w:val="auto"/>
                <w:kern w:val="0"/>
                <w:sz w:val="18"/>
                <w:szCs w:val="18"/>
              </w:rPr>
              <w:t>、</w:t>
            </w:r>
            <w:r>
              <w:rPr>
                <w:rFonts w:hint="eastAsia"/>
                <w:color w:val="auto"/>
                <w:kern w:val="0"/>
                <w:sz w:val="18"/>
                <w:szCs w:val="18"/>
                <w:lang w:val="en-US" w:eastAsia="zh-CN"/>
              </w:rPr>
              <w:t>15、1.0</w:t>
            </w:r>
            <w:r>
              <w:rPr>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rFonts w:hint="eastAsia"/>
                <w:color w:val="auto"/>
                <w:kern w:val="0"/>
                <w:sz w:val="18"/>
                <w:szCs w:val="18"/>
              </w:rPr>
              <w:t>替代源排放情况</w:t>
            </w:r>
          </w:p>
        </w:tc>
        <w:tc>
          <w:tcPr>
            <w:tcW w:w="2139" w:type="dxa"/>
            <w:noWrap/>
            <w:vAlign w:val="center"/>
          </w:tcPr>
          <w:p>
            <w:pPr>
              <w:spacing w:line="240" w:lineRule="auto"/>
              <w:ind w:firstLine="360"/>
              <w:jc w:val="left"/>
              <w:rPr>
                <w:color w:val="auto"/>
                <w:kern w:val="0"/>
                <w:sz w:val="18"/>
                <w:szCs w:val="18"/>
              </w:rPr>
            </w:pPr>
            <w:r>
              <w:rPr>
                <w:rFonts w:hint="eastAsia"/>
                <w:color w:val="auto"/>
                <w:kern w:val="0"/>
                <w:sz w:val="18"/>
                <w:szCs w:val="18"/>
              </w:rPr>
              <w:t>污染源名称</w:t>
            </w:r>
          </w:p>
        </w:tc>
        <w:tc>
          <w:tcPr>
            <w:tcW w:w="2138" w:type="dxa"/>
            <w:gridSpan w:val="3"/>
            <w:noWrap w:val="0"/>
            <w:vAlign w:val="center"/>
          </w:tcPr>
          <w:p>
            <w:pPr>
              <w:spacing w:line="240" w:lineRule="auto"/>
              <w:ind w:firstLine="360"/>
              <w:jc w:val="left"/>
              <w:rPr>
                <w:color w:val="auto"/>
                <w:kern w:val="0"/>
                <w:sz w:val="18"/>
                <w:szCs w:val="18"/>
              </w:rPr>
            </w:pPr>
            <w:r>
              <w:rPr>
                <w:rFonts w:hint="eastAsia"/>
                <w:color w:val="auto"/>
                <w:kern w:val="0"/>
                <w:sz w:val="18"/>
                <w:szCs w:val="18"/>
              </w:rPr>
              <w:t>排污许可证编号</w:t>
            </w:r>
          </w:p>
        </w:tc>
        <w:tc>
          <w:tcPr>
            <w:tcW w:w="2140" w:type="dxa"/>
            <w:gridSpan w:val="3"/>
            <w:noWrap w:val="0"/>
            <w:vAlign w:val="center"/>
          </w:tcPr>
          <w:p>
            <w:pPr>
              <w:spacing w:line="240" w:lineRule="auto"/>
              <w:ind w:firstLine="360"/>
              <w:jc w:val="left"/>
              <w:rPr>
                <w:color w:val="auto"/>
                <w:kern w:val="0"/>
                <w:sz w:val="18"/>
                <w:szCs w:val="18"/>
              </w:rPr>
            </w:pPr>
            <w:r>
              <w:rPr>
                <w:color w:val="auto"/>
                <w:kern w:val="0"/>
                <w:sz w:val="18"/>
                <w:szCs w:val="18"/>
              </w:rPr>
              <w:t>污染物名称</w:t>
            </w:r>
          </w:p>
        </w:tc>
        <w:tc>
          <w:tcPr>
            <w:tcW w:w="2139" w:type="dxa"/>
            <w:gridSpan w:val="2"/>
            <w:noWrap w:val="0"/>
            <w:vAlign w:val="center"/>
          </w:tcPr>
          <w:p>
            <w:pPr>
              <w:spacing w:line="240" w:lineRule="auto"/>
              <w:ind w:firstLine="360"/>
              <w:jc w:val="left"/>
              <w:rPr>
                <w:color w:val="auto"/>
                <w:kern w:val="0"/>
                <w:sz w:val="18"/>
                <w:szCs w:val="18"/>
              </w:rPr>
            </w:pPr>
            <w:r>
              <w:rPr>
                <w:color w:val="auto"/>
                <w:kern w:val="0"/>
                <w:sz w:val="18"/>
                <w:szCs w:val="18"/>
              </w:rPr>
              <w:t>排放量</w:t>
            </w:r>
            <w:r>
              <w:rPr>
                <w:rFonts w:hint="eastAsia"/>
                <w:color w:val="auto"/>
                <w:kern w:val="0"/>
                <w:sz w:val="18"/>
                <w:szCs w:val="18"/>
              </w:rPr>
              <w:t>/</w:t>
            </w:r>
            <w:r>
              <w:rPr>
                <w:color w:val="auto"/>
                <w:kern w:val="0"/>
                <w:sz w:val="18"/>
                <w:szCs w:val="18"/>
              </w:rPr>
              <w:t>（</w:t>
            </w:r>
            <w:r>
              <w:rPr>
                <w:rFonts w:hint="eastAsia" w:ascii="宋体" w:hAnsi="宋体"/>
                <w:color w:val="auto"/>
                <w:sz w:val="18"/>
                <w:szCs w:val="18"/>
              </w:rPr>
              <w:t>t/a</w:t>
            </w:r>
            <w:r>
              <w:rPr>
                <w:color w:val="auto"/>
                <w:kern w:val="0"/>
                <w:sz w:val="18"/>
                <w:szCs w:val="18"/>
              </w:rPr>
              <w:t>）</w:t>
            </w:r>
          </w:p>
        </w:tc>
        <w:tc>
          <w:tcPr>
            <w:tcW w:w="2139" w:type="dxa"/>
            <w:gridSpan w:val="3"/>
            <w:noWrap w:val="0"/>
            <w:vAlign w:val="center"/>
          </w:tcPr>
          <w:p>
            <w:pPr>
              <w:spacing w:line="240" w:lineRule="auto"/>
              <w:ind w:firstLine="360"/>
              <w:jc w:val="left"/>
              <w:rPr>
                <w:color w:val="auto"/>
                <w:kern w:val="0"/>
                <w:sz w:val="18"/>
                <w:szCs w:val="18"/>
              </w:rPr>
            </w:pPr>
            <w:r>
              <w:rPr>
                <w:color w:val="auto"/>
                <w:kern w:val="0"/>
                <w:sz w:val="18"/>
                <w:szCs w:val="18"/>
              </w:rPr>
              <w:t>排放浓度</w:t>
            </w:r>
            <w:r>
              <w:rPr>
                <w:rFonts w:hint="eastAsia"/>
                <w:color w:val="auto"/>
                <w:kern w:val="0"/>
                <w:sz w:val="18"/>
                <w:szCs w:val="18"/>
              </w:rPr>
              <w:t>/</w:t>
            </w:r>
            <w:r>
              <w:rPr>
                <w:color w:val="auto"/>
                <w:kern w:val="0"/>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rFonts w:hint="eastAsia"/>
                <w:color w:val="auto"/>
                <w:kern w:val="0"/>
                <w:sz w:val="18"/>
                <w:szCs w:val="18"/>
              </w:rPr>
            </w:pPr>
          </w:p>
        </w:tc>
        <w:tc>
          <w:tcPr>
            <w:tcW w:w="2139" w:type="dxa"/>
            <w:noWrap/>
            <w:vAlign w:val="center"/>
          </w:tcPr>
          <w:p>
            <w:pPr>
              <w:spacing w:line="240" w:lineRule="auto"/>
              <w:ind w:firstLine="360"/>
              <w:jc w:val="left"/>
              <w:rPr>
                <w:color w:val="auto"/>
                <w:kern w:val="0"/>
                <w:sz w:val="18"/>
                <w:szCs w:val="18"/>
              </w:rPr>
            </w:pPr>
            <w:r>
              <w:rPr>
                <w:color w:val="auto"/>
                <w:kern w:val="0"/>
                <w:sz w:val="18"/>
                <w:szCs w:val="18"/>
              </w:rPr>
              <w:t>（   ）</w:t>
            </w:r>
          </w:p>
        </w:tc>
        <w:tc>
          <w:tcPr>
            <w:tcW w:w="2138" w:type="dxa"/>
            <w:gridSpan w:val="3"/>
            <w:noWrap w:val="0"/>
            <w:vAlign w:val="center"/>
          </w:tcPr>
          <w:p>
            <w:pPr>
              <w:spacing w:line="240" w:lineRule="auto"/>
              <w:ind w:firstLine="360"/>
              <w:jc w:val="left"/>
              <w:rPr>
                <w:color w:val="auto"/>
                <w:kern w:val="0"/>
                <w:sz w:val="18"/>
                <w:szCs w:val="18"/>
              </w:rPr>
            </w:pPr>
            <w:r>
              <w:rPr>
                <w:color w:val="auto"/>
                <w:kern w:val="0"/>
                <w:sz w:val="18"/>
                <w:szCs w:val="18"/>
              </w:rPr>
              <w:t>（   ）</w:t>
            </w:r>
          </w:p>
        </w:tc>
        <w:tc>
          <w:tcPr>
            <w:tcW w:w="2140" w:type="dxa"/>
            <w:gridSpan w:val="3"/>
            <w:noWrap w:val="0"/>
            <w:vAlign w:val="center"/>
          </w:tcPr>
          <w:p>
            <w:pPr>
              <w:spacing w:line="240" w:lineRule="auto"/>
              <w:ind w:firstLine="360"/>
              <w:jc w:val="left"/>
              <w:rPr>
                <w:color w:val="auto"/>
                <w:kern w:val="0"/>
                <w:sz w:val="18"/>
                <w:szCs w:val="18"/>
              </w:rPr>
            </w:pPr>
            <w:r>
              <w:rPr>
                <w:color w:val="auto"/>
                <w:kern w:val="0"/>
                <w:sz w:val="18"/>
                <w:szCs w:val="18"/>
              </w:rPr>
              <w:t>（   ）</w:t>
            </w:r>
          </w:p>
        </w:tc>
        <w:tc>
          <w:tcPr>
            <w:tcW w:w="2139" w:type="dxa"/>
            <w:gridSpan w:val="2"/>
            <w:noWrap w:val="0"/>
            <w:vAlign w:val="center"/>
          </w:tcPr>
          <w:p>
            <w:pPr>
              <w:spacing w:line="240" w:lineRule="auto"/>
              <w:ind w:firstLine="360"/>
              <w:jc w:val="left"/>
              <w:rPr>
                <w:color w:val="auto"/>
                <w:kern w:val="0"/>
                <w:sz w:val="18"/>
                <w:szCs w:val="18"/>
              </w:rPr>
            </w:pPr>
            <w:r>
              <w:rPr>
                <w:color w:val="auto"/>
                <w:kern w:val="0"/>
                <w:sz w:val="18"/>
                <w:szCs w:val="18"/>
              </w:rPr>
              <w:t>（   ）</w:t>
            </w:r>
          </w:p>
        </w:tc>
        <w:tc>
          <w:tcPr>
            <w:tcW w:w="2139" w:type="dxa"/>
            <w:gridSpan w:val="3"/>
            <w:noWrap w:val="0"/>
            <w:vAlign w:val="center"/>
          </w:tcPr>
          <w:p>
            <w:pPr>
              <w:spacing w:line="240" w:lineRule="auto"/>
              <w:ind w:firstLine="360"/>
              <w:jc w:val="left"/>
              <w:rPr>
                <w:color w:val="auto"/>
                <w:kern w:val="0"/>
                <w:sz w:val="18"/>
                <w:szCs w:val="18"/>
              </w:rPr>
            </w:pPr>
            <w:r>
              <w:rPr>
                <w:color w:val="auto"/>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生态流量确定</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生态流量：一般水期（   ）m</w:t>
            </w:r>
            <w:r>
              <w:rPr>
                <w:color w:val="auto"/>
                <w:kern w:val="0"/>
                <w:sz w:val="18"/>
                <w:szCs w:val="18"/>
                <w:vertAlign w:val="superscript"/>
              </w:rPr>
              <w:t>3</w:t>
            </w:r>
            <w:r>
              <w:rPr>
                <w:color w:val="auto"/>
                <w:kern w:val="0"/>
                <w:sz w:val="18"/>
                <w:szCs w:val="18"/>
              </w:rPr>
              <w:t>/s；鱼类繁殖期（   ）m</w:t>
            </w:r>
            <w:r>
              <w:rPr>
                <w:color w:val="auto"/>
                <w:kern w:val="0"/>
                <w:sz w:val="18"/>
                <w:szCs w:val="18"/>
                <w:vertAlign w:val="superscript"/>
              </w:rPr>
              <w:t>3</w:t>
            </w:r>
            <w:r>
              <w:rPr>
                <w:color w:val="auto"/>
                <w:kern w:val="0"/>
                <w:sz w:val="18"/>
                <w:szCs w:val="18"/>
              </w:rPr>
              <w:t>/s；其他（   ）m</w:t>
            </w:r>
            <w:r>
              <w:rPr>
                <w:color w:val="auto"/>
                <w:kern w:val="0"/>
                <w:sz w:val="18"/>
                <w:szCs w:val="18"/>
                <w:vertAlign w:val="superscript"/>
              </w:rPr>
              <w:t>3</w:t>
            </w:r>
            <w:r>
              <w:rPr>
                <w:color w:val="auto"/>
                <w:kern w:val="0"/>
                <w:sz w:val="18"/>
                <w:szCs w:val="18"/>
              </w:rPr>
              <w:t>/s</w:t>
            </w:r>
          </w:p>
          <w:p>
            <w:pPr>
              <w:spacing w:line="240" w:lineRule="auto"/>
              <w:ind w:firstLine="360"/>
              <w:jc w:val="left"/>
              <w:rPr>
                <w:color w:val="auto"/>
                <w:kern w:val="0"/>
                <w:sz w:val="18"/>
                <w:szCs w:val="18"/>
              </w:rPr>
            </w:pPr>
            <w:r>
              <w:rPr>
                <w:color w:val="auto"/>
                <w:kern w:val="0"/>
                <w:sz w:val="18"/>
                <w:szCs w:val="18"/>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restart"/>
            <w:noWrap/>
            <w:textDirection w:val="tbRlV"/>
            <w:vAlign w:val="center"/>
          </w:tcPr>
          <w:p>
            <w:pPr>
              <w:spacing w:line="240" w:lineRule="auto"/>
              <w:ind w:firstLine="360"/>
              <w:jc w:val="center"/>
              <w:rPr>
                <w:color w:val="auto"/>
                <w:kern w:val="0"/>
                <w:sz w:val="18"/>
                <w:szCs w:val="18"/>
              </w:rPr>
            </w:pPr>
            <w:r>
              <w:rPr>
                <w:color w:val="auto"/>
                <w:kern w:val="0"/>
                <w:sz w:val="18"/>
                <w:szCs w:val="18"/>
              </w:rPr>
              <w:t>防治措施</w:t>
            </w: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环保措施</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 xml:space="preserve">污水处理设施 </w:t>
            </w:r>
            <w:r>
              <w:rPr>
                <w:rFonts w:ascii="宋体" w:hAnsi="宋体"/>
                <w:color w:val="auto"/>
                <w:kern w:val="0"/>
                <w:sz w:val="18"/>
                <w:szCs w:val="18"/>
              </w:rPr>
              <w:t>□；</w:t>
            </w:r>
            <w:r>
              <w:rPr>
                <w:color w:val="auto"/>
                <w:kern w:val="0"/>
                <w:sz w:val="18"/>
                <w:szCs w:val="18"/>
              </w:rPr>
              <w:t xml:space="preserve">水文减缓设施 </w:t>
            </w:r>
            <w:r>
              <w:rPr>
                <w:rFonts w:ascii="宋体" w:hAnsi="宋体"/>
                <w:color w:val="auto"/>
                <w:kern w:val="0"/>
                <w:sz w:val="18"/>
                <w:szCs w:val="18"/>
              </w:rPr>
              <w:t>□；</w:t>
            </w:r>
            <w:r>
              <w:rPr>
                <w:color w:val="auto"/>
                <w:kern w:val="0"/>
                <w:sz w:val="18"/>
                <w:szCs w:val="18"/>
              </w:rPr>
              <w:t xml:space="preserve">生态流量保障设施 </w:t>
            </w:r>
            <w:r>
              <w:rPr>
                <w:rFonts w:ascii="宋体" w:hAnsi="宋体"/>
                <w:color w:val="auto"/>
                <w:kern w:val="0"/>
                <w:sz w:val="18"/>
                <w:szCs w:val="18"/>
              </w:rPr>
              <w:t>□；</w:t>
            </w:r>
            <w:r>
              <w:rPr>
                <w:color w:val="auto"/>
                <w:kern w:val="0"/>
                <w:sz w:val="18"/>
                <w:szCs w:val="18"/>
              </w:rPr>
              <w:t xml:space="preserve">区域削减 </w:t>
            </w:r>
            <w:r>
              <w:rPr>
                <w:rFonts w:ascii="宋体" w:hAnsi="宋体"/>
                <w:color w:val="auto"/>
                <w:kern w:val="0"/>
                <w:sz w:val="18"/>
                <w:szCs w:val="18"/>
              </w:rPr>
              <w:t>□；</w:t>
            </w:r>
            <w:r>
              <w:rPr>
                <w:color w:val="auto"/>
                <w:kern w:val="0"/>
                <w:sz w:val="18"/>
                <w:szCs w:val="18"/>
              </w:rPr>
              <w:t xml:space="preserve">依托其他工程措施 </w:t>
            </w:r>
            <w:r>
              <w:rPr>
                <w:rFonts w:ascii="宋体" w:hAnsi="宋体"/>
                <w:color w:val="auto"/>
                <w:kern w:val="0"/>
                <w:sz w:val="18"/>
                <w:szCs w:val="18"/>
              </w:rPr>
              <w:t>□；</w:t>
            </w:r>
            <w:r>
              <w:rPr>
                <w:color w:val="auto"/>
                <w:kern w:val="0"/>
                <w:sz w:val="18"/>
                <w:szCs w:val="18"/>
              </w:rPr>
              <w:t xml:space="preserve">其他 </w:t>
            </w:r>
            <w:r>
              <w:rPr>
                <w:rFonts w:ascii="宋体" w:hAnsi="宋体"/>
                <w:color w:val="auto"/>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restart"/>
            <w:noWrap w:val="0"/>
            <w:vAlign w:val="center"/>
          </w:tcPr>
          <w:p>
            <w:pPr>
              <w:spacing w:line="240" w:lineRule="auto"/>
              <w:ind w:firstLine="360"/>
              <w:jc w:val="center"/>
              <w:rPr>
                <w:color w:val="auto"/>
                <w:kern w:val="0"/>
                <w:sz w:val="18"/>
                <w:szCs w:val="18"/>
              </w:rPr>
            </w:pPr>
            <w:r>
              <w:rPr>
                <w:color w:val="auto"/>
                <w:kern w:val="0"/>
                <w:sz w:val="18"/>
                <w:szCs w:val="18"/>
              </w:rPr>
              <w:t>监测计划</w:t>
            </w:r>
          </w:p>
        </w:tc>
        <w:tc>
          <w:tcPr>
            <w:tcW w:w="2322" w:type="dxa"/>
            <w:gridSpan w:val="2"/>
            <w:noWrap/>
            <w:vAlign w:val="center"/>
          </w:tcPr>
          <w:p>
            <w:pPr>
              <w:spacing w:line="240" w:lineRule="auto"/>
              <w:ind w:firstLine="360"/>
              <w:jc w:val="center"/>
              <w:rPr>
                <w:color w:val="auto"/>
                <w:kern w:val="0"/>
                <w:sz w:val="18"/>
                <w:szCs w:val="18"/>
              </w:rPr>
            </w:pPr>
          </w:p>
        </w:tc>
        <w:tc>
          <w:tcPr>
            <w:tcW w:w="3135" w:type="dxa"/>
            <w:gridSpan w:val="4"/>
            <w:noWrap w:val="0"/>
            <w:vAlign w:val="center"/>
          </w:tcPr>
          <w:p>
            <w:pPr>
              <w:spacing w:line="240" w:lineRule="auto"/>
              <w:ind w:firstLine="360"/>
              <w:jc w:val="center"/>
              <w:rPr>
                <w:color w:val="auto"/>
                <w:kern w:val="0"/>
                <w:sz w:val="18"/>
                <w:szCs w:val="18"/>
              </w:rPr>
            </w:pPr>
            <w:r>
              <w:rPr>
                <w:rFonts w:hint="eastAsia" w:ascii="宋体" w:hAnsi="宋体"/>
                <w:color w:val="auto"/>
                <w:kern w:val="0"/>
                <w:sz w:val="18"/>
                <w:szCs w:val="18"/>
              </w:rPr>
              <w:t>环境质量</w:t>
            </w:r>
          </w:p>
        </w:tc>
        <w:tc>
          <w:tcPr>
            <w:tcW w:w="5238" w:type="dxa"/>
            <w:gridSpan w:val="6"/>
            <w:noWrap w:val="0"/>
            <w:vAlign w:val="center"/>
          </w:tcPr>
          <w:p>
            <w:pPr>
              <w:spacing w:line="240" w:lineRule="auto"/>
              <w:ind w:firstLine="360"/>
              <w:jc w:val="center"/>
              <w:rPr>
                <w:color w:val="auto"/>
                <w:kern w:val="0"/>
                <w:sz w:val="18"/>
                <w:szCs w:val="18"/>
              </w:rPr>
            </w:pPr>
            <w:r>
              <w:rPr>
                <w:rFonts w:hint="eastAsia"/>
                <w:color w:val="auto"/>
                <w:kern w:val="0"/>
                <w:sz w:val="18"/>
                <w:szCs w:val="18"/>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2322" w:type="dxa"/>
            <w:gridSpan w:val="2"/>
            <w:noWrap/>
            <w:vAlign w:val="center"/>
          </w:tcPr>
          <w:p>
            <w:pPr>
              <w:spacing w:line="240" w:lineRule="auto"/>
              <w:ind w:firstLine="360"/>
              <w:jc w:val="center"/>
              <w:rPr>
                <w:rFonts w:hint="eastAsia" w:ascii="宋体" w:hAnsi="宋体"/>
                <w:color w:val="auto"/>
                <w:kern w:val="0"/>
                <w:sz w:val="18"/>
                <w:szCs w:val="18"/>
              </w:rPr>
            </w:pPr>
            <w:r>
              <w:rPr>
                <w:rFonts w:hint="eastAsia" w:ascii="宋体" w:hAnsi="宋体"/>
                <w:color w:val="auto"/>
                <w:kern w:val="0"/>
                <w:sz w:val="18"/>
                <w:szCs w:val="18"/>
              </w:rPr>
              <w:t>监测方式</w:t>
            </w:r>
          </w:p>
        </w:tc>
        <w:tc>
          <w:tcPr>
            <w:tcW w:w="3135" w:type="dxa"/>
            <w:gridSpan w:val="4"/>
            <w:noWrap w:val="0"/>
            <w:vAlign w:val="center"/>
          </w:tcPr>
          <w:p>
            <w:pPr>
              <w:spacing w:line="240" w:lineRule="auto"/>
              <w:ind w:firstLine="360"/>
              <w:jc w:val="center"/>
              <w:rPr>
                <w:rFonts w:hint="eastAsia" w:ascii="宋体" w:hAnsi="宋体"/>
                <w:b/>
                <w:color w:val="auto"/>
                <w:kern w:val="0"/>
                <w:sz w:val="18"/>
                <w:szCs w:val="18"/>
              </w:rPr>
            </w:pPr>
            <w:r>
              <w:rPr>
                <w:rFonts w:hint="eastAsia" w:ascii="宋体" w:hAnsi="宋体"/>
                <w:color w:val="auto"/>
                <w:kern w:val="0"/>
                <w:sz w:val="18"/>
                <w:szCs w:val="18"/>
              </w:rPr>
              <w:t xml:space="preserve">手动 </w:t>
            </w:r>
            <w:r>
              <w:rPr>
                <w:rFonts w:ascii="宋体" w:hAnsi="宋体"/>
                <w:color w:val="auto"/>
                <w:kern w:val="0"/>
                <w:sz w:val="18"/>
                <w:szCs w:val="18"/>
              </w:rPr>
              <w:sym w:font="Wingdings 2" w:char="0052"/>
            </w:r>
            <w:r>
              <w:rPr>
                <w:rFonts w:ascii="宋体" w:hAnsi="宋体"/>
                <w:color w:val="auto"/>
                <w:kern w:val="0"/>
                <w:sz w:val="18"/>
                <w:szCs w:val="18"/>
              </w:rPr>
              <w:t>；</w:t>
            </w:r>
            <w:r>
              <w:rPr>
                <w:rFonts w:hint="eastAsia" w:ascii="宋体" w:hAnsi="宋体"/>
                <w:color w:val="auto"/>
                <w:kern w:val="0"/>
                <w:sz w:val="18"/>
                <w:szCs w:val="18"/>
              </w:rPr>
              <w:t xml:space="preserve">自动 </w:t>
            </w:r>
            <w:r>
              <w:rPr>
                <w:rFonts w:ascii="宋体" w:hAnsi="宋体"/>
                <w:color w:val="auto"/>
                <w:kern w:val="0"/>
                <w:sz w:val="18"/>
                <w:szCs w:val="18"/>
              </w:rPr>
              <w:t>□</w:t>
            </w:r>
            <w:r>
              <w:rPr>
                <w:rFonts w:hint="eastAsia" w:ascii="宋体" w:hAnsi="宋体"/>
                <w:color w:val="auto"/>
                <w:kern w:val="0"/>
                <w:sz w:val="18"/>
                <w:szCs w:val="18"/>
              </w:rPr>
              <w:t xml:space="preserve">；无监测 </w:t>
            </w:r>
            <w:r>
              <w:rPr>
                <w:rFonts w:ascii="宋体" w:hAnsi="宋体"/>
                <w:color w:val="auto"/>
                <w:kern w:val="0"/>
                <w:sz w:val="18"/>
                <w:szCs w:val="18"/>
              </w:rPr>
              <w:t>□</w:t>
            </w:r>
          </w:p>
        </w:tc>
        <w:tc>
          <w:tcPr>
            <w:tcW w:w="5238" w:type="dxa"/>
            <w:gridSpan w:val="6"/>
            <w:noWrap w:val="0"/>
            <w:vAlign w:val="center"/>
          </w:tcPr>
          <w:p>
            <w:pPr>
              <w:spacing w:line="240" w:lineRule="auto"/>
              <w:ind w:firstLine="360"/>
              <w:jc w:val="center"/>
              <w:rPr>
                <w:rFonts w:hint="eastAsia"/>
                <w:color w:val="auto"/>
                <w:kern w:val="0"/>
                <w:sz w:val="18"/>
                <w:szCs w:val="18"/>
              </w:rPr>
            </w:pPr>
            <w:r>
              <w:rPr>
                <w:rFonts w:hint="eastAsia" w:ascii="宋体" w:hAnsi="宋体"/>
                <w:color w:val="auto"/>
                <w:kern w:val="0"/>
                <w:sz w:val="18"/>
                <w:szCs w:val="18"/>
              </w:rPr>
              <w:t xml:space="preserve">手动 </w:t>
            </w:r>
            <w:r>
              <w:rPr>
                <w:rFonts w:ascii="宋体" w:hAnsi="宋体"/>
                <w:color w:val="auto"/>
                <w:kern w:val="0"/>
                <w:sz w:val="18"/>
                <w:szCs w:val="18"/>
              </w:rPr>
              <w:sym w:font="Wingdings 2" w:char="0052"/>
            </w:r>
            <w:r>
              <w:rPr>
                <w:rFonts w:ascii="宋体" w:hAnsi="宋体"/>
                <w:color w:val="auto"/>
                <w:kern w:val="0"/>
                <w:sz w:val="18"/>
                <w:szCs w:val="18"/>
              </w:rPr>
              <w:t>；</w:t>
            </w:r>
            <w:r>
              <w:rPr>
                <w:rFonts w:hint="eastAsia" w:ascii="宋体" w:hAnsi="宋体"/>
                <w:color w:val="auto"/>
                <w:kern w:val="0"/>
                <w:sz w:val="18"/>
                <w:szCs w:val="18"/>
              </w:rPr>
              <w:t xml:space="preserve">自动 </w:t>
            </w:r>
            <w:r>
              <w:rPr>
                <w:rFonts w:ascii="宋体" w:hAnsi="宋体"/>
                <w:color w:val="auto"/>
                <w:kern w:val="0"/>
                <w:sz w:val="18"/>
                <w:szCs w:val="18"/>
              </w:rPr>
              <w:t>□</w:t>
            </w:r>
            <w:r>
              <w:rPr>
                <w:rFonts w:hint="eastAsia" w:ascii="宋体" w:hAnsi="宋体"/>
                <w:color w:val="auto"/>
                <w:kern w:val="0"/>
                <w:sz w:val="18"/>
                <w:szCs w:val="18"/>
              </w:rPr>
              <w:t xml:space="preserve">；无监测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2322" w:type="dxa"/>
            <w:gridSpan w:val="2"/>
            <w:noWrap/>
            <w:vAlign w:val="center"/>
          </w:tcPr>
          <w:p>
            <w:pPr>
              <w:spacing w:line="240" w:lineRule="auto"/>
              <w:ind w:firstLine="360"/>
              <w:jc w:val="center"/>
              <w:rPr>
                <w:rFonts w:hint="eastAsia" w:ascii="宋体" w:hAnsi="宋体"/>
                <w:color w:val="auto"/>
                <w:kern w:val="0"/>
                <w:sz w:val="18"/>
                <w:szCs w:val="18"/>
              </w:rPr>
            </w:pPr>
            <w:r>
              <w:rPr>
                <w:rFonts w:hint="eastAsia" w:ascii="宋体" w:hAnsi="宋体"/>
                <w:color w:val="auto"/>
                <w:kern w:val="0"/>
                <w:sz w:val="18"/>
                <w:szCs w:val="18"/>
              </w:rPr>
              <w:t>监测点位</w:t>
            </w:r>
          </w:p>
        </w:tc>
        <w:tc>
          <w:tcPr>
            <w:tcW w:w="3135" w:type="dxa"/>
            <w:gridSpan w:val="4"/>
            <w:noWrap w:val="0"/>
            <w:vAlign w:val="center"/>
          </w:tcPr>
          <w:p>
            <w:pPr>
              <w:spacing w:line="240" w:lineRule="auto"/>
              <w:ind w:firstLine="360"/>
              <w:jc w:val="center"/>
              <w:rPr>
                <w:rFonts w:hint="eastAsia" w:ascii="宋体" w:hAnsi="宋体"/>
                <w:color w:val="auto"/>
                <w:kern w:val="0"/>
                <w:sz w:val="18"/>
                <w:szCs w:val="18"/>
              </w:rPr>
            </w:pPr>
            <w:r>
              <w:rPr>
                <w:color w:val="auto"/>
                <w:kern w:val="0"/>
                <w:sz w:val="18"/>
                <w:szCs w:val="18"/>
              </w:rPr>
              <w:t>（</w:t>
            </w:r>
            <w:r>
              <w:rPr>
                <w:rFonts w:hint="eastAsia"/>
                <w:color w:val="auto"/>
                <w:kern w:val="0"/>
                <w:sz w:val="18"/>
                <w:szCs w:val="18"/>
              </w:rPr>
              <w:t>柏洋溪、滞洪区排海口断面</w:t>
            </w:r>
            <w:r>
              <w:rPr>
                <w:color w:val="auto"/>
                <w:kern w:val="0"/>
                <w:sz w:val="18"/>
                <w:szCs w:val="18"/>
              </w:rPr>
              <w:t>）</w:t>
            </w:r>
          </w:p>
        </w:tc>
        <w:tc>
          <w:tcPr>
            <w:tcW w:w="5238" w:type="dxa"/>
            <w:gridSpan w:val="6"/>
            <w:noWrap w:val="0"/>
            <w:vAlign w:val="center"/>
          </w:tcPr>
          <w:p>
            <w:pPr>
              <w:spacing w:line="240" w:lineRule="auto"/>
              <w:ind w:firstLine="360"/>
              <w:jc w:val="center"/>
              <w:rPr>
                <w:rFonts w:hint="eastAsia" w:ascii="宋体" w:hAnsi="宋体"/>
                <w:color w:val="auto"/>
                <w:kern w:val="0"/>
                <w:sz w:val="18"/>
                <w:szCs w:val="18"/>
              </w:rPr>
            </w:pPr>
            <w:r>
              <w:rPr>
                <w:color w:val="auto"/>
                <w:kern w:val="0"/>
                <w:sz w:val="18"/>
                <w:szCs w:val="18"/>
              </w:rPr>
              <w:t>（</w:t>
            </w:r>
            <w:r>
              <w:rPr>
                <w:rFonts w:hint="eastAsia"/>
                <w:color w:val="auto"/>
                <w:kern w:val="0"/>
                <w:sz w:val="18"/>
                <w:szCs w:val="18"/>
              </w:rPr>
              <w:t>含铬废水排放口</w:t>
            </w:r>
            <w:r>
              <w:rPr>
                <w:rFonts w:hint="eastAsia"/>
                <w:color w:val="auto"/>
                <w:kern w:val="0"/>
                <w:sz w:val="18"/>
                <w:szCs w:val="18"/>
                <w:lang w:eastAsia="zh-CN"/>
              </w:rPr>
              <w:t>；含镍废水排放口；含氰废水排放；含油废水排放口；综合废水排放口</w:t>
            </w: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vMerge w:val="continue"/>
            <w:noWrap w:val="0"/>
            <w:vAlign w:val="center"/>
          </w:tcPr>
          <w:p>
            <w:pPr>
              <w:spacing w:line="240" w:lineRule="auto"/>
              <w:ind w:firstLine="360"/>
              <w:jc w:val="center"/>
              <w:rPr>
                <w:color w:val="auto"/>
                <w:kern w:val="0"/>
                <w:sz w:val="18"/>
                <w:szCs w:val="18"/>
              </w:rPr>
            </w:pPr>
          </w:p>
        </w:tc>
        <w:tc>
          <w:tcPr>
            <w:tcW w:w="2322" w:type="dxa"/>
            <w:gridSpan w:val="2"/>
            <w:noWrap/>
            <w:vAlign w:val="center"/>
          </w:tcPr>
          <w:p>
            <w:pPr>
              <w:spacing w:line="240" w:lineRule="auto"/>
              <w:ind w:firstLine="360"/>
              <w:jc w:val="center"/>
              <w:rPr>
                <w:rFonts w:ascii="宋体" w:hAnsi="宋体"/>
                <w:color w:val="auto"/>
                <w:kern w:val="0"/>
                <w:sz w:val="18"/>
                <w:szCs w:val="18"/>
              </w:rPr>
            </w:pPr>
            <w:r>
              <w:rPr>
                <w:rFonts w:hint="eastAsia" w:ascii="宋体" w:hAnsi="宋体"/>
                <w:color w:val="auto"/>
                <w:kern w:val="0"/>
                <w:sz w:val="18"/>
                <w:szCs w:val="18"/>
              </w:rPr>
              <w:t>监测因子</w:t>
            </w:r>
          </w:p>
        </w:tc>
        <w:tc>
          <w:tcPr>
            <w:tcW w:w="3135" w:type="dxa"/>
            <w:gridSpan w:val="4"/>
            <w:noWrap w:val="0"/>
            <w:vAlign w:val="center"/>
          </w:tcPr>
          <w:p>
            <w:pPr>
              <w:spacing w:line="240" w:lineRule="auto"/>
              <w:ind w:firstLine="360"/>
              <w:jc w:val="center"/>
              <w:rPr>
                <w:rFonts w:ascii="宋体" w:hAnsi="宋体"/>
                <w:color w:val="auto"/>
                <w:kern w:val="0"/>
                <w:sz w:val="18"/>
                <w:szCs w:val="18"/>
              </w:rPr>
            </w:pPr>
            <w:r>
              <w:rPr>
                <w:color w:val="auto"/>
                <w:kern w:val="0"/>
                <w:sz w:val="18"/>
                <w:szCs w:val="18"/>
              </w:rPr>
              <w:t>（  pH</w:t>
            </w:r>
            <w:r>
              <w:rPr>
                <w:rFonts w:hint="eastAsia"/>
                <w:color w:val="auto"/>
                <w:kern w:val="0"/>
                <w:sz w:val="18"/>
                <w:szCs w:val="18"/>
              </w:rPr>
              <w:t>、</w:t>
            </w:r>
            <w:r>
              <w:rPr>
                <w:color w:val="auto"/>
                <w:kern w:val="0"/>
                <w:sz w:val="18"/>
                <w:szCs w:val="18"/>
              </w:rPr>
              <w:t>COD</w:t>
            </w:r>
            <w:r>
              <w:rPr>
                <w:rFonts w:hint="eastAsia"/>
                <w:color w:val="auto"/>
                <w:kern w:val="0"/>
                <w:sz w:val="18"/>
                <w:szCs w:val="18"/>
              </w:rPr>
              <w:t>、石油类、氨氮、总铬、六价铬、总镍、总氰化物</w:t>
            </w:r>
            <w:r>
              <w:rPr>
                <w:color w:val="auto"/>
                <w:kern w:val="0"/>
                <w:sz w:val="18"/>
                <w:szCs w:val="18"/>
              </w:rPr>
              <w:t xml:space="preserve"> ）</w:t>
            </w:r>
          </w:p>
        </w:tc>
        <w:tc>
          <w:tcPr>
            <w:tcW w:w="5238" w:type="dxa"/>
            <w:gridSpan w:val="6"/>
            <w:noWrap w:val="0"/>
            <w:vAlign w:val="top"/>
          </w:tcPr>
          <w:p>
            <w:pPr>
              <w:spacing w:line="240" w:lineRule="auto"/>
              <w:ind w:firstLine="0" w:firstLineChars="0"/>
              <w:jc w:val="center"/>
              <w:rPr>
                <w:rFonts w:hint="eastAsia"/>
                <w:color w:val="auto"/>
                <w:kern w:val="0"/>
                <w:sz w:val="18"/>
                <w:szCs w:val="18"/>
                <w:lang w:eastAsia="zh-CN"/>
              </w:rPr>
            </w:pPr>
            <w:r>
              <w:rPr>
                <w:color w:val="auto"/>
                <w:kern w:val="0"/>
                <w:sz w:val="18"/>
                <w:szCs w:val="18"/>
              </w:rPr>
              <w:t>（</w:t>
            </w:r>
            <w:r>
              <w:rPr>
                <w:rFonts w:hint="eastAsia"/>
                <w:color w:val="auto"/>
                <w:kern w:val="0"/>
                <w:sz w:val="18"/>
                <w:szCs w:val="18"/>
                <w:lang w:eastAsia="zh-CN"/>
              </w:rPr>
              <w:t>含铬废水排放口：废水排放量、总铬、六价铬、氟化物；</w:t>
            </w:r>
          </w:p>
          <w:p>
            <w:pPr>
              <w:spacing w:line="240" w:lineRule="auto"/>
              <w:ind w:firstLine="0" w:firstLineChars="0"/>
              <w:jc w:val="center"/>
              <w:rPr>
                <w:rFonts w:hint="eastAsia"/>
                <w:color w:val="auto"/>
                <w:kern w:val="0"/>
                <w:sz w:val="18"/>
                <w:szCs w:val="18"/>
                <w:lang w:eastAsia="zh-CN"/>
              </w:rPr>
            </w:pPr>
            <w:r>
              <w:rPr>
                <w:rFonts w:hint="eastAsia"/>
                <w:color w:val="auto"/>
                <w:kern w:val="0"/>
                <w:sz w:val="18"/>
                <w:szCs w:val="18"/>
                <w:lang w:eastAsia="zh-CN"/>
              </w:rPr>
              <w:t>含镍废水排放口：废水排放量、总镍；</w:t>
            </w:r>
          </w:p>
          <w:p>
            <w:pPr>
              <w:spacing w:line="240" w:lineRule="auto"/>
              <w:ind w:firstLine="0" w:firstLineChars="0"/>
              <w:jc w:val="center"/>
              <w:rPr>
                <w:rFonts w:hint="eastAsia"/>
                <w:color w:val="auto"/>
                <w:kern w:val="0"/>
                <w:sz w:val="18"/>
                <w:szCs w:val="18"/>
                <w:lang w:eastAsia="zh-CN"/>
              </w:rPr>
            </w:pPr>
            <w:r>
              <w:rPr>
                <w:rFonts w:hint="eastAsia"/>
                <w:color w:val="auto"/>
                <w:kern w:val="0"/>
                <w:sz w:val="18"/>
                <w:szCs w:val="18"/>
                <w:lang w:eastAsia="zh-CN"/>
              </w:rPr>
              <w:t>含氰废水排放口：废水排放量、总氰；</w:t>
            </w:r>
          </w:p>
          <w:p>
            <w:pPr>
              <w:spacing w:line="240" w:lineRule="auto"/>
              <w:ind w:firstLine="0" w:firstLineChars="0"/>
              <w:jc w:val="center"/>
              <w:rPr>
                <w:rFonts w:hint="eastAsia"/>
                <w:color w:val="auto"/>
                <w:kern w:val="0"/>
                <w:sz w:val="18"/>
                <w:szCs w:val="18"/>
                <w:lang w:eastAsia="zh-CN"/>
              </w:rPr>
            </w:pPr>
            <w:r>
              <w:rPr>
                <w:rFonts w:hint="eastAsia"/>
                <w:color w:val="auto"/>
                <w:kern w:val="0"/>
                <w:sz w:val="18"/>
                <w:szCs w:val="18"/>
                <w:lang w:eastAsia="zh-CN"/>
              </w:rPr>
              <w:t>含油废水排放口：废水排放量、石油类；</w:t>
            </w:r>
          </w:p>
          <w:p>
            <w:pPr>
              <w:spacing w:line="240" w:lineRule="auto"/>
              <w:ind w:firstLine="0" w:firstLineChars="0"/>
              <w:jc w:val="center"/>
              <w:rPr>
                <w:rFonts w:ascii="宋体" w:hAnsi="宋体"/>
                <w:color w:val="auto"/>
                <w:kern w:val="0"/>
                <w:sz w:val="18"/>
                <w:szCs w:val="18"/>
              </w:rPr>
            </w:pPr>
            <w:r>
              <w:rPr>
                <w:rFonts w:hint="eastAsia"/>
                <w:color w:val="auto"/>
                <w:kern w:val="0"/>
                <w:sz w:val="18"/>
                <w:szCs w:val="18"/>
                <w:lang w:eastAsia="zh-CN"/>
              </w:rPr>
              <w:t>综合废水排放口：废水排放量、pH、COD、氨氮、总铜</w:t>
            </w:r>
            <w:r>
              <w:rPr>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 w:type="dxa"/>
            <w:vMerge w:val="continue"/>
            <w:noWrap w:val="0"/>
            <w:vAlign w:val="center"/>
          </w:tcPr>
          <w:p>
            <w:pPr>
              <w:spacing w:line="240" w:lineRule="auto"/>
              <w:ind w:firstLine="360"/>
              <w:jc w:val="left"/>
              <w:rPr>
                <w:color w:val="auto"/>
                <w:kern w:val="0"/>
                <w:sz w:val="18"/>
                <w:szCs w:val="18"/>
              </w:rPr>
            </w:pPr>
          </w:p>
        </w:tc>
        <w:tc>
          <w:tcPr>
            <w:tcW w:w="2969" w:type="dxa"/>
            <w:noWrap w:val="0"/>
            <w:vAlign w:val="center"/>
          </w:tcPr>
          <w:p>
            <w:pPr>
              <w:spacing w:line="240" w:lineRule="auto"/>
              <w:ind w:firstLine="360"/>
              <w:jc w:val="center"/>
              <w:rPr>
                <w:color w:val="auto"/>
                <w:kern w:val="0"/>
                <w:sz w:val="18"/>
                <w:szCs w:val="18"/>
              </w:rPr>
            </w:pPr>
            <w:r>
              <w:rPr>
                <w:color w:val="auto"/>
                <w:kern w:val="0"/>
                <w:sz w:val="18"/>
                <w:szCs w:val="18"/>
              </w:rPr>
              <w:t>污染物排放清单</w:t>
            </w:r>
          </w:p>
        </w:tc>
        <w:tc>
          <w:tcPr>
            <w:tcW w:w="10695" w:type="dxa"/>
            <w:gridSpan w:val="12"/>
            <w:noWrap/>
            <w:vAlign w:val="center"/>
          </w:tcPr>
          <w:p>
            <w:pPr>
              <w:spacing w:line="240" w:lineRule="auto"/>
              <w:ind w:firstLine="360"/>
              <w:jc w:val="left"/>
              <w:rPr>
                <w:color w:val="auto"/>
                <w:kern w:val="0"/>
                <w:sz w:val="18"/>
                <w:szCs w:val="18"/>
              </w:rPr>
            </w:pPr>
            <w:r>
              <w:rPr>
                <w:rFonts w:ascii="宋体" w:hAnsi="宋体"/>
                <w:color w:val="auto"/>
                <w:kern w:val="0"/>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27" w:type="dxa"/>
            <w:gridSpan w:val="2"/>
            <w:noWrap/>
            <w:vAlign w:val="center"/>
          </w:tcPr>
          <w:p>
            <w:pPr>
              <w:spacing w:line="240" w:lineRule="auto"/>
              <w:ind w:firstLine="360"/>
              <w:jc w:val="center"/>
              <w:rPr>
                <w:color w:val="auto"/>
                <w:kern w:val="0"/>
                <w:sz w:val="18"/>
                <w:szCs w:val="18"/>
              </w:rPr>
            </w:pPr>
            <w:r>
              <w:rPr>
                <w:color w:val="auto"/>
                <w:kern w:val="0"/>
                <w:sz w:val="18"/>
                <w:szCs w:val="18"/>
              </w:rPr>
              <w:t>评价结论</w:t>
            </w:r>
          </w:p>
        </w:tc>
        <w:tc>
          <w:tcPr>
            <w:tcW w:w="10695" w:type="dxa"/>
            <w:gridSpan w:val="12"/>
            <w:noWrap/>
            <w:vAlign w:val="center"/>
          </w:tcPr>
          <w:p>
            <w:pPr>
              <w:spacing w:line="240" w:lineRule="auto"/>
              <w:ind w:firstLine="360"/>
              <w:jc w:val="left"/>
              <w:rPr>
                <w:color w:val="auto"/>
                <w:kern w:val="0"/>
                <w:sz w:val="18"/>
                <w:szCs w:val="18"/>
              </w:rPr>
            </w:pPr>
            <w:r>
              <w:rPr>
                <w:color w:val="auto"/>
                <w:kern w:val="0"/>
                <w:sz w:val="18"/>
                <w:szCs w:val="18"/>
              </w:rPr>
              <w:t>可</w:t>
            </w:r>
            <w:r>
              <w:rPr>
                <w:rFonts w:hint="eastAsia"/>
                <w:color w:val="auto"/>
                <w:kern w:val="0"/>
                <w:sz w:val="18"/>
                <w:szCs w:val="18"/>
              </w:rPr>
              <w:t>以</w:t>
            </w:r>
            <w:r>
              <w:rPr>
                <w:color w:val="auto"/>
                <w:kern w:val="0"/>
                <w:sz w:val="18"/>
                <w:szCs w:val="18"/>
              </w:rPr>
              <w:t xml:space="preserve">接受 </w:t>
            </w:r>
            <w:r>
              <w:rPr>
                <w:rFonts w:ascii="宋体" w:hAnsi="宋体"/>
                <w:color w:val="auto"/>
                <w:kern w:val="0"/>
                <w:sz w:val="18"/>
                <w:szCs w:val="18"/>
              </w:rPr>
              <w:sym w:font="Wingdings 2" w:char="0052"/>
            </w:r>
            <w:r>
              <w:rPr>
                <w:rFonts w:ascii="宋体" w:hAnsi="宋体"/>
                <w:color w:val="auto"/>
                <w:kern w:val="0"/>
                <w:sz w:val="18"/>
                <w:szCs w:val="18"/>
              </w:rPr>
              <w:t>；</w:t>
            </w:r>
            <w:r>
              <w:rPr>
                <w:color w:val="auto"/>
                <w:kern w:val="0"/>
                <w:sz w:val="18"/>
                <w:szCs w:val="18"/>
              </w:rPr>
              <w:t>不可</w:t>
            </w:r>
            <w:r>
              <w:rPr>
                <w:rFonts w:hint="eastAsia"/>
                <w:color w:val="auto"/>
                <w:kern w:val="0"/>
                <w:sz w:val="18"/>
                <w:szCs w:val="18"/>
              </w:rPr>
              <w:t>以</w:t>
            </w:r>
            <w:r>
              <w:rPr>
                <w:color w:val="auto"/>
                <w:kern w:val="0"/>
                <w:sz w:val="18"/>
                <w:szCs w:val="18"/>
              </w:rPr>
              <w:t xml:space="preserve">接受 </w:t>
            </w:r>
            <w:r>
              <w:rPr>
                <w:rFonts w:ascii="宋体" w:hAnsi="宋体"/>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22" w:type="dxa"/>
            <w:gridSpan w:val="14"/>
            <w:noWrap/>
            <w:vAlign w:val="center"/>
          </w:tcPr>
          <w:p>
            <w:pPr>
              <w:spacing w:line="240" w:lineRule="auto"/>
              <w:ind w:firstLine="360"/>
              <w:jc w:val="left"/>
              <w:rPr>
                <w:color w:val="auto"/>
                <w:kern w:val="0"/>
                <w:sz w:val="18"/>
                <w:szCs w:val="18"/>
              </w:rPr>
            </w:pPr>
            <w:r>
              <w:rPr>
                <w:rFonts w:hint="eastAsia"/>
                <w:color w:val="auto"/>
                <w:kern w:val="0"/>
                <w:sz w:val="18"/>
                <w:szCs w:val="18"/>
              </w:rPr>
              <w:t>注：“</w:t>
            </w:r>
            <w:r>
              <w:rPr>
                <w:rFonts w:ascii="宋体" w:hAnsi="宋体"/>
                <w:color w:val="auto"/>
                <w:kern w:val="0"/>
                <w:sz w:val="18"/>
                <w:szCs w:val="18"/>
              </w:rPr>
              <w:t>□</w:t>
            </w:r>
            <w:r>
              <w:rPr>
                <w:rFonts w:hint="eastAsia"/>
                <w:color w:val="auto"/>
                <w:kern w:val="0"/>
                <w:sz w:val="18"/>
                <w:szCs w:val="18"/>
              </w:rPr>
              <w:t>”为勾选项，可</w:t>
            </w:r>
            <w:r>
              <w:rPr>
                <w:rFonts w:hint="eastAsia" w:ascii="宋体" w:hAnsi="宋体"/>
                <w:color w:val="auto"/>
                <w:kern w:val="0"/>
                <w:sz w:val="18"/>
                <w:szCs w:val="18"/>
              </w:rPr>
              <w:t>√</w:t>
            </w:r>
            <w:r>
              <w:rPr>
                <w:rFonts w:hint="eastAsia"/>
                <w:color w:val="auto"/>
                <w:kern w:val="0"/>
                <w:sz w:val="18"/>
                <w:szCs w:val="18"/>
              </w:rPr>
              <w:t>；“</w:t>
            </w:r>
            <w:r>
              <w:rPr>
                <w:color w:val="auto"/>
                <w:kern w:val="0"/>
                <w:sz w:val="18"/>
                <w:szCs w:val="18"/>
              </w:rPr>
              <w:t>（   ）</w:t>
            </w:r>
            <w:r>
              <w:rPr>
                <w:rFonts w:hint="eastAsia"/>
                <w:color w:val="auto"/>
                <w:kern w:val="0"/>
                <w:sz w:val="18"/>
                <w:szCs w:val="18"/>
              </w:rPr>
              <w:t>”为内容填写项；“备注”为其他补充内容。</w:t>
            </w:r>
          </w:p>
        </w:tc>
      </w:tr>
    </w:tbl>
    <w:p>
      <w:pPr>
        <w:pStyle w:val="104"/>
        <w:spacing w:line="360" w:lineRule="auto"/>
        <w:ind w:right="50" w:rightChars="24"/>
        <w:rPr>
          <w:rFonts w:hint="eastAsia"/>
          <w:color w:val="auto"/>
          <w:sz w:val="24"/>
        </w:rPr>
        <w:sectPr>
          <w:pgSz w:w="16838" w:h="11906" w:orient="landscape"/>
          <w:pgMar w:top="1417" w:right="1417" w:bottom="1417" w:left="1417" w:header="992" w:footer="992" w:gutter="0"/>
          <w:pgBorders>
            <w:top w:val="none" w:sz="0" w:space="0"/>
            <w:left w:val="none" w:sz="0" w:space="0"/>
            <w:bottom w:val="none" w:sz="0" w:space="0"/>
            <w:right w:val="none" w:sz="0" w:space="0"/>
          </w:pgBorders>
          <w:cols w:space="0" w:num="1"/>
          <w:rtlGutter w:val="0"/>
          <w:docGrid w:linePitch="312" w:charSpace="0"/>
        </w:sectPr>
      </w:pPr>
    </w:p>
    <w:p>
      <w:pPr>
        <w:pStyle w:val="37"/>
        <w:snapToGrid w:val="0"/>
        <w:spacing w:line="360" w:lineRule="auto"/>
        <w:rPr>
          <w:rFonts w:ascii="Times New Roman" w:hAnsi="Times New Roman"/>
          <w:color w:val="auto"/>
        </w:rPr>
      </w:pPr>
      <w:r>
        <w:rPr>
          <w:rFonts w:ascii="Times New Roman" w:hAnsi="Times New Roman"/>
          <w:color w:val="auto"/>
        </w:rPr>
        <w:t xml:space="preserve">7.2 </w:t>
      </w:r>
      <w:r>
        <w:rPr>
          <w:rFonts w:hint="eastAsia" w:ascii="Times New Roman" w:hAnsi="Times New Roman"/>
          <w:color w:val="auto"/>
        </w:rPr>
        <w:t>环境空气影响评价</w:t>
      </w:r>
    </w:p>
    <w:p>
      <w:pPr>
        <w:spacing w:line="360" w:lineRule="auto"/>
        <w:ind w:firstLine="480"/>
        <w:rPr>
          <w:color w:val="auto"/>
          <w:sz w:val="24"/>
        </w:rPr>
      </w:pPr>
      <w:r>
        <w:rPr>
          <w:rFonts w:hint="eastAsia"/>
          <w:color w:val="auto"/>
          <w:sz w:val="24"/>
        </w:rPr>
        <w:t>本项目主要产生的废气污染物为铬酸雾、酸雾、氯化氢、氰化氢，通过对铬酸雾用</w:t>
      </w:r>
      <w:r>
        <w:rPr>
          <w:color w:val="auto"/>
          <w:sz w:val="24"/>
        </w:rPr>
        <w:t>“</w:t>
      </w:r>
      <w:r>
        <w:rPr>
          <w:rFonts w:hint="eastAsia"/>
          <w:color w:val="auto"/>
          <w:sz w:val="24"/>
        </w:rPr>
        <w:t>网格式净化回收塔</w:t>
      </w:r>
      <w:r>
        <w:rPr>
          <w:color w:val="auto"/>
          <w:sz w:val="24"/>
        </w:rPr>
        <w:t>”</w:t>
      </w:r>
      <w:r>
        <w:rPr>
          <w:rFonts w:hint="eastAsia"/>
          <w:color w:val="auto"/>
          <w:sz w:val="24"/>
        </w:rPr>
        <w:t>净化，对</w:t>
      </w:r>
      <w:r>
        <w:rPr>
          <w:color w:val="auto"/>
          <w:sz w:val="24"/>
        </w:rPr>
        <w:t>氯化氢、</w:t>
      </w:r>
      <w:r>
        <w:rPr>
          <w:rFonts w:hint="eastAsia"/>
          <w:color w:val="auto"/>
          <w:sz w:val="24"/>
        </w:rPr>
        <w:t>酸雾采取收集碱喷淋，氰化氢采用“氰净化塔”进行处置。因此本项目所排放的废气污染物执行《电镀污染物排放标准》（GB21900-2008）中表5的排放限值，即铬酸雾≤0.05mg/m</w:t>
      </w:r>
      <w:r>
        <w:rPr>
          <w:rFonts w:hint="eastAsia"/>
          <w:color w:val="auto"/>
          <w:sz w:val="24"/>
          <w:vertAlign w:val="superscript"/>
        </w:rPr>
        <w:t>3</w:t>
      </w:r>
      <w:r>
        <w:rPr>
          <w:rFonts w:hint="eastAsia"/>
          <w:color w:val="auto"/>
          <w:sz w:val="24"/>
        </w:rPr>
        <w:t>，氯化氢≤30mg/m</w:t>
      </w:r>
      <w:r>
        <w:rPr>
          <w:rFonts w:hint="eastAsia"/>
          <w:color w:val="auto"/>
          <w:sz w:val="24"/>
          <w:vertAlign w:val="superscript"/>
        </w:rPr>
        <w:t>3</w:t>
      </w:r>
      <w:r>
        <w:rPr>
          <w:rFonts w:hint="eastAsia"/>
          <w:color w:val="auto"/>
          <w:sz w:val="24"/>
        </w:rPr>
        <w:t>，</w:t>
      </w:r>
      <w:r>
        <w:rPr>
          <w:color w:val="auto"/>
          <w:sz w:val="24"/>
        </w:rPr>
        <w:t>硫酸雾</w:t>
      </w:r>
      <w:r>
        <w:rPr>
          <w:rFonts w:hint="eastAsia"/>
          <w:color w:val="auto"/>
          <w:sz w:val="24"/>
        </w:rPr>
        <w:t>≤30mg/m</w:t>
      </w:r>
      <w:r>
        <w:rPr>
          <w:rFonts w:hint="eastAsia"/>
          <w:color w:val="auto"/>
          <w:sz w:val="24"/>
          <w:vertAlign w:val="superscript"/>
        </w:rPr>
        <w:t>3</w:t>
      </w:r>
      <w:r>
        <w:rPr>
          <w:rFonts w:hint="eastAsia"/>
          <w:color w:val="auto"/>
          <w:sz w:val="24"/>
        </w:rPr>
        <w:t>；由于受当地的气象限制，企业所建氰净化塔的排气筒无法达到25米的最低标准，因此根据要求，其排放浓度从严要求50%，即氰化氢≤0.25mg/m</w:t>
      </w:r>
      <w:r>
        <w:rPr>
          <w:rFonts w:hint="eastAsia"/>
          <w:color w:val="auto"/>
          <w:sz w:val="24"/>
          <w:vertAlign w:val="superscript"/>
        </w:rPr>
        <w:t>3</w:t>
      </w:r>
      <w:r>
        <w:rPr>
          <w:rFonts w:hint="eastAsia"/>
          <w:color w:val="auto"/>
          <w:sz w:val="24"/>
        </w:rPr>
        <w:t>，根据附录大气环境影响专题评价分析结果，项目排放的污染物能够达标；同时根据估算模式及大气环境防护距离计算结果，项目排放废气污染物对周围大气环境及项目周围敏感点影响不大。详见大气专题评价。</w:t>
      </w:r>
    </w:p>
    <w:p>
      <w:pPr>
        <w:snapToGrid w:val="0"/>
        <w:spacing w:line="360" w:lineRule="auto"/>
        <w:outlineLvl w:val="1"/>
        <w:rPr>
          <w:b/>
          <w:color w:val="auto"/>
          <w:sz w:val="28"/>
          <w:szCs w:val="28"/>
        </w:rPr>
      </w:pPr>
      <w:r>
        <w:rPr>
          <w:b/>
          <w:color w:val="auto"/>
          <w:sz w:val="28"/>
          <w:szCs w:val="28"/>
        </w:rPr>
        <w:t>7.3</w:t>
      </w:r>
      <w:r>
        <w:rPr>
          <w:rFonts w:hint="eastAsia"/>
          <w:b/>
          <w:color w:val="auto"/>
          <w:sz w:val="28"/>
          <w:szCs w:val="28"/>
        </w:rPr>
        <w:t>运营期声环境影响分析</w:t>
      </w:r>
    </w:p>
    <w:p>
      <w:pPr>
        <w:spacing w:line="360" w:lineRule="auto"/>
        <w:ind w:firstLine="480"/>
        <w:rPr>
          <w:rFonts w:hAnsi="宋体"/>
          <w:color w:val="auto"/>
          <w:sz w:val="24"/>
        </w:rPr>
      </w:pPr>
      <w:r>
        <w:rPr>
          <w:rFonts w:hAnsi="宋体"/>
          <w:color w:val="auto"/>
          <w:sz w:val="24"/>
        </w:rPr>
        <w:t>本项目位于福鼎</w:t>
      </w:r>
      <w:r>
        <w:rPr>
          <w:rFonts w:hint="eastAsia" w:hAnsi="宋体"/>
          <w:color w:val="auto"/>
          <w:sz w:val="24"/>
        </w:rPr>
        <w:t>文渡工业集中区内</w:t>
      </w:r>
      <w:r>
        <w:rPr>
          <w:rFonts w:hAnsi="宋体"/>
          <w:color w:val="auto"/>
          <w:sz w:val="24"/>
        </w:rPr>
        <w:t>，所在区域声环境执行《声环境质量标准》（</w:t>
      </w:r>
      <w:r>
        <w:rPr>
          <w:color w:val="auto"/>
          <w:sz w:val="24"/>
        </w:rPr>
        <w:t>GB3096-2008</w:t>
      </w:r>
      <w:r>
        <w:rPr>
          <w:rFonts w:hAnsi="宋体"/>
          <w:color w:val="auto"/>
          <w:sz w:val="24"/>
        </w:rPr>
        <w:t>）中</w:t>
      </w:r>
      <w:r>
        <w:rPr>
          <w:color w:val="auto"/>
          <w:sz w:val="24"/>
        </w:rPr>
        <w:t>3</w:t>
      </w:r>
      <w:r>
        <w:rPr>
          <w:rFonts w:hAnsi="宋体"/>
          <w:color w:val="auto"/>
          <w:sz w:val="24"/>
        </w:rPr>
        <w:t>类区标准，即昼间</w:t>
      </w:r>
      <w:r>
        <w:rPr>
          <w:color w:val="auto"/>
          <w:sz w:val="24"/>
        </w:rPr>
        <w:t>≤65dB</w:t>
      </w:r>
      <w:r>
        <w:rPr>
          <w:rFonts w:hAnsi="宋体"/>
          <w:color w:val="auto"/>
          <w:sz w:val="24"/>
        </w:rPr>
        <w:t>，夜间</w:t>
      </w:r>
      <w:r>
        <w:rPr>
          <w:color w:val="auto"/>
          <w:sz w:val="24"/>
        </w:rPr>
        <w:t>≤55dB</w:t>
      </w:r>
      <w:r>
        <w:rPr>
          <w:rFonts w:hAnsi="宋体"/>
          <w:color w:val="auto"/>
          <w:sz w:val="24"/>
        </w:rPr>
        <w:t>；厂界执行《工业企业厂界环境噪声排放标准》</w:t>
      </w:r>
      <w:r>
        <w:rPr>
          <w:color w:val="auto"/>
          <w:sz w:val="24"/>
        </w:rPr>
        <w:t>GB12348-2008</w:t>
      </w:r>
      <w:r>
        <w:rPr>
          <w:rFonts w:hAnsi="宋体"/>
          <w:color w:val="auto"/>
          <w:sz w:val="24"/>
        </w:rPr>
        <w:t>中</w:t>
      </w:r>
      <w:r>
        <w:rPr>
          <w:color w:val="auto"/>
          <w:sz w:val="24"/>
        </w:rPr>
        <w:t>3</w:t>
      </w:r>
      <w:r>
        <w:rPr>
          <w:rFonts w:hAnsi="宋体"/>
          <w:color w:val="auto"/>
          <w:sz w:val="24"/>
        </w:rPr>
        <w:t>类标准进行评价，即昼间噪声</w:t>
      </w:r>
      <w:r>
        <w:rPr>
          <w:color w:val="auto"/>
          <w:sz w:val="24"/>
        </w:rPr>
        <w:t>≤65dB</w:t>
      </w:r>
      <w:r>
        <w:rPr>
          <w:rFonts w:hAnsi="宋体"/>
          <w:color w:val="auto"/>
          <w:sz w:val="24"/>
        </w:rPr>
        <w:t>，夜间噪声</w:t>
      </w:r>
      <w:r>
        <w:rPr>
          <w:color w:val="auto"/>
          <w:sz w:val="24"/>
        </w:rPr>
        <w:t>≤55dB</w:t>
      </w:r>
      <w:r>
        <w:rPr>
          <w:rFonts w:hAnsi="宋体"/>
          <w:color w:val="auto"/>
          <w:sz w:val="24"/>
        </w:rPr>
        <w:t>。</w:t>
      </w:r>
    </w:p>
    <w:p>
      <w:pPr>
        <w:spacing w:line="360" w:lineRule="auto"/>
        <w:ind w:firstLine="480"/>
        <w:rPr>
          <w:color w:val="auto"/>
          <w:kern w:val="0"/>
          <w:sz w:val="24"/>
        </w:rPr>
      </w:pPr>
      <w:r>
        <w:rPr>
          <w:rFonts w:hint="eastAsia" w:hAnsi="宋体"/>
          <w:color w:val="auto"/>
          <w:sz w:val="24"/>
        </w:rPr>
        <w:t>本项目涉及的主要噪声源为废气收集装置的引风机，引风机的单机噪声级为85dB，要求通过设置隔声罩和安装消声器等措施，在夜间不工作情况下，保证厂界满足</w:t>
      </w:r>
      <w:r>
        <w:rPr>
          <w:rFonts w:hAnsi="宋体"/>
          <w:color w:val="auto"/>
          <w:sz w:val="24"/>
        </w:rPr>
        <w:t>《工业企业厂界环境噪声排放标准》</w:t>
      </w:r>
      <w:r>
        <w:rPr>
          <w:color w:val="auto"/>
          <w:sz w:val="24"/>
        </w:rPr>
        <w:t>GB12348-2008</w:t>
      </w:r>
      <w:r>
        <w:rPr>
          <w:rFonts w:hAnsi="宋体"/>
          <w:color w:val="auto"/>
          <w:sz w:val="24"/>
        </w:rPr>
        <w:t>中</w:t>
      </w:r>
      <w:r>
        <w:rPr>
          <w:color w:val="auto"/>
          <w:sz w:val="24"/>
        </w:rPr>
        <w:t>3</w:t>
      </w:r>
      <w:r>
        <w:rPr>
          <w:rFonts w:hAnsi="宋体"/>
          <w:color w:val="auto"/>
          <w:sz w:val="24"/>
        </w:rPr>
        <w:t>类标准，即昼间噪声</w:t>
      </w:r>
      <w:r>
        <w:rPr>
          <w:color w:val="auto"/>
          <w:sz w:val="24"/>
        </w:rPr>
        <w:t>≤65dB</w:t>
      </w:r>
      <w:r>
        <w:rPr>
          <w:rFonts w:hint="eastAsia"/>
          <w:color w:val="auto"/>
          <w:sz w:val="24"/>
        </w:rPr>
        <w:t>，同时项目周边无声敏感目标，</w:t>
      </w:r>
      <w:r>
        <w:rPr>
          <w:rFonts w:hAnsi="宋体"/>
          <w:color w:val="auto"/>
          <w:sz w:val="24"/>
        </w:rPr>
        <w:t>因此本项目产生的噪声对周围环境的影响</w:t>
      </w:r>
      <w:r>
        <w:rPr>
          <w:rFonts w:hint="eastAsia" w:hAnsi="宋体"/>
          <w:color w:val="auto"/>
          <w:sz w:val="24"/>
        </w:rPr>
        <w:t>较小不会造成扰民问题</w:t>
      </w:r>
      <w:r>
        <w:rPr>
          <w:rFonts w:hAnsi="宋体"/>
          <w:color w:val="auto"/>
          <w:sz w:val="24"/>
        </w:rPr>
        <w:t>。</w:t>
      </w:r>
    </w:p>
    <w:p>
      <w:pPr>
        <w:pStyle w:val="37"/>
        <w:snapToGrid w:val="0"/>
        <w:spacing w:line="360" w:lineRule="auto"/>
        <w:rPr>
          <w:rFonts w:ascii="Times New Roman" w:hAnsi="Times New Roman"/>
          <w:color w:val="auto"/>
        </w:rPr>
      </w:pPr>
      <w:r>
        <w:rPr>
          <w:rFonts w:ascii="Times New Roman" w:hAnsi="Times New Roman"/>
          <w:color w:val="auto"/>
        </w:rPr>
        <w:t xml:space="preserve">7.4 </w:t>
      </w:r>
      <w:r>
        <w:rPr>
          <w:rFonts w:hint="eastAsia" w:ascii="Times New Roman" w:hAnsi="Times New Roman"/>
          <w:color w:val="auto"/>
        </w:rPr>
        <w:t>固体废物环境影响评价</w:t>
      </w:r>
    </w:p>
    <w:p>
      <w:pPr>
        <w:pStyle w:val="86"/>
        <w:ind w:firstLine="480"/>
        <w:rPr>
          <w:rFonts w:ascii="Times New Roman" w:hAnsi="宋体"/>
          <w:color w:val="auto"/>
          <w:sz w:val="24"/>
        </w:rPr>
      </w:pPr>
      <w:r>
        <w:rPr>
          <w:rFonts w:ascii="Times New Roman" w:hAnsi="宋体"/>
          <w:color w:val="auto"/>
          <w:sz w:val="24"/>
        </w:rPr>
        <w:t>本项目产生的固体废物包括</w:t>
      </w:r>
      <w:r>
        <w:rPr>
          <w:rFonts w:hint="eastAsia" w:ascii="Times New Roman" w:hAnsi="宋体"/>
          <w:color w:val="auto"/>
          <w:sz w:val="24"/>
        </w:rPr>
        <w:t>生活垃圾和生产固废。</w:t>
      </w:r>
    </w:p>
    <w:p>
      <w:pPr>
        <w:pStyle w:val="87"/>
        <w:ind w:firstLine="480"/>
        <w:rPr>
          <w:rFonts w:eastAsia="宋体"/>
          <w:color w:val="auto"/>
          <w:sz w:val="24"/>
        </w:rPr>
      </w:pPr>
      <w:r>
        <w:rPr>
          <w:rFonts w:hint="eastAsia" w:hAnsi="宋体"/>
          <w:color w:val="auto"/>
          <w:kern w:val="0"/>
          <w:sz w:val="24"/>
        </w:rPr>
        <w:t>根据源强分析，生活垃圾年产生量为</w:t>
      </w:r>
      <w:r>
        <w:rPr>
          <w:rFonts w:hint="eastAsia" w:hAnsi="宋体" w:eastAsia="宋体"/>
          <w:color w:val="auto"/>
          <w:kern w:val="0"/>
          <w:sz w:val="24"/>
        </w:rPr>
        <w:t>6.0</w:t>
      </w:r>
      <w:r>
        <w:rPr>
          <w:rFonts w:hint="eastAsia" w:hAnsi="宋体"/>
          <w:color w:val="auto"/>
          <w:kern w:val="0"/>
          <w:sz w:val="24"/>
        </w:rPr>
        <w:t>t，</w:t>
      </w:r>
      <w:r>
        <w:rPr>
          <w:rFonts w:hAnsi="宋体" w:eastAsia="宋体"/>
          <w:color w:val="auto"/>
          <w:sz w:val="24"/>
        </w:rPr>
        <w:t>投放指定地点，然后由环卫部门每日统一清运、处置。</w:t>
      </w:r>
    </w:p>
    <w:p>
      <w:pPr>
        <w:spacing w:line="360" w:lineRule="auto"/>
        <w:ind w:firstLine="480"/>
        <w:rPr>
          <w:rFonts w:hAnsi="宋体"/>
          <w:color w:val="auto"/>
          <w:sz w:val="24"/>
        </w:rPr>
      </w:pPr>
      <w:r>
        <w:rPr>
          <w:rFonts w:hint="eastAsia" w:hAnsi="宋体"/>
          <w:color w:val="auto"/>
          <w:sz w:val="24"/>
        </w:rPr>
        <w:t>项目产生的生产固废主要为定期更换的老化液、废包装材料、废过滤芯、废填料、废树脂等，利用及处置方式如下表7.4-1。</w:t>
      </w:r>
    </w:p>
    <w:p>
      <w:pPr>
        <w:ind w:firstLine="482"/>
        <w:jc w:val="center"/>
        <w:rPr>
          <w:rFonts w:hAnsi="宋体"/>
          <w:b/>
          <w:color w:val="auto"/>
          <w:sz w:val="24"/>
        </w:rPr>
      </w:pPr>
      <w:r>
        <w:rPr>
          <w:rFonts w:hAnsi="宋体"/>
          <w:b/>
          <w:color w:val="auto"/>
          <w:sz w:val="24"/>
        </w:rPr>
        <w:t>表</w:t>
      </w:r>
      <w:r>
        <w:rPr>
          <w:rFonts w:hint="eastAsia" w:hAnsi="宋体"/>
          <w:b/>
          <w:color w:val="auto"/>
          <w:sz w:val="24"/>
        </w:rPr>
        <w:t xml:space="preserve">7.4-1  </w:t>
      </w:r>
      <w:r>
        <w:rPr>
          <w:rFonts w:hAnsi="宋体"/>
          <w:b/>
          <w:color w:val="auto"/>
          <w:sz w:val="24"/>
        </w:rPr>
        <w:t>本项目固体废物产生量一览表</w:t>
      </w:r>
    </w:p>
    <w:tbl>
      <w:tblPr>
        <w:tblStyle w:val="22"/>
        <w:tblW w:w="928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1236"/>
        <w:gridCol w:w="2088"/>
        <w:gridCol w:w="1473"/>
        <w:gridCol w:w="1303"/>
        <w:gridCol w:w="19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3" w:hRule="atLeast"/>
          <w:tblHeader/>
        </w:trPr>
        <w:tc>
          <w:tcPr>
            <w:tcW w:w="1271" w:type="dxa"/>
            <w:tcMar>
              <w:top w:w="0" w:type="dxa"/>
              <w:left w:w="108" w:type="dxa"/>
              <w:bottom w:w="0" w:type="dxa"/>
              <w:right w:w="108" w:type="dxa"/>
            </w:tcMar>
            <w:vAlign w:val="center"/>
          </w:tcPr>
          <w:p>
            <w:pPr>
              <w:jc w:val="center"/>
              <w:rPr>
                <w:rFonts w:hAnsi="宋体"/>
                <w:b/>
                <w:bCs/>
                <w:color w:val="auto"/>
                <w:szCs w:val="21"/>
              </w:rPr>
            </w:pPr>
            <w:r>
              <w:rPr>
                <w:rFonts w:hAnsi="宋体"/>
                <w:b/>
                <w:bCs/>
                <w:color w:val="auto"/>
                <w:szCs w:val="21"/>
              </w:rPr>
              <w:t>名称</w:t>
            </w:r>
          </w:p>
        </w:tc>
        <w:tc>
          <w:tcPr>
            <w:tcW w:w="1236" w:type="dxa"/>
            <w:tcMar>
              <w:top w:w="0" w:type="dxa"/>
              <w:left w:w="108" w:type="dxa"/>
              <w:bottom w:w="0" w:type="dxa"/>
              <w:right w:w="108" w:type="dxa"/>
            </w:tcMar>
            <w:vAlign w:val="center"/>
          </w:tcPr>
          <w:p>
            <w:pPr>
              <w:jc w:val="center"/>
              <w:rPr>
                <w:rFonts w:hAnsi="宋体"/>
                <w:b/>
                <w:bCs/>
                <w:color w:val="auto"/>
                <w:szCs w:val="21"/>
              </w:rPr>
            </w:pPr>
            <w:r>
              <w:rPr>
                <w:rFonts w:hAnsi="宋体"/>
                <w:b/>
                <w:bCs/>
                <w:color w:val="auto"/>
                <w:szCs w:val="21"/>
              </w:rPr>
              <w:t>分类</w:t>
            </w:r>
          </w:p>
        </w:tc>
        <w:tc>
          <w:tcPr>
            <w:tcW w:w="2088" w:type="dxa"/>
            <w:tcMar>
              <w:top w:w="0" w:type="dxa"/>
              <w:left w:w="108" w:type="dxa"/>
              <w:bottom w:w="0" w:type="dxa"/>
              <w:right w:w="108" w:type="dxa"/>
            </w:tcMar>
            <w:vAlign w:val="center"/>
          </w:tcPr>
          <w:p>
            <w:pPr>
              <w:jc w:val="center"/>
              <w:rPr>
                <w:rFonts w:hAnsi="宋体"/>
                <w:b/>
                <w:bCs/>
                <w:color w:val="auto"/>
                <w:szCs w:val="21"/>
              </w:rPr>
            </w:pPr>
            <w:r>
              <w:rPr>
                <w:rFonts w:hAnsi="宋体"/>
                <w:b/>
                <w:bCs/>
                <w:color w:val="auto"/>
                <w:szCs w:val="21"/>
              </w:rPr>
              <w:t>类别编号</w:t>
            </w:r>
          </w:p>
        </w:tc>
        <w:tc>
          <w:tcPr>
            <w:tcW w:w="1473" w:type="dxa"/>
            <w:tcMar>
              <w:top w:w="0" w:type="dxa"/>
              <w:left w:w="108" w:type="dxa"/>
              <w:bottom w:w="0" w:type="dxa"/>
              <w:right w:w="108" w:type="dxa"/>
            </w:tcMar>
            <w:vAlign w:val="center"/>
          </w:tcPr>
          <w:p>
            <w:pPr>
              <w:jc w:val="center"/>
              <w:rPr>
                <w:rFonts w:hAnsi="宋体"/>
                <w:b/>
                <w:bCs/>
                <w:color w:val="auto"/>
                <w:szCs w:val="21"/>
              </w:rPr>
            </w:pPr>
            <w:r>
              <w:rPr>
                <w:rFonts w:hAnsi="宋体"/>
                <w:b/>
                <w:bCs/>
                <w:color w:val="auto"/>
                <w:szCs w:val="21"/>
              </w:rPr>
              <w:t>产生量（t/a）</w:t>
            </w:r>
          </w:p>
        </w:tc>
        <w:tc>
          <w:tcPr>
            <w:tcW w:w="1303" w:type="dxa"/>
            <w:tcMar>
              <w:top w:w="0" w:type="dxa"/>
              <w:left w:w="108" w:type="dxa"/>
              <w:bottom w:w="0" w:type="dxa"/>
              <w:right w:w="108" w:type="dxa"/>
            </w:tcMar>
            <w:vAlign w:val="center"/>
          </w:tcPr>
          <w:p>
            <w:pPr>
              <w:jc w:val="center"/>
              <w:rPr>
                <w:rFonts w:hAnsi="宋体"/>
                <w:b/>
                <w:bCs/>
                <w:color w:val="auto"/>
                <w:szCs w:val="21"/>
              </w:rPr>
            </w:pPr>
            <w:r>
              <w:rPr>
                <w:rFonts w:hAnsi="宋体"/>
                <w:b/>
                <w:bCs/>
                <w:color w:val="auto"/>
                <w:szCs w:val="21"/>
              </w:rPr>
              <w:t>利用方式</w:t>
            </w:r>
          </w:p>
        </w:tc>
        <w:tc>
          <w:tcPr>
            <w:tcW w:w="1915" w:type="dxa"/>
            <w:tcMar>
              <w:top w:w="0" w:type="dxa"/>
              <w:left w:w="108" w:type="dxa"/>
              <w:bottom w:w="0" w:type="dxa"/>
              <w:right w:w="108" w:type="dxa"/>
            </w:tcMar>
            <w:vAlign w:val="center"/>
          </w:tcPr>
          <w:p>
            <w:pPr>
              <w:jc w:val="center"/>
              <w:rPr>
                <w:rFonts w:hAnsi="宋体"/>
                <w:b/>
                <w:bCs/>
                <w:color w:val="auto"/>
                <w:szCs w:val="21"/>
              </w:rPr>
            </w:pPr>
            <w:r>
              <w:rPr>
                <w:rFonts w:hAnsi="宋体"/>
                <w:b/>
                <w:bCs/>
                <w:color w:val="auto"/>
                <w:szCs w:val="21"/>
              </w:rPr>
              <w:t>处置方式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废化学品包装袋</w:t>
            </w:r>
          </w:p>
        </w:tc>
        <w:tc>
          <w:tcPr>
            <w:tcW w:w="1236"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危险废物</w:t>
            </w:r>
          </w:p>
        </w:tc>
        <w:tc>
          <w:tcPr>
            <w:tcW w:w="2088"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HW4</w:t>
            </w:r>
            <w:r>
              <w:rPr>
                <w:rFonts w:hint="eastAsia" w:hAnsi="宋体"/>
                <w:color w:val="auto"/>
                <w:szCs w:val="21"/>
                <w:lang w:val="en-US" w:eastAsia="zh-CN"/>
              </w:rPr>
              <w:t>9</w:t>
            </w:r>
            <w:r>
              <w:rPr>
                <w:rFonts w:hint="eastAsia" w:hAnsi="宋体"/>
                <w:color w:val="auto"/>
                <w:szCs w:val="21"/>
                <w:lang w:eastAsia="zh-CN"/>
              </w:rPr>
              <w:t>（</w:t>
            </w:r>
            <w:r>
              <w:rPr>
                <w:rFonts w:hAnsi="宋体"/>
                <w:color w:val="auto"/>
                <w:szCs w:val="21"/>
              </w:rPr>
              <w:t>900-041-49</w:t>
            </w:r>
            <w:r>
              <w:rPr>
                <w:rFonts w:hint="eastAsia" w:hAnsi="宋体"/>
                <w:color w:val="auto"/>
                <w:szCs w:val="21"/>
                <w:lang w:eastAsia="zh-CN"/>
              </w:rPr>
              <w:t>）</w:t>
            </w:r>
          </w:p>
        </w:tc>
        <w:tc>
          <w:tcPr>
            <w:tcW w:w="147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0.18</w:t>
            </w:r>
          </w:p>
        </w:tc>
        <w:tc>
          <w:tcPr>
            <w:tcW w:w="1303"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供应商回收</w:t>
            </w:r>
          </w:p>
        </w:tc>
        <w:tc>
          <w:tcPr>
            <w:tcW w:w="1915" w:type="dxa"/>
            <w:vMerge w:val="restart"/>
            <w:tcMar>
              <w:top w:w="0" w:type="dxa"/>
              <w:left w:w="108" w:type="dxa"/>
              <w:bottom w:w="0" w:type="dxa"/>
              <w:right w:w="108" w:type="dxa"/>
            </w:tcMar>
            <w:vAlign w:val="center"/>
          </w:tcPr>
          <w:p>
            <w:pPr>
              <w:jc w:val="center"/>
              <w:rPr>
                <w:rFonts w:hAnsi="宋体"/>
                <w:color w:val="auto"/>
                <w:szCs w:val="21"/>
              </w:rPr>
            </w:pPr>
            <w:r>
              <w:rPr>
                <w:rFonts w:hint="eastAsia"/>
                <w:color w:val="auto"/>
              </w:rPr>
              <w:t>依托集控中心危废暂存间，由集控中心委托</w:t>
            </w:r>
            <w:r>
              <w:rPr>
                <w:rFonts w:hint="eastAsia"/>
                <w:color w:val="auto"/>
                <w:lang w:eastAsia="zh-CN"/>
              </w:rPr>
              <w:t>南平人立环保科技有限公司、福建亿利环境技术有限公司</w:t>
            </w:r>
            <w:r>
              <w:rPr>
                <w:rFonts w:hint="eastAsia"/>
                <w:color w:val="auto"/>
              </w:rPr>
              <w:t>处置</w:t>
            </w:r>
            <w:r>
              <w:rPr>
                <w:rFonts w:hint="eastAsia"/>
                <w:color w:val="auto"/>
                <w:lang w:eastAsia="zh-CN"/>
              </w:rPr>
              <w:t>（详见附件</w:t>
            </w:r>
            <w:r>
              <w:rPr>
                <w:rFonts w:hint="eastAsia"/>
                <w:color w:val="auto"/>
                <w:lang w:val="en-US" w:eastAsia="zh-CN"/>
              </w:rPr>
              <w:t>6</w:t>
            </w:r>
            <w:r>
              <w:rPr>
                <w:rFonts w:hint="eastAsia"/>
                <w:color w:val="auto"/>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271"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废滤芯</w:t>
            </w:r>
          </w:p>
        </w:tc>
        <w:tc>
          <w:tcPr>
            <w:tcW w:w="1236"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危险废物</w:t>
            </w:r>
          </w:p>
        </w:tc>
        <w:tc>
          <w:tcPr>
            <w:tcW w:w="2088"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HW4</w:t>
            </w:r>
            <w:r>
              <w:rPr>
                <w:rFonts w:hint="eastAsia" w:hAnsi="宋体"/>
                <w:color w:val="auto"/>
                <w:szCs w:val="21"/>
                <w:lang w:val="en-US" w:eastAsia="zh-CN"/>
              </w:rPr>
              <w:t>9</w:t>
            </w:r>
            <w:r>
              <w:rPr>
                <w:rFonts w:hint="eastAsia" w:hAnsi="宋体"/>
                <w:color w:val="auto"/>
                <w:szCs w:val="21"/>
                <w:lang w:eastAsia="zh-CN"/>
              </w:rPr>
              <w:t>（</w:t>
            </w:r>
            <w:r>
              <w:rPr>
                <w:rFonts w:hAnsi="宋体"/>
                <w:color w:val="auto"/>
                <w:szCs w:val="21"/>
              </w:rPr>
              <w:t>900-041-49</w:t>
            </w:r>
            <w:r>
              <w:rPr>
                <w:rFonts w:hint="eastAsia" w:hAnsi="宋体"/>
                <w:color w:val="auto"/>
                <w:szCs w:val="21"/>
                <w:lang w:eastAsia="zh-CN"/>
              </w:rPr>
              <w:t>）</w:t>
            </w:r>
          </w:p>
        </w:tc>
        <w:tc>
          <w:tcPr>
            <w:tcW w:w="1473"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0.0</w:t>
            </w:r>
            <w:r>
              <w:rPr>
                <w:rFonts w:hint="eastAsia" w:hAnsi="宋体"/>
                <w:color w:val="auto"/>
                <w:szCs w:val="21"/>
                <w:lang w:val="en-US" w:eastAsia="zh-CN"/>
              </w:rPr>
              <w:t>3</w:t>
            </w:r>
            <w:r>
              <w:rPr>
                <w:rFonts w:hint="eastAsia" w:hAnsi="宋体"/>
                <w:color w:val="auto"/>
                <w:szCs w:val="21"/>
              </w:rPr>
              <w:t>8</w:t>
            </w:r>
          </w:p>
        </w:tc>
        <w:tc>
          <w:tcPr>
            <w:tcW w:w="1303"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w:t>
            </w:r>
          </w:p>
        </w:tc>
        <w:tc>
          <w:tcPr>
            <w:tcW w:w="1915" w:type="dxa"/>
            <w:vMerge w:val="continue"/>
            <w:tcMar>
              <w:top w:w="0" w:type="dxa"/>
              <w:left w:w="108" w:type="dxa"/>
              <w:bottom w:w="0" w:type="dxa"/>
              <w:right w:w="108" w:type="dxa"/>
            </w:tcMar>
            <w:vAlign w:val="center"/>
          </w:tcPr>
          <w:p>
            <w:pPr>
              <w:jc w:val="center"/>
              <w:rPr>
                <w:rFonts w:hint="eastAsia"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trPr>
        <w:tc>
          <w:tcPr>
            <w:tcW w:w="1271" w:type="dxa"/>
            <w:tcMar>
              <w:top w:w="0" w:type="dxa"/>
              <w:left w:w="108" w:type="dxa"/>
              <w:bottom w:w="0" w:type="dxa"/>
              <w:right w:w="108" w:type="dxa"/>
            </w:tcMar>
            <w:vAlign w:val="center"/>
          </w:tcPr>
          <w:p>
            <w:pPr>
              <w:jc w:val="center"/>
              <w:rPr>
                <w:rFonts w:hint="eastAsia" w:hAnsi="宋体" w:eastAsia="宋体"/>
                <w:color w:val="auto"/>
                <w:szCs w:val="21"/>
                <w:lang w:eastAsia="zh-CN"/>
              </w:rPr>
            </w:pPr>
            <w:r>
              <w:rPr>
                <w:rFonts w:hint="eastAsia" w:hAnsi="宋体"/>
                <w:color w:val="auto"/>
                <w:szCs w:val="21"/>
                <w:lang w:eastAsia="zh-CN"/>
              </w:rPr>
              <w:t>过滤残渣</w:t>
            </w:r>
          </w:p>
        </w:tc>
        <w:tc>
          <w:tcPr>
            <w:tcW w:w="1236"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危险废物</w:t>
            </w:r>
          </w:p>
        </w:tc>
        <w:tc>
          <w:tcPr>
            <w:tcW w:w="2088"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HW4</w:t>
            </w:r>
            <w:r>
              <w:rPr>
                <w:rFonts w:hint="eastAsia" w:hAnsi="宋体"/>
                <w:color w:val="auto"/>
                <w:szCs w:val="21"/>
                <w:lang w:val="en-US" w:eastAsia="zh-CN"/>
              </w:rPr>
              <w:t>9</w:t>
            </w:r>
            <w:r>
              <w:rPr>
                <w:rFonts w:hint="eastAsia" w:hAnsi="宋体"/>
                <w:color w:val="auto"/>
                <w:szCs w:val="21"/>
                <w:lang w:eastAsia="zh-CN"/>
              </w:rPr>
              <w:t>（</w:t>
            </w:r>
            <w:r>
              <w:rPr>
                <w:rFonts w:hAnsi="宋体"/>
                <w:color w:val="auto"/>
                <w:szCs w:val="21"/>
              </w:rPr>
              <w:t>900-041-49</w:t>
            </w:r>
            <w:r>
              <w:rPr>
                <w:rFonts w:hint="eastAsia" w:hAnsi="宋体"/>
                <w:color w:val="auto"/>
                <w:szCs w:val="21"/>
                <w:lang w:eastAsia="zh-CN"/>
              </w:rPr>
              <w:t>）</w:t>
            </w:r>
          </w:p>
        </w:tc>
        <w:tc>
          <w:tcPr>
            <w:tcW w:w="1473" w:type="dxa"/>
            <w:tcMar>
              <w:top w:w="0" w:type="dxa"/>
              <w:left w:w="108" w:type="dxa"/>
              <w:bottom w:w="0" w:type="dxa"/>
              <w:right w:w="108" w:type="dxa"/>
            </w:tcMar>
            <w:vAlign w:val="center"/>
          </w:tcPr>
          <w:p>
            <w:pPr>
              <w:jc w:val="center"/>
              <w:rPr>
                <w:rFonts w:hint="default" w:hAnsi="宋体" w:eastAsia="宋体"/>
                <w:color w:val="auto"/>
                <w:szCs w:val="21"/>
                <w:lang w:val="en-US" w:eastAsia="zh-CN"/>
              </w:rPr>
            </w:pPr>
            <w:r>
              <w:rPr>
                <w:rFonts w:hint="eastAsia" w:hAnsi="宋体"/>
                <w:color w:val="auto"/>
                <w:szCs w:val="21"/>
                <w:lang w:val="en-US" w:eastAsia="zh-CN"/>
              </w:rPr>
              <w:t>0.01</w:t>
            </w:r>
          </w:p>
        </w:tc>
        <w:tc>
          <w:tcPr>
            <w:tcW w:w="1303" w:type="dxa"/>
            <w:tcMar>
              <w:top w:w="0" w:type="dxa"/>
              <w:left w:w="108" w:type="dxa"/>
              <w:bottom w:w="0" w:type="dxa"/>
              <w:right w:w="108" w:type="dxa"/>
            </w:tcMar>
            <w:vAlign w:val="center"/>
          </w:tcPr>
          <w:p>
            <w:pPr>
              <w:jc w:val="center"/>
              <w:rPr>
                <w:rFonts w:hAnsi="宋体"/>
                <w:color w:val="auto"/>
                <w:szCs w:val="21"/>
              </w:rPr>
            </w:pPr>
          </w:p>
        </w:tc>
        <w:tc>
          <w:tcPr>
            <w:tcW w:w="1915" w:type="dxa"/>
            <w:vMerge w:val="continue"/>
            <w:tcMar>
              <w:top w:w="0" w:type="dxa"/>
              <w:left w:w="108" w:type="dxa"/>
              <w:bottom w:w="0" w:type="dxa"/>
              <w:right w:w="108" w:type="dxa"/>
            </w:tcMar>
            <w:vAlign w:val="center"/>
          </w:tcPr>
          <w:p>
            <w:pPr>
              <w:jc w:val="center"/>
              <w:rPr>
                <w:rFonts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老化液</w:t>
            </w:r>
          </w:p>
        </w:tc>
        <w:tc>
          <w:tcPr>
            <w:tcW w:w="1236"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危险废物</w:t>
            </w:r>
          </w:p>
        </w:tc>
        <w:tc>
          <w:tcPr>
            <w:tcW w:w="2088" w:type="dxa"/>
            <w:tcMar>
              <w:top w:w="0" w:type="dxa"/>
              <w:left w:w="108" w:type="dxa"/>
              <w:bottom w:w="0" w:type="dxa"/>
              <w:right w:w="108" w:type="dxa"/>
            </w:tcMar>
            <w:vAlign w:val="center"/>
          </w:tcPr>
          <w:p>
            <w:pPr>
              <w:jc w:val="center"/>
              <w:rPr>
                <w:rFonts w:hint="default" w:hAnsi="宋体" w:eastAsia="宋体"/>
                <w:color w:val="auto"/>
                <w:szCs w:val="21"/>
                <w:lang w:val="en-US" w:eastAsia="zh-CN"/>
              </w:rPr>
            </w:pPr>
            <w:r>
              <w:rPr>
                <w:rFonts w:hint="eastAsia" w:hAnsi="宋体"/>
                <w:color w:val="auto"/>
                <w:szCs w:val="21"/>
              </w:rPr>
              <w:t>HW</w:t>
            </w:r>
            <w:r>
              <w:rPr>
                <w:rFonts w:hint="eastAsia" w:hAnsi="宋体"/>
                <w:color w:val="auto"/>
                <w:szCs w:val="21"/>
                <w:lang w:val="en-US" w:eastAsia="zh-CN"/>
              </w:rPr>
              <w:t>17（336-055-17、336-058-17、336-060-17、336-063-17）</w:t>
            </w:r>
          </w:p>
        </w:tc>
        <w:tc>
          <w:tcPr>
            <w:tcW w:w="147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0.</w:t>
            </w:r>
            <w:r>
              <w:rPr>
                <w:rFonts w:hint="eastAsia" w:hAnsi="宋体"/>
                <w:color w:val="auto"/>
                <w:szCs w:val="21"/>
                <w:lang w:val="en-US" w:eastAsia="zh-CN"/>
              </w:rPr>
              <w:t>628</w:t>
            </w:r>
          </w:p>
        </w:tc>
        <w:tc>
          <w:tcPr>
            <w:tcW w:w="130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w:t>
            </w:r>
          </w:p>
        </w:tc>
        <w:tc>
          <w:tcPr>
            <w:tcW w:w="1915" w:type="dxa"/>
            <w:vMerge w:val="continue"/>
            <w:tcMar>
              <w:top w:w="0" w:type="dxa"/>
              <w:left w:w="108" w:type="dxa"/>
              <w:bottom w:w="0" w:type="dxa"/>
              <w:right w:w="108" w:type="dxa"/>
            </w:tcMar>
            <w:vAlign w:val="center"/>
          </w:tcPr>
          <w:p>
            <w:pPr>
              <w:jc w:val="center"/>
              <w:rPr>
                <w:rFonts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71" w:type="dxa"/>
            <w:tcMar>
              <w:top w:w="0" w:type="dxa"/>
              <w:left w:w="108" w:type="dxa"/>
              <w:bottom w:w="0" w:type="dxa"/>
              <w:right w:w="108" w:type="dxa"/>
            </w:tcMar>
            <w:vAlign w:val="center"/>
          </w:tcPr>
          <w:p>
            <w:pPr>
              <w:jc w:val="center"/>
              <w:rPr>
                <w:rFonts w:hint="eastAsia" w:hAnsi="宋体" w:eastAsia="宋体"/>
                <w:color w:val="auto"/>
                <w:szCs w:val="21"/>
                <w:lang w:eastAsia="zh-CN"/>
              </w:rPr>
            </w:pPr>
            <w:r>
              <w:rPr>
                <w:rFonts w:hint="eastAsia" w:hAnsi="宋体"/>
                <w:color w:val="auto"/>
                <w:szCs w:val="21"/>
                <w:lang w:eastAsia="zh-CN"/>
              </w:rPr>
              <w:t>废槽渣</w:t>
            </w:r>
          </w:p>
        </w:tc>
        <w:tc>
          <w:tcPr>
            <w:tcW w:w="1236"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危险废物</w:t>
            </w:r>
          </w:p>
        </w:tc>
        <w:tc>
          <w:tcPr>
            <w:tcW w:w="2088"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rPr>
              <w:t>HW</w:t>
            </w:r>
            <w:r>
              <w:rPr>
                <w:rFonts w:hint="eastAsia" w:hAnsi="宋体"/>
                <w:color w:val="auto"/>
                <w:szCs w:val="21"/>
                <w:lang w:val="en-US" w:eastAsia="zh-CN"/>
              </w:rPr>
              <w:t>17（336-055-17、336-058-17、336-060-17、336-063-17）</w:t>
            </w:r>
          </w:p>
        </w:tc>
        <w:tc>
          <w:tcPr>
            <w:tcW w:w="1473" w:type="dxa"/>
            <w:tcMar>
              <w:top w:w="0" w:type="dxa"/>
              <w:left w:w="108" w:type="dxa"/>
              <w:bottom w:w="0" w:type="dxa"/>
              <w:right w:w="108" w:type="dxa"/>
            </w:tcMar>
            <w:vAlign w:val="center"/>
          </w:tcPr>
          <w:p>
            <w:pPr>
              <w:jc w:val="center"/>
              <w:rPr>
                <w:rFonts w:hint="eastAsia" w:hAnsi="宋体"/>
                <w:color w:val="auto"/>
                <w:szCs w:val="21"/>
              </w:rPr>
            </w:pPr>
            <w:r>
              <w:rPr>
                <w:rFonts w:hint="eastAsia" w:hAnsi="宋体"/>
                <w:color w:val="auto"/>
                <w:szCs w:val="21"/>
                <w:lang w:val="en-US" w:eastAsia="zh-CN"/>
              </w:rPr>
              <w:t>0.269</w:t>
            </w:r>
          </w:p>
        </w:tc>
        <w:tc>
          <w:tcPr>
            <w:tcW w:w="1303" w:type="dxa"/>
            <w:tcMar>
              <w:top w:w="0" w:type="dxa"/>
              <w:left w:w="108" w:type="dxa"/>
              <w:bottom w:w="0" w:type="dxa"/>
              <w:right w:w="108" w:type="dxa"/>
            </w:tcMar>
            <w:vAlign w:val="center"/>
          </w:tcPr>
          <w:p>
            <w:pPr>
              <w:jc w:val="center"/>
              <w:rPr>
                <w:rFonts w:hint="eastAsia" w:hAnsi="宋体"/>
                <w:color w:val="auto"/>
                <w:szCs w:val="21"/>
              </w:rPr>
            </w:pPr>
          </w:p>
        </w:tc>
        <w:tc>
          <w:tcPr>
            <w:tcW w:w="1915" w:type="dxa"/>
            <w:vMerge w:val="continue"/>
            <w:tcMar>
              <w:top w:w="0" w:type="dxa"/>
              <w:left w:w="108" w:type="dxa"/>
              <w:bottom w:w="0" w:type="dxa"/>
              <w:right w:w="108" w:type="dxa"/>
            </w:tcMar>
            <w:vAlign w:val="center"/>
          </w:tcPr>
          <w:p>
            <w:pPr>
              <w:jc w:val="center"/>
              <w:rPr>
                <w:rFonts w:hAnsi="宋体"/>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1271"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生活垃圾</w:t>
            </w:r>
          </w:p>
        </w:tc>
        <w:tc>
          <w:tcPr>
            <w:tcW w:w="1236"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一般固废</w:t>
            </w:r>
          </w:p>
        </w:tc>
        <w:tc>
          <w:tcPr>
            <w:tcW w:w="2088"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w:t>
            </w:r>
          </w:p>
        </w:tc>
        <w:tc>
          <w:tcPr>
            <w:tcW w:w="1473" w:type="dxa"/>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6.0</w:t>
            </w:r>
          </w:p>
        </w:tc>
        <w:tc>
          <w:tcPr>
            <w:tcW w:w="1303"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w:t>
            </w:r>
          </w:p>
        </w:tc>
        <w:tc>
          <w:tcPr>
            <w:tcW w:w="1915" w:type="dxa"/>
            <w:tcMar>
              <w:top w:w="0" w:type="dxa"/>
              <w:left w:w="108" w:type="dxa"/>
              <w:bottom w:w="0" w:type="dxa"/>
              <w:right w:w="108" w:type="dxa"/>
            </w:tcMar>
            <w:vAlign w:val="center"/>
          </w:tcPr>
          <w:p>
            <w:pPr>
              <w:jc w:val="center"/>
              <w:rPr>
                <w:rFonts w:hAnsi="宋体"/>
                <w:color w:val="auto"/>
                <w:szCs w:val="21"/>
              </w:rPr>
            </w:pPr>
            <w:r>
              <w:rPr>
                <w:rFonts w:hAnsi="宋体"/>
                <w:color w:val="auto"/>
                <w:szCs w:val="21"/>
              </w:rPr>
              <w:t>环卫部门统一处置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4595" w:type="dxa"/>
            <w:gridSpan w:val="3"/>
            <w:tcMar>
              <w:top w:w="0" w:type="dxa"/>
              <w:left w:w="108" w:type="dxa"/>
              <w:bottom w:w="0" w:type="dxa"/>
              <w:right w:w="108" w:type="dxa"/>
            </w:tcMar>
            <w:vAlign w:val="center"/>
          </w:tcPr>
          <w:p>
            <w:pPr>
              <w:jc w:val="center"/>
              <w:rPr>
                <w:rFonts w:hAnsi="宋体"/>
                <w:color w:val="auto"/>
                <w:szCs w:val="21"/>
              </w:rPr>
            </w:pPr>
            <w:r>
              <w:rPr>
                <w:rFonts w:hint="eastAsia" w:hAnsi="宋体"/>
                <w:color w:val="auto"/>
                <w:szCs w:val="21"/>
              </w:rPr>
              <w:t>合计</w:t>
            </w:r>
          </w:p>
        </w:tc>
        <w:tc>
          <w:tcPr>
            <w:tcW w:w="1473" w:type="dxa"/>
            <w:tcMar>
              <w:top w:w="0" w:type="dxa"/>
              <w:left w:w="108" w:type="dxa"/>
              <w:bottom w:w="0" w:type="dxa"/>
              <w:right w:w="108" w:type="dxa"/>
            </w:tcMar>
            <w:vAlign w:val="center"/>
          </w:tcPr>
          <w:p>
            <w:pPr>
              <w:jc w:val="center"/>
              <w:rPr>
                <w:rFonts w:ascii="宋体" w:hAnsi="宋体" w:cs="宋体"/>
                <w:color w:val="auto"/>
                <w:sz w:val="22"/>
                <w:szCs w:val="22"/>
              </w:rPr>
            </w:pPr>
            <w:r>
              <w:rPr>
                <w:rFonts w:hint="eastAsia" w:hAnsi="宋体"/>
                <w:color w:val="auto"/>
                <w:szCs w:val="21"/>
              </w:rPr>
              <w:t>7.125</w:t>
            </w:r>
          </w:p>
        </w:tc>
        <w:tc>
          <w:tcPr>
            <w:tcW w:w="1303" w:type="dxa"/>
            <w:tcMar>
              <w:top w:w="0" w:type="dxa"/>
              <w:left w:w="108" w:type="dxa"/>
              <w:bottom w:w="0" w:type="dxa"/>
              <w:right w:w="108" w:type="dxa"/>
            </w:tcMar>
            <w:vAlign w:val="center"/>
          </w:tcPr>
          <w:p>
            <w:pPr>
              <w:jc w:val="center"/>
              <w:rPr>
                <w:rFonts w:hAnsi="宋体"/>
                <w:color w:val="auto"/>
                <w:szCs w:val="21"/>
              </w:rPr>
            </w:pPr>
          </w:p>
        </w:tc>
        <w:tc>
          <w:tcPr>
            <w:tcW w:w="1915" w:type="dxa"/>
            <w:tcMar>
              <w:top w:w="0" w:type="dxa"/>
              <w:left w:w="108" w:type="dxa"/>
              <w:bottom w:w="0" w:type="dxa"/>
              <w:right w:w="108" w:type="dxa"/>
            </w:tcMar>
            <w:vAlign w:val="center"/>
          </w:tcPr>
          <w:p>
            <w:pPr>
              <w:jc w:val="center"/>
              <w:rPr>
                <w:rFonts w:hAnsi="宋体"/>
                <w:color w:val="auto"/>
                <w:szCs w:val="21"/>
              </w:rPr>
            </w:pPr>
          </w:p>
        </w:tc>
      </w:tr>
    </w:tbl>
    <w:p>
      <w:pPr>
        <w:spacing w:line="360" w:lineRule="auto"/>
        <w:ind w:firstLine="480"/>
        <w:rPr>
          <w:rFonts w:hAnsi="宋体"/>
          <w:color w:val="auto"/>
          <w:sz w:val="24"/>
        </w:rPr>
      </w:pPr>
      <w:r>
        <w:rPr>
          <w:rFonts w:hint="eastAsia" w:hAnsi="宋体"/>
          <w:color w:val="auto"/>
          <w:sz w:val="24"/>
        </w:rPr>
        <w:t>综上，本项目产生的</w:t>
      </w:r>
      <w:r>
        <w:rPr>
          <w:rFonts w:hAnsi="宋体"/>
          <w:color w:val="auto"/>
          <w:sz w:val="24"/>
        </w:rPr>
        <w:t>所有</w:t>
      </w:r>
      <w:r>
        <w:rPr>
          <w:rFonts w:hint="eastAsia" w:hAnsi="宋体"/>
          <w:color w:val="auto"/>
          <w:sz w:val="24"/>
        </w:rPr>
        <w:t>固体废物</w:t>
      </w:r>
      <w:r>
        <w:rPr>
          <w:rFonts w:hAnsi="宋体"/>
          <w:color w:val="auto"/>
          <w:sz w:val="24"/>
        </w:rPr>
        <w:t>经妥善处理后，不会对周围环境产生较大影响。</w:t>
      </w:r>
    </w:p>
    <w:p>
      <w:pPr>
        <w:pStyle w:val="37"/>
        <w:snapToGrid w:val="0"/>
        <w:spacing w:line="360" w:lineRule="auto"/>
        <w:rPr>
          <w:rFonts w:ascii="Times New Roman" w:hAnsi="Times New Roman"/>
          <w:color w:val="auto"/>
        </w:rPr>
      </w:pPr>
      <w:r>
        <w:rPr>
          <w:rFonts w:ascii="Times New Roman" w:hAnsi="Times New Roman"/>
          <w:color w:val="auto"/>
        </w:rPr>
        <w:t>7.</w:t>
      </w:r>
      <w:r>
        <w:rPr>
          <w:rFonts w:hint="eastAsia" w:ascii="Times New Roman" w:hAnsi="Times New Roman"/>
          <w:color w:val="auto"/>
        </w:rPr>
        <w:t>5</w:t>
      </w:r>
      <w:r>
        <w:rPr>
          <w:rFonts w:ascii="Times New Roman" w:hAnsi="Times New Roman"/>
          <w:color w:val="auto"/>
        </w:rPr>
        <w:t xml:space="preserve"> </w:t>
      </w:r>
      <w:r>
        <w:rPr>
          <w:rFonts w:hint="eastAsia" w:ascii="Times New Roman" w:hAnsi="Times New Roman"/>
          <w:color w:val="auto"/>
        </w:rPr>
        <w:t>地下水及土壤环境影响评价</w:t>
      </w:r>
    </w:p>
    <w:p>
      <w:pPr>
        <w:snapToGrid w:val="0"/>
        <w:spacing w:before="120" w:beforeLines="50" w:line="360" w:lineRule="auto"/>
        <w:outlineLvl w:val="2"/>
        <w:rPr>
          <w:b/>
          <w:color w:val="auto"/>
          <w:sz w:val="24"/>
        </w:rPr>
      </w:pPr>
      <w:bookmarkStart w:id="26" w:name="_Toc380320791"/>
      <w:r>
        <w:rPr>
          <w:rFonts w:hint="eastAsia"/>
          <w:b/>
          <w:color w:val="auto"/>
          <w:sz w:val="24"/>
        </w:rPr>
        <w:t>7.5.1</w:t>
      </w:r>
      <w:r>
        <w:rPr>
          <w:b/>
          <w:color w:val="auto"/>
          <w:sz w:val="24"/>
        </w:rPr>
        <w:t>污染源及污染途径</w:t>
      </w:r>
      <w:bookmarkEnd w:id="26"/>
    </w:p>
    <w:p>
      <w:pPr>
        <w:spacing w:line="360" w:lineRule="auto"/>
        <w:ind w:firstLine="480"/>
        <w:rPr>
          <w:rFonts w:cs="宋体"/>
          <w:color w:val="auto"/>
          <w:sz w:val="24"/>
        </w:rPr>
      </w:pPr>
      <w:r>
        <w:rPr>
          <w:rFonts w:hint="eastAsia" w:cs="宋体"/>
          <w:color w:val="auto"/>
          <w:sz w:val="24"/>
        </w:rPr>
        <w:t>项目对地下水的可能影响主要在于电镀区域、化学品仓库等发生泄漏事故后，废水进入地下水，从而影响土壤及地下水环境。</w:t>
      </w:r>
    </w:p>
    <w:p>
      <w:pPr>
        <w:spacing w:line="360" w:lineRule="auto"/>
        <w:ind w:firstLine="482"/>
        <w:jc w:val="center"/>
        <w:rPr>
          <w:b/>
          <w:bCs/>
          <w:color w:val="auto"/>
          <w:kern w:val="0"/>
          <w:sz w:val="24"/>
        </w:rPr>
      </w:pPr>
      <w:r>
        <w:rPr>
          <w:rFonts w:hAnsi="宋体"/>
          <w:b/>
          <w:color w:val="auto"/>
          <w:sz w:val="24"/>
        </w:rPr>
        <w:t>表</w:t>
      </w:r>
      <w:r>
        <w:rPr>
          <w:rFonts w:hint="eastAsia" w:hAnsi="宋体"/>
          <w:b/>
          <w:color w:val="auto"/>
          <w:sz w:val="24"/>
        </w:rPr>
        <w:t>7.5</w:t>
      </w:r>
      <w:r>
        <w:rPr>
          <w:rFonts w:hAnsi="宋体"/>
          <w:b/>
          <w:color w:val="auto"/>
          <w:sz w:val="24"/>
        </w:rPr>
        <w:t>-1</w:t>
      </w:r>
      <w:r>
        <w:rPr>
          <w:rFonts w:hint="eastAsia" w:hAnsi="宋体"/>
          <w:b/>
          <w:color w:val="auto"/>
          <w:sz w:val="24"/>
        </w:rPr>
        <w:t xml:space="preserve"> </w:t>
      </w:r>
      <w:r>
        <w:rPr>
          <w:rFonts w:hAnsi="宋体"/>
          <w:b/>
          <w:color w:val="auto"/>
          <w:sz w:val="24"/>
        </w:rPr>
        <w:t>本项目主要的地下水污染源及污染途径</w:t>
      </w:r>
    </w:p>
    <w:tbl>
      <w:tblPr>
        <w:tblStyle w:val="22"/>
        <w:tblW w:w="907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2"/>
        <w:gridCol w:w="2351"/>
        <w:gridCol w:w="54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72" w:type="dxa"/>
            <w:vAlign w:val="center"/>
          </w:tcPr>
          <w:p>
            <w:pPr>
              <w:jc w:val="center"/>
              <w:rPr>
                <w:color w:val="auto"/>
                <w:szCs w:val="21"/>
              </w:rPr>
            </w:pPr>
            <w:r>
              <w:rPr>
                <w:color w:val="auto"/>
                <w:szCs w:val="21"/>
              </w:rPr>
              <w:t>序号</w:t>
            </w:r>
          </w:p>
        </w:tc>
        <w:tc>
          <w:tcPr>
            <w:tcW w:w="2351" w:type="dxa"/>
            <w:vAlign w:val="center"/>
          </w:tcPr>
          <w:p>
            <w:pPr>
              <w:jc w:val="center"/>
              <w:rPr>
                <w:color w:val="auto"/>
                <w:szCs w:val="21"/>
              </w:rPr>
            </w:pPr>
            <w:r>
              <w:rPr>
                <w:color w:val="auto"/>
                <w:szCs w:val="21"/>
              </w:rPr>
              <w:t>污染源</w:t>
            </w:r>
          </w:p>
        </w:tc>
        <w:tc>
          <w:tcPr>
            <w:tcW w:w="5447" w:type="dxa"/>
            <w:vAlign w:val="center"/>
          </w:tcPr>
          <w:p>
            <w:pPr>
              <w:jc w:val="center"/>
              <w:rPr>
                <w:color w:val="auto"/>
                <w:szCs w:val="21"/>
              </w:rPr>
            </w:pPr>
            <w:r>
              <w:rPr>
                <w:color w:val="auto"/>
                <w:szCs w:val="21"/>
              </w:rPr>
              <w:t>污染途径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72" w:type="dxa"/>
            <w:vAlign w:val="center"/>
          </w:tcPr>
          <w:p>
            <w:pPr>
              <w:jc w:val="center"/>
              <w:rPr>
                <w:color w:val="auto"/>
                <w:szCs w:val="21"/>
              </w:rPr>
            </w:pPr>
            <w:r>
              <w:rPr>
                <w:color w:val="auto"/>
                <w:szCs w:val="21"/>
              </w:rPr>
              <w:t>1</w:t>
            </w:r>
          </w:p>
        </w:tc>
        <w:tc>
          <w:tcPr>
            <w:tcW w:w="2351" w:type="dxa"/>
            <w:vAlign w:val="center"/>
          </w:tcPr>
          <w:p>
            <w:pPr>
              <w:jc w:val="center"/>
              <w:rPr>
                <w:color w:val="auto"/>
                <w:szCs w:val="21"/>
              </w:rPr>
            </w:pPr>
            <w:r>
              <w:rPr>
                <w:color w:val="auto"/>
                <w:szCs w:val="21"/>
              </w:rPr>
              <w:t>电镀车间</w:t>
            </w:r>
          </w:p>
        </w:tc>
        <w:tc>
          <w:tcPr>
            <w:tcW w:w="5447" w:type="dxa"/>
            <w:vAlign w:val="center"/>
          </w:tcPr>
          <w:p>
            <w:pPr>
              <w:jc w:val="center"/>
              <w:rPr>
                <w:color w:val="auto"/>
                <w:szCs w:val="21"/>
              </w:rPr>
            </w:pPr>
            <w:r>
              <w:rPr>
                <w:color w:val="auto"/>
                <w:szCs w:val="21"/>
              </w:rPr>
              <w:t>车间地面渗漏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272" w:type="dxa"/>
            <w:vAlign w:val="center"/>
          </w:tcPr>
          <w:p>
            <w:pPr>
              <w:jc w:val="center"/>
              <w:rPr>
                <w:color w:val="auto"/>
                <w:szCs w:val="21"/>
              </w:rPr>
            </w:pPr>
            <w:r>
              <w:rPr>
                <w:color w:val="auto"/>
                <w:szCs w:val="21"/>
              </w:rPr>
              <w:t>2</w:t>
            </w:r>
          </w:p>
        </w:tc>
        <w:tc>
          <w:tcPr>
            <w:tcW w:w="2351" w:type="dxa"/>
            <w:vAlign w:val="center"/>
          </w:tcPr>
          <w:p>
            <w:pPr>
              <w:jc w:val="center"/>
              <w:rPr>
                <w:color w:val="auto"/>
                <w:szCs w:val="21"/>
              </w:rPr>
            </w:pPr>
            <w:r>
              <w:rPr>
                <w:color w:val="auto"/>
                <w:szCs w:val="21"/>
              </w:rPr>
              <w:t>废水管道</w:t>
            </w:r>
          </w:p>
        </w:tc>
        <w:tc>
          <w:tcPr>
            <w:tcW w:w="5447" w:type="dxa"/>
            <w:vAlign w:val="center"/>
          </w:tcPr>
          <w:p>
            <w:pPr>
              <w:jc w:val="center"/>
              <w:rPr>
                <w:color w:val="auto"/>
                <w:szCs w:val="21"/>
              </w:rPr>
            </w:pPr>
            <w:r>
              <w:rPr>
                <w:color w:val="auto"/>
                <w:szCs w:val="21"/>
              </w:rPr>
              <w:t>废水管道破裂</w:t>
            </w:r>
            <w:r>
              <w:rPr>
                <w:rFonts w:hint="eastAsia"/>
                <w:color w:val="auto"/>
                <w:szCs w:val="21"/>
              </w:rPr>
              <w:t>，</w:t>
            </w:r>
            <w:r>
              <w:rPr>
                <w:color w:val="auto"/>
                <w:szCs w:val="21"/>
              </w:rPr>
              <w:t>通过周围土壤污染地下水</w:t>
            </w:r>
          </w:p>
        </w:tc>
      </w:tr>
    </w:tbl>
    <w:p>
      <w:pPr>
        <w:snapToGrid w:val="0"/>
        <w:spacing w:before="120" w:beforeLines="50" w:line="360" w:lineRule="auto"/>
        <w:outlineLvl w:val="2"/>
        <w:rPr>
          <w:b/>
          <w:color w:val="auto"/>
          <w:sz w:val="24"/>
        </w:rPr>
      </w:pPr>
      <w:r>
        <w:rPr>
          <w:rFonts w:hint="eastAsia"/>
          <w:b/>
          <w:color w:val="auto"/>
          <w:sz w:val="24"/>
        </w:rPr>
        <w:t>7.5.2防渗措施</w:t>
      </w:r>
    </w:p>
    <w:p>
      <w:pPr>
        <w:pStyle w:val="79"/>
        <w:ind w:firstLine="480"/>
        <w:rPr>
          <w:rFonts w:cs="Times New Roman"/>
          <w:color w:val="auto"/>
        </w:rPr>
      </w:pPr>
      <w:r>
        <w:rPr>
          <w:rFonts w:hint="eastAsia" w:cs="Times New Roman"/>
          <w:color w:val="auto"/>
        </w:rPr>
        <w:t>针对项目可能发生的地下水污染，地下水污染防治措施按照</w:t>
      </w:r>
      <w:r>
        <w:rPr>
          <w:rFonts w:cs="Times New Roman"/>
          <w:color w:val="auto"/>
        </w:rPr>
        <w:t>“</w:t>
      </w:r>
      <w:r>
        <w:rPr>
          <w:rFonts w:hint="eastAsia" w:cs="Times New Roman"/>
          <w:color w:val="auto"/>
        </w:rPr>
        <w:t>源头控制、末端防治、污染监控、应急响应</w:t>
      </w:r>
      <w:r>
        <w:rPr>
          <w:rFonts w:cs="Times New Roman"/>
          <w:color w:val="auto"/>
        </w:rPr>
        <w:t>”</w:t>
      </w:r>
      <w:r>
        <w:rPr>
          <w:rFonts w:hint="eastAsia" w:cs="Times New Roman"/>
          <w:color w:val="auto"/>
        </w:rPr>
        <w:t>相结合的原则，从污染物的产生、入渗、扩散、应急响应全阶段进行控制。</w:t>
      </w:r>
    </w:p>
    <w:p>
      <w:pPr>
        <w:pStyle w:val="79"/>
        <w:ind w:firstLine="480"/>
        <w:rPr>
          <w:rFonts w:cs="Times New Roman"/>
          <w:color w:val="auto"/>
        </w:rPr>
      </w:pPr>
      <w:r>
        <w:rPr>
          <w:rFonts w:cs="Times New Roman"/>
          <w:color w:val="auto"/>
        </w:rPr>
        <w:t>（1）源头控制措施：主要包括固废的收集和储运、污水的收集和处理；通过采取相应的措施防止和降低污染物跑、冒、滴、漏，将污染物泄漏的环境风险事故降到最低程度；管线敷设尽量采用</w:t>
      </w:r>
      <w:r>
        <w:rPr>
          <w:rFonts w:hint="eastAsia" w:cs="Times New Roman"/>
          <w:color w:val="auto"/>
        </w:rPr>
        <w:t>“</w:t>
      </w:r>
      <w:r>
        <w:rPr>
          <w:rFonts w:cs="Times New Roman"/>
          <w:color w:val="auto"/>
        </w:rPr>
        <w:t>可视化</w:t>
      </w:r>
      <w:r>
        <w:rPr>
          <w:rFonts w:hint="eastAsia" w:cs="Times New Roman"/>
          <w:color w:val="auto"/>
        </w:rPr>
        <w:t>”</w:t>
      </w:r>
      <w:r>
        <w:rPr>
          <w:rFonts w:cs="Times New Roman"/>
          <w:color w:val="auto"/>
        </w:rPr>
        <w:t>原则，即管道尽可能地上敷设，做到污染物“早发现、早处理”，减少由于埋地管道泄漏而造成的地下水污染。</w:t>
      </w:r>
    </w:p>
    <w:p>
      <w:pPr>
        <w:pStyle w:val="79"/>
        <w:ind w:firstLine="480"/>
        <w:rPr>
          <w:rFonts w:cs="Times New Roman"/>
          <w:color w:val="auto"/>
        </w:rPr>
      </w:pPr>
      <w:r>
        <w:rPr>
          <w:rFonts w:cs="Times New Roman"/>
          <w:color w:val="auto"/>
        </w:rPr>
        <w:t>（2）末端控制措施：主要包括建设区域污染区地面的防渗措施和泄漏、渗漏污染物收集措施，即在污染区地面进行防渗处理，防止洒落地面的污染物渗入地下，并把滞留在地面的污染物收集起来，固废应采用规范的容器或包装物进行收集，污水应收集后送至污水处理厂处理；末端控制采取分区防渗，按重点污染防治区和非污染区防渗措施有区别的防渗原则。</w:t>
      </w:r>
      <w:r>
        <w:rPr>
          <w:rFonts w:hint="eastAsia" w:cs="Times New Roman"/>
          <w:color w:val="auto"/>
        </w:rPr>
        <w:t>本项目设置一个车间，车间内未设置办公区整个车间均为重点污染</w:t>
      </w:r>
      <w:r>
        <w:rPr>
          <w:rFonts w:cs="Times New Roman"/>
          <w:color w:val="auto"/>
        </w:rPr>
        <w:t>防治区，地下水分区防渗示意图见图5.2-</w:t>
      </w:r>
      <w:r>
        <w:rPr>
          <w:rFonts w:hint="eastAsia" w:cs="Times New Roman"/>
          <w:color w:val="auto"/>
        </w:rPr>
        <w:t>4</w:t>
      </w:r>
      <w:r>
        <w:rPr>
          <w:rFonts w:cs="Times New Roman"/>
          <w:color w:val="auto"/>
        </w:rPr>
        <w:t>。</w:t>
      </w:r>
      <w:r>
        <w:rPr>
          <w:rFonts w:hint="eastAsia" w:cs="Times New Roman"/>
          <w:color w:val="auto"/>
        </w:rPr>
        <w:t>本项目车间无办公区，因此整个车间均为重点防渗区。</w:t>
      </w:r>
    </w:p>
    <w:p>
      <w:pPr>
        <w:pStyle w:val="79"/>
        <w:ind w:firstLine="480"/>
        <w:rPr>
          <w:color w:val="auto"/>
        </w:rPr>
      </w:pPr>
      <w:r>
        <w:rPr>
          <w:rFonts w:hint="eastAsia"/>
          <w:color w:val="auto"/>
        </w:rPr>
        <w:t>根据国家相关标准和规范，结合目前施工过程中的可操作性和技术水平，针对不通的污染防治区域采用不同的防渗措施，以满足防渗标准要求。防渗措施建议如下：</w:t>
      </w:r>
    </w:p>
    <w:p>
      <w:pPr>
        <w:pStyle w:val="79"/>
        <w:ind w:firstLine="480"/>
        <w:rPr>
          <w:rFonts w:cs="Times New Roman"/>
          <w:color w:val="auto"/>
        </w:rPr>
      </w:pPr>
      <w:r>
        <w:rPr>
          <w:rFonts w:cs="Times New Roman"/>
          <w:color w:val="auto"/>
        </w:rPr>
        <w:t>对于重点污染防治区，参照《危险废物贮存污染控制标准》（GB 18597-2001）及修订单进行防渗设计。本项目租赁集控中心已建厂房，防渗由业主单位</w:t>
      </w:r>
      <w:r>
        <w:rPr>
          <w:rFonts w:hint="eastAsia" w:cs="Times New Roman"/>
          <w:color w:val="auto"/>
        </w:rPr>
        <w:t>自行</w:t>
      </w:r>
      <w:r>
        <w:rPr>
          <w:rFonts w:cs="Times New Roman"/>
          <w:color w:val="auto"/>
        </w:rPr>
        <w:t>完成，车间内地坪自下而上至少应设隔离层，垫层，耐腐蚀层。入驻企业在业主单位移交使用的钢筋混凝土地坪上按设备布置要求自行铺设，并用树脂勾缝。生产场地内试行干湿区分离，湿区地面应有盛水托盘并敷设网格板，湿镀件作业在湿区进行，湿区废水或废液单独收集。输送污水的管道应有明确标识（色标或文字），要有有效的防沉降、防断裂等措施，以实现耐腐蚀、防渗、防混的目的。</w:t>
      </w:r>
    </w:p>
    <w:p>
      <w:pPr>
        <w:pStyle w:val="79"/>
        <w:ind w:firstLine="480"/>
        <w:rPr>
          <w:rFonts w:cs="Times New Roman"/>
          <w:color w:val="auto"/>
        </w:rPr>
      </w:pPr>
      <w:r>
        <w:rPr>
          <w:rFonts w:cs="Times New Roman"/>
          <w:color w:val="auto"/>
        </w:rPr>
        <w:t>项目车间采取采用30cm厚花岗岩底层+素混凝土垫层+四油三毡玻璃钢隔油层；车间电镀镀槽均离地设置，采用支架，镀槽离地30cm以上，镀槽放置在托盘内，镀槽泄露后槽液进入托盘，并沿导流管到进入废水收集管网，实现电镀废水不落地；当发现车间地表有水时，即可实时排查，找到管网或镀槽的泄露点，实现泄</w:t>
      </w:r>
      <w:r>
        <w:rPr>
          <w:rFonts w:hint="eastAsia"/>
          <w:color w:val="auto"/>
        </w:rPr>
        <w:t>露早发现、早治理，防止进一步下渗，破坏地表的防渗层。</w:t>
      </w:r>
    </w:p>
    <w:p>
      <w:pPr>
        <w:pStyle w:val="79"/>
        <w:ind w:firstLine="480"/>
        <w:rPr>
          <w:rFonts w:cs="Times New Roman"/>
          <w:color w:val="auto"/>
        </w:rPr>
      </w:pPr>
      <w:r>
        <w:rPr>
          <w:rFonts w:cs="Times New Roman"/>
          <w:color w:val="auto"/>
        </w:rPr>
        <w:t>（3）污染监控体系：实施覆盖生产区的地下水污染监控系统，建立完善的监测制度，配备先进的检测</w:t>
      </w:r>
      <w:r>
        <w:rPr>
          <w:rFonts w:hint="eastAsia" w:cs="Times New Roman"/>
          <w:color w:val="auto"/>
        </w:rPr>
        <w:t>仪器和设备，本项目污染监控依托集控中心污染监控体系，及时发现污染、控制污染；</w:t>
      </w:r>
    </w:p>
    <w:p>
      <w:pPr>
        <w:pStyle w:val="79"/>
        <w:ind w:firstLine="480"/>
        <w:rPr>
          <w:rFonts w:cs="Times New Roman"/>
          <w:color w:val="auto"/>
        </w:rPr>
      </w:pPr>
      <w:r>
        <w:rPr>
          <w:rFonts w:cs="Times New Roman"/>
          <w:color w:val="auto"/>
        </w:rPr>
        <w:t>（4）应急响</w:t>
      </w:r>
      <w:r>
        <w:rPr>
          <w:rFonts w:hint="eastAsia" w:cs="Times New Roman"/>
          <w:color w:val="auto"/>
        </w:rPr>
        <w:t>应措施：包括一旦发现地下水污染事故，立即启动应急预案、采取应急措施控制地下水污染，并使污染得到治理。</w:t>
      </w:r>
    </w:p>
    <w:p>
      <w:pPr>
        <w:snapToGrid w:val="0"/>
        <w:spacing w:before="120" w:beforeLines="50" w:line="360" w:lineRule="auto"/>
        <w:outlineLvl w:val="2"/>
        <w:rPr>
          <w:b/>
          <w:color w:val="auto"/>
          <w:sz w:val="24"/>
        </w:rPr>
      </w:pPr>
      <w:bookmarkStart w:id="27" w:name="_Toc380320795"/>
      <w:r>
        <w:rPr>
          <w:rFonts w:hint="eastAsia"/>
          <w:b/>
          <w:color w:val="auto"/>
          <w:sz w:val="24"/>
        </w:rPr>
        <w:t>7.5.3地下水、土壤环境影响分析</w:t>
      </w:r>
    </w:p>
    <w:bookmarkEnd w:id="27"/>
    <w:p>
      <w:pPr>
        <w:pStyle w:val="47"/>
        <w:ind w:firstLine="484"/>
        <w:rPr>
          <w:rFonts w:ascii="Times New Roman" w:hAnsi="Times New Roman"/>
          <w:color w:val="auto"/>
          <w:spacing w:val="1"/>
        </w:rPr>
      </w:pPr>
      <w:r>
        <w:rPr>
          <w:rFonts w:hint="eastAsia" w:ascii="Times New Roman" w:hAnsi="Times New Roman"/>
          <w:color w:val="auto"/>
          <w:spacing w:val="1"/>
        </w:rPr>
        <w:t>本项目可能存在影响地下水环境的环节主要有厂内污水管道渗漏，依托园区危险废物存场所、化学品仓库等跑冒滴漏入渗影响，通过土壤渗透到地下，并随着地下水流向滞洪区和硖门湾，对滞洪区和硖门湾的浅海海水水质产生影响。</w:t>
      </w:r>
    </w:p>
    <w:p>
      <w:pPr>
        <w:pStyle w:val="47"/>
        <w:ind w:firstLine="484"/>
        <w:rPr>
          <w:rFonts w:ascii="Times New Roman" w:hAnsi="Times New Roman"/>
          <w:color w:val="auto"/>
          <w:spacing w:val="1"/>
        </w:rPr>
      </w:pPr>
      <w:r>
        <w:rPr>
          <w:rFonts w:hint="eastAsia" w:ascii="Times New Roman" w:hAnsi="Times New Roman"/>
          <w:color w:val="auto"/>
          <w:spacing w:val="1"/>
        </w:rPr>
        <w:t>企业租用的地块位于电镀集控区2</w:t>
      </w:r>
      <w:r>
        <w:rPr>
          <w:rFonts w:ascii="Times New Roman" w:hAnsi="Times New Roman"/>
          <w:color w:val="auto"/>
          <w:spacing w:val="1"/>
        </w:rPr>
        <w:t>#</w:t>
      </w:r>
      <w:r>
        <w:rPr>
          <w:rFonts w:hint="eastAsia" w:ascii="Times New Roman" w:hAnsi="Times New Roman"/>
          <w:color w:val="auto"/>
          <w:spacing w:val="1"/>
        </w:rPr>
        <w:t>厂房1层，</w:t>
      </w:r>
      <w:r>
        <w:rPr>
          <w:rFonts w:ascii="Times New Roman" w:hAnsi="Times New Roman"/>
          <w:color w:val="auto"/>
          <w:spacing w:val="1"/>
        </w:rPr>
        <w:t xml:space="preserve"> </w:t>
      </w:r>
      <w:r>
        <w:rPr>
          <w:rFonts w:hint="eastAsia" w:ascii="Times New Roman" w:hAnsi="Times New Roman"/>
          <w:color w:val="auto"/>
          <w:spacing w:val="1"/>
        </w:rPr>
        <w:t>其电镀车间、危险废物存场所、化学品仓库等均采取防渗措施。根据对项目周边地下水、土壤的现状调查，根据地下水监测结果（见表</w:t>
      </w:r>
      <w:r>
        <w:rPr>
          <w:rFonts w:ascii="Times New Roman" w:hAnsi="Times New Roman"/>
          <w:color w:val="auto"/>
          <w:spacing w:val="1"/>
        </w:rPr>
        <w:t>3.2-10</w:t>
      </w:r>
      <w:r>
        <w:rPr>
          <w:rFonts w:hint="eastAsia" w:ascii="Times New Roman" w:hAnsi="Times New Roman"/>
          <w:color w:val="auto"/>
          <w:spacing w:val="1"/>
        </w:rPr>
        <w:t>）可知，地下水各监测点位所有监测指标均可达《地下水质量标准》（</w:t>
      </w:r>
      <w:r>
        <w:rPr>
          <w:rFonts w:ascii="Times New Roman" w:hAnsi="Times New Roman"/>
          <w:color w:val="auto"/>
          <w:spacing w:val="1"/>
        </w:rPr>
        <w:t>GB/T14848-2017</w:t>
      </w:r>
      <w:r>
        <w:rPr>
          <w:rFonts w:hint="eastAsia" w:ascii="Times New Roman" w:hAnsi="Times New Roman"/>
          <w:color w:val="auto"/>
          <w:spacing w:val="1"/>
        </w:rPr>
        <w:t>）中</w:t>
      </w:r>
      <w:r>
        <w:rPr>
          <w:rFonts w:hint="eastAsia" w:cs="宋体"/>
          <w:color w:val="auto"/>
          <w:spacing w:val="1"/>
        </w:rPr>
        <w:t>Ⅲ</w:t>
      </w:r>
      <w:r>
        <w:rPr>
          <w:rFonts w:hint="eastAsia" w:ascii="Times New Roman" w:hAnsi="Times New Roman"/>
          <w:color w:val="auto"/>
          <w:spacing w:val="1"/>
        </w:rPr>
        <w:t>类标准，说明该区域地下水环境质量现状良好；根据土壤监测结果（见表</w:t>
      </w:r>
      <w:r>
        <w:rPr>
          <w:rFonts w:ascii="Times New Roman" w:hAnsi="Times New Roman"/>
          <w:color w:val="auto"/>
          <w:spacing w:val="1"/>
        </w:rPr>
        <w:t>3.2-19</w:t>
      </w:r>
      <w:r>
        <w:rPr>
          <w:rFonts w:hint="eastAsia" w:ascii="Times New Roman" w:hAnsi="Times New Roman"/>
          <w:color w:val="auto"/>
          <w:spacing w:val="1"/>
        </w:rPr>
        <w:t>）可知，土壤各监测点位所有监测指标均可达《土壤环境质量标准》（</w:t>
      </w:r>
      <w:r>
        <w:rPr>
          <w:rFonts w:ascii="Times New Roman" w:hAnsi="Times New Roman"/>
          <w:color w:val="auto"/>
          <w:spacing w:val="1"/>
        </w:rPr>
        <w:t>GB15618-1995</w:t>
      </w:r>
      <w:r>
        <w:rPr>
          <w:rFonts w:hint="eastAsia" w:ascii="Times New Roman" w:hAnsi="Times New Roman"/>
          <w:color w:val="auto"/>
          <w:spacing w:val="1"/>
        </w:rPr>
        <w:t>）中的二级标准。</w:t>
      </w:r>
    </w:p>
    <w:p>
      <w:pPr>
        <w:pStyle w:val="47"/>
        <w:ind w:firstLine="484"/>
        <w:rPr>
          <w:rFonts w:ascii="Times New Roman" w:hAnsi="Times New Roman"/>
          <w:color w:val="auto"/>
          <w:spacing w:val="1"/>
        </w:rPr>
      </w:pPr>
      <w:r>
        <w:rPr>
          <w:rFonts w:hint="eastAsia" w:ascii="Times New Roman" w:hAnsi="Times New Roman"/>
          <w:color w:val="auto"/>
          <w:spacing w:val="1"/>
        </w:rPr>
        <w:t>综上，拟建项目按</w:t>
      </w:r>
      <w:r>
        <w:rPr>
          <w:rFonts w:hint="eastAsia" w:ascii="Times New Roman" w:hAnsi="Times New Roman"/>
          <w:color w:val="auto"/>
        </w:rPr>
        <w:t>《危险废物贮存污染控制标准》（</w:t>
      </w:r>
      <w:r>
        <w:rPr>
          <w:rFonts w:ascii="Times New Roman" w:hAnsi="Times New Roman"/>
          <w:color w:val="auto"/>
        </w:rPr>
        <w:t>GB18597-2001</w:t>
      </w:r>
      <w:r>
        <w:rPr>
          <w:rFonts w:hint="eastAsia" w:ascii="Times New Roman" w:hAnsi="Times New Roman"/>
          <w:color w:val="auto"/>
        </w:rPr>
        <w:t>）以及修改单内容</w:t>
      </w:r>
      <w:r>
        <w:rPr>
          <w:rFonts w:hint="eastAsia" w:ascii="Times New Roman" w:hAnsi="Times New Roman"/>
          <w:color w:val="auto"/>
          <w:spacing w:val="1"/>
        </w:rPr>
        <w:t>等相关要求设置危险废物临时储存场所，按要求做好防渗处理和维护管理，在采取完善的防渗防腐措施后，可大大降低了污染物泄漏对地下水、土壤的影响概率。因此本项目在严格采取本报告提出的地下水防渗措施的情况下，正常生产对区域地下水、土壤的影响不大。</w:t>
      </w:r>
    </w:p>
    <w:p>
      <w:pPr>
        <w:snapToGrid w:val="0"/>
        <w:spacing w:line="360" w:lineRule="auto"/>
        <w:outlineLvl w:val="1"/>
        <w:rPr>
          <w:b/>
          <w:color w:val="auto"/>
          <w:sz w:val="28"/>
          <w:szCs w:val="28"/>
        </w:rPr>
      </w:pPr>
      <w:r>
        <w:rPr>
          <w:b/>
          <w:color w:val="auto"/>
          <w:sz w:val="28"/>
          <w:szCs w:val="28"/>
        </w:rPr>
        <w:t>7.</w:t>
      </w:r>
      <w:r>
        <w:rPr>
          <w:rFonts w:hint="eastAsia"/>
          <w:b/>
          <w:color w:val="auto"/>
          <w:sz w:val="28"/>
          <w:szCs w:val="28"/>
        </w:rPr>
        <w:t>6运营期环境风险分析</w:t>
      </w:r>
    </w:p>
    <w:p>
      <w:pPr>
        <w:spacing w:line="360" w:lineRule="auto"/>
        <w:outlineLvl w:val="3"/>
        <w:rPr>
          <w:b/>
          <w:color w:val="auto"/>
          <w:sz w:val="24"/>
        </w:rPr>
      </w:pPr>
      <w:r>
        <w:rPr>
          <w:rFonts w:hint="eastAsia"/>
          <w:b/>
          <w:color w:val="auto"/>
          <w:sz w:val="24"/>
        </w:rPr>
        <w:t>7.6</w:t>
      </w:r>
      <w:r>
        <w:rPr>
          <w:b/>
          <w:color w:val="auto"/>
          <w:sz w:val="24"/>
        </w:rPr>
        <w:t>.1</w:t>
      </w:r>
      <w:r>
        <w:rPr>
          <w:rFonts w:hint="eastAsia"/>
          <w:b/>
          <w:color w:val="auto"/>
          <w:sz w:val="24"/>
        </w:rPr>
        <w:t>评价目的和重点</w:t>
      </w:r>
    </w:p>
    <w:p>
      <w:pPr>
        <w:spacing w:line="360" w:lineRule="auto"/>
        <w:ind w:firstLine="480" w:firstLineChars="200"/>
        <w:jc w:val="left"/>
        <w:rPr>
          <w:rFonts w:hAnsi="宋体"/>
          <w:color w:val="auto"/>
          <w:sz w:val="24"/>
        </w:rPr>
      </w:pPr>
      <w:r>
        <w:rPr>
          <w:rFonts w:hint="eastAsia" w:hAnsi="宋体"/>
          <w:color w:val="auto"/>
          <w:sz w:val="24"/>
        </w:rPr>
        <w:t>环境风险是从事生产和社会活动时可能发生对环境有害后果的描述。评估的目的就是通过分析建设项目运营期内可能发生的事故类型及其影响程度和范围，以确定开发建设及生产项目什么样的风险是社会可以承受的，从而为工程设计提供参考依据。</w:t>
      </w:r>
    </w:p>
    <w:p>
      <w:pPr>
        <w:spacing w:line="360" w:lineRule="auto"/>
        <w:ind w:firstLine="480" w:firstLineChars="200"/>
        <w:jc w:val="left"/>
        <w:rPr>
          <w:rFonts w:hAnsi="宋体"/>
          <w:color w:val="auto"/>
          <w:sz w:val="24"/>
        </w:rPr>
      </w:pPr>
      <w:r>
        <w:rPr>
          <w:rFonts w:hint="eastAsia" w:hAnsi="宋体"/>
          <w:color w:val="auto"/>
          <w:sz w:val="24"/>
        </w:rPr>
        <w:t>本项目具有一定的事故风险性，需要进行必要的环境事故风险分析，提出进一步降低事故风险措施，使得工厂在生产正常运转的基础上，确保生产区内外的环境质量，确保职工及周边影响区内人群生物的健康和生命安全。</w:t>
      </w:r>
    </w:p>
    <w:p>
      <w:pPr>
        <w:spacing w:line="360" w:lineRule="auto"/>
        <w:outlineLvl w:val="3"/>
        <w:rPr>
          <w:b/>
          <w:color w:val="auto"/>
          <w:sz w:val="24"/>
        </w:rPr>
      </w:pPr>
      <w:r>
        <w:rPr>
          <w:rFonts w:hint="eastAsia"/>
          <w:b/>
          <w:color w:val="auto"/>
          <w:sz w:val="24"/>
        </w:rPr>
        <w:t>7.6</w:t>
      </w:r>
      <w:r>
        <w:rPr>
          <w:b/>
          <w:color w:val="auto"/>
          <w:sz w:val="24"/>
        </w:rPr>
        <w:t>.2</w:t>
      </w:r>
      <w:r>
        <w:rPr>
          <w:rFonts w:hint="eastAsia"/>
          <w:b/>
          <w:color w:val="auto"/>
          <w:sz w:val="24"/>
        </w:rPr>
        <w:t>风险识别的范围</w:t>
      </w:r>
    </w:p>
    <w:p>
      <w:pPr>
        <w:spacing w:line="360" w:lineRule="auto"/>
        <w:ind w:firstLine="480" w:firstLineChars="200"/>
        <w:jc w:val="left"/>
        <w:rPr>
          <w:rFonts w:hAnsi="宋体"/>
          <w:color w:val="auto"/>
          <w:sz w:val="24"/>
        </w:rPr>
      </w:pPr>
      <w:r>
        <w:rPr>
          <w:rFonts w:hint="eastAsia" w:hAnsi="宋体"/>
          <w:color w:val="auto"/>
          <w:sz w:val="24"/>
        </w:rPr>
        <w:t>本次环境风险识别范围包括生产设施风险识别和生产过程所涉及的物质风险识别。</w:t>
      </w:r>
    </w:p>
    <w:p>
      <w:pPr>
        <w:spacing w:line="360" w:lineRule="auto"/>
        <w:ind w:firstLine="480" w:firstLineChars="200"/>
        <w:jc w:val="left"/>
        <w:rPr>
          <w:rFonts w:hAnsi="宋体"/>
          <w:color w:val="auto"/>
          <w:sz w:val="24"/>
        </w:rPr>
      </w:pPr>
      <w:r>
        <w:rPr>
          <w:rFonts w:hint="eastAsia" w:hAnsi="宋体"/>
          <w:color w:val="auto"/>
          <w:sz w:val="24"/>
        </w:rPr>
        <w:t>（1）生产设施风险识别范围：主要生产装置、贮运系统、公用工程系统、工程环保设施及辅助生产设施等。本项目不配套储运工程、公用工程，仅设置生产线并配套建设一套氰净化塔、一套网格净化器、一套碱喷淋塔以及自身废水收集系统，因此生产设施风险识别范围主要为镀铬生产线的槽液泄露。</w:t>
      </w:r>
    </w:p>
    <w:p>
      <w:pPr>
        <w:spacing w:line="360" w:lineRule="auto"/>
        <w:ind w:firstLine="480" w:firstLineChars="200"/>
        <w:jc w:val="left"/>
        <w:rPr>
          <w:rFonts w:hAnsi="宋体"/>
          <w:color w:val="auto"/>
          <w:sz w:val="24"/>
        </w:rPr>
      </w:pPr>
      <w:r>
        <w:rPr>
          <w:rFonts w:hint="eastAsia" w:hAnsi="宋体"/>
          <w:color w:val="auto"/>
          <w:sz w:val="24"/>
        </w:rPr>
        <w:t>（2）物质风险识别范围：主要原材料及辅助材料、燃料、中间产品、最终产品以及生产过程排放的“三废”污染物等。本项目物质风险识别范围包括：硫酸、磷酸、硝酸和电镀废水等。</w:t>
      </w:r>
    </w:p>
    <w:p>
      <w:pPr>
        <w:spacing w:line="360" w:lineRule="auto"/>
        <w:ind w:firstLine="480" w:firstLineChars="200"/>
        <w:jc w:val="left"/>
        <w:rPr>
          <w:rFonts w:hAnsi="宋体"/>
          <w:color w:val="auto"/>
          <w:sz w:val="24"/>
        </w:rPr>
      </w:pPr>
      <w:r>
        <w:rPr>
          <w:rFonts w:hint="eastAsia" w:hAnsi="宋体"/>
          <w:color w:val="auto"/>
          <w:sz w:val="24"/>
        </w:rPr>
        <w:t>本次评价主要以发生环境污染事故引起的大气和水环境污染而对周围居民的危害和环境质量影响程度为重点。</w:t>
      </w:r>
    </w:p>
    <w:p>
      <w:pPr>
        <w:spacing w:line="360" w:lineRule="auto"/>
        <w:outlineLvl w:val="3"/>
        <w:rPr>
          <w:b/>
          <w:color w:val="auto"/>
          <w:sz w:val="24"/>
        </w:rPr>
      </w:pPr>
      <w:r>
        <w:rPr>
          <w:rFonts w:hint="eastAsia"/>
          <w:b/>
          <w:color w:val="auto"/>
          <w:sz w:val="24"/>
        </w:rPr>
        <w:t>7.6</w:t>
      </w:r>
      <w:r>
        <w:rPr>
          <w:b/>
          <w:color w:val="auto"/>
          <w:sz w:val="24"/>
        </w:rPr>
        <w:t>.</w:t>
      </w:r>
      <w:r>
        <w:rPr>
          <w:rFonts w:hint="eastAsia"/>
          <w:b/>
          <w:color w:val="auto"/>
          <w:sz w:val="24"/>
        </w:rPr>
        <w:t>3</w:t>
      </w:r>
      <w:r>
        <w:rPr>
          <w:b/>
          <w:color w:val="auto"/>
          <w:sz w:val="24"/>
        </w:rPr>
        <w:t xml:space="preserve"> </w:t>
      </w:r>
      <w:r>
        <w:rPr>
          <w:rFonts w:hint="eastAsia"/>
          <w:b/>
          <w:color w:val="auto"/>
          <w:sz w:val="24"/>
        </w:rPr>
        <w:t>项目原辅料及产品风险源识别</w:t>
      </w:r>
    </w:p>
    <w:p>
      <w:pPr>
        <w:spacing w:line="360" w:lineRule="auto"/>
        <w:ind w:firstLine="480" w:firstLineChars="200"/>
        <w:jc w:val="left"/>
        <w:rPr>
          <w:color w:val="auto"/>
          <w:sz w:val="24"/>
        </w:rPr>
      </w:pPr>
      <w:r>
        <w:rPr>
          <w:rFonts w:hint="eastAsia" w:hAnsi="宋体"/>
          <w:color w:val="auto"/>
          <w:sz w:val="24"/>
        </w:rPr>
        <w:t>（</w:t>
      </w:r>
      <w:r>
        <w:rPr>
          <w:color w:val="auto"/>
          <w:sz w:val="24"/>
        </w:rPr>
        <w:t>1</w:t>
      </w:r>
      <w:r>
        <w:rPr>
          <w:rFonts w:hint="eastAsia" w:hAnsi="宋体"/>
          <w:color w:val="auto"/>
          <w:sz w:val="24"/>
        </w:rPr>
        <w:t>）物质危险性分析</w:t>
      </w:r>
    </w:p>
    <w:p>
      <w:pPr>
        <w:pStyle w:val="50"/>
        <w:rPr>
          <w:rFonts w:ascii="Times New Roman" w:hAnsi="Times New Roman" w:cs="Times New Roman"/>
          <w:color w:val="auto"/>
        </w:rPr>
      </w:pPr>
      <w:r>
        <w:rPr>
          <w:rFonts w:ascii="Times New Roman" w:hAnsi="Times New Roman" w:cs="Times New Roman"/>
          <w:color w:val="auto"/>
          <w:szCs w:val="24"/>
        </w:rPr>
        <w:t>本项目生产过程中使用的原辅料及中间产品具有潜在的危险性和毒性。主要原辅料根据《建设项目环境风险评价技术导则》（HJ/T169-2004）和物质危险性标准进行判定，</w:t>
      </w:r>
      <w:r>
        <w:rPr>
          <w:rFonts w:ascii="Times New Roman" w:hAnsi="Times New Roman" w:cs="Times New Roman"/>
          <w:color w:val="auto"/>
        </w:rPr>
        <w:t>其判定标准见表7.6-1。</w:t>
      </w:r>
    </w:p>
    <w:p>
      <w:pPr>
        <w:jc w:val="center"/>
        <w:rPr>
          <w:b/>
          <w:color w:val="auto"/>
          <w:sz w:val="24"/>
        </w:rPr>
      </w:pPr>
      <w:r>
        <w:rPr>
          <w:rFonts w:hint="eastAsia" w:hAnsi="宋体"/>
          <w:b/>
          <w:color w:val="auto"/>
          <w:sz w:val="24"/>
        </w:rPr>
        <w:t>表</w:t>
      </w:r>
      <w:r>
        <w:rPr>
          <w:rFonts w:hint="eastAsia"/>
          <w:b/>
          <w:color w:val="auto"/>
          <w:sz w:val="24"/>
        </w:rPr>
        <w:t>7.6</w:t>
      </w:r>
      <w:r>
        <w:rPr>
          <w:b/>
          <w:color w:val="auto"/>
          <w:sz w:val="24"/>
        </w:rPr>
        <w:t xml:space="preserve">-1  </w:t>
      </w:r>
      <w:r>
        <w:rPr>
          <w:rFonts w:hint="eastAsia" w:hAnsi="宋体"/>
          <w:b/>
          <w:color w:val="auto"/>
          <w:sz w:val="24"/>
        </w:rPr>
        <w:t>物质危险性判定标准表</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708"/>
        <w:gridCol w:w="787"/>
        <w:gridCol w:w="2483"/>
        <w:gridCol w:w="2338"/>
        <w:gridCol w:w="2970"/>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708" w:type="dxa"/>
            <w:tcBorders>
              <w:top w:val="single" w:color="auto" w:sz="12" w:space="0"/>
              <w:left w:val="nil"/>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物质</w:t>
            </w:r>
          </w:p>
          <w:p>
            <w:pPr>
              <w:pStyle w:val="84"/>
              <w:rPr>
                <w:rFonts w:ascii="Times New Roman" w:hAnsi="Times New Roman" w:cs="Times New Roman"/>
                <w:color w:val="auto"/>
                <w:kern w:val="52"/>
                <w:sz w:val="21"/>
              </w:rPr>
            </w:pPr>
            <w:r>
              <w:rPr>
                <w:rFonts w:ascii="Times New Roman" w:cs="Times New Roman"/>
                <w:color w:val="auto"/>
                <w:kern w:val="52"/>
                <w:sz w:val="21"/>
              </w:rPr>
              <w:t>类别</w:t>
            </w:r>
          </w:p>
        </w:tc>
        <w:tc>
          <w:tcPr>
            <w:tcW w:w="787" w:type="dxa"/>
            <w:tcBorders>
              <w:top w:val="single" w:color="auto" w:sz="12"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等级</w:t>
            </w:r>
          </w:p>
        </w:tc>
        <w:tc>
          <w:tcPr>
            <w:tcW w:w="2483" w:type="dxa"/>
            <w:tcBorders>
              <w:top w:val="single" w:color="auto" w:sz="12"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LD</w:t>
            </w:r>
            <w:r>
              <w:rPr>
                <w:rFonts w:ascii="Times New Roman" w:hAnsi="Times New Roman" w:cs="Times New Roman"/>
                <w:color w:val="auto"/>
                <w:kern w:val="52"/>
                <w:sz w:val="21"/>
                <w:vertAlign w:val="subscript"/>
              </w:rPr>
              <w:t>50</w:t>
            </w:r>
            <w:r>
              <w:rPr>
                <w:rFonts w:ascii="Times New Roman" w:hAnsi="Times New Roman" w:cs="Times New Roman"/>
                <w:color w:val="auto"/>
                <w:kern w:val="52"/>
                <w:sz w:val="21"/>
              </w:rPr>
              <w:t xml:space="preserve"> (</w:t>
            </w:r>
            <w:r>
              <w:rPr>
                <w:rFonts w:ascii="Times New Roman" w:cs="Times New Roman"/>
                <w:color w:val="auto"/>
                <w:kern w:val="52"/>
                <w:sz w:val="21"/>
              </w:rPr>
              <w:t>大鼠经口</w:t>
            </w:r>
            <w:r>
              <w:rPr>
                <w:rFonts w:ascii="Times New Roman" w:hAnsi="Times New Roman" w:cs="Times New Roman"/>
                <w:color w:val="auto"/>
                <w:kern w:val="52"/>
                <w:sz w:val="21"/>
              </w:rPr>
              <w:t>)mg/kg</w:t>
            </w:r>
          </w:p>
        </w:tc>
        <w:tc>
          <w:tcPr>
            <w:tcW w:w="2338" w:type="dxa"/>
            <w:tcBorders>
              <w:top w:val="single" w:color="auto" w:sz="12"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LD</w:t>
            </w:r>
            <w:r>
              <w:rPr>
                <w:rFonts w:ascii="Times New Roman" w:hAnsi="Times New Roman" w:cs="Times New Roman"/>
                <w:color w:val="auto"/>
                <w:kern w:val="52"/>
                <w:sz w:val="21"/>
                <w:vertAlign w:val="subscript"/>
              </w:rPr>
              <w:t>50</w:t>
            </w:r>
            <w:r>
              <w:rPr>
                <w:rFonts w:ascii="Times New Roman" w:hAnsi="Times New Roman" w:cs="Times New Roman"/>
                <w:color w:val="auto"/>
                <w:kern w:val="52"/>
                <w:sz w:val="21"/>
              </w:rPr>
              <w:t xml:space="preserve"> (</w:t>
            </w:r>
            <w:r>
              <w:rPr>
                <w:rFonts w:ascii="Times New Roman" w:cs="Times New Roman"/>
                <w:color w:val="auto"/>
                <w:kern w:val="52"/>
                <w:sz w:val="21"/>
              </w:rPr>
              <w:t>大鼠经皮</w:t>
            </w:r>
            <w:r>
              <w:rPr>
                <w:rFonts w:ascii="Times New Roman" w:hAnsi="Times New Roman" w:cs="Times New Roman"/>
                <w:color w:val="auto"/>
                <w:kern w:val="52"/>
                <w:sz w:val="21"/>
              </w:rPr>
              <w:t>)mg/kg</w:t>
            </w:r>
          </w:p>
        </w:tc>
        <w:tc>
          <w:tcPr>
            <w:tcW w:w="2970" w:type="dxa"/>
            <w:tcBorders>
              <w:top w:val="single" w:color="auto" w:sz="12"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LC</w:t>
            </w:r>
            <w:r>
              <w:rPr>
                <w:rFonts w:ascii="Times New Roman" w:hAnsi="Times New Roman" w:cs="Times New Roman"/>
                <w:color w:val="auto"/>
                <w:kern w:val="52"/>
                <w:sz w:val="21"/>
                <w:vertAlign w:val="subscript"/>
              </w:rPr>
              <w:t>50</w:t>
            </w:r>
            <w:r>
              <w:rPr>
                <w:rFonts w:ascii="Times New Roman" w:cs="Times New Roman"/>
                <w:color w:val="auto"/>
                <w:kern w:val="52"/>
                <w:sz w:val="21"/>
              </w:rPr>
              <w:t>（小鼠吸入，</w:t>
            </w:r>
            <w:r>
              <w:rPr>
                <w:rFonts w:ascii="Times New Roman" w:hAnsi="Times New Roman" w:cs="Times New Roman"/>
                <w:color w:val="auto"/>
                <w:kern w:val="52"/>
                <w:sz w:val="21"/>
              </w:rPr>
              <w:t>4</w:t>
            </w:r>
            <w:r>
              <w:rPr>
                <w:rFonts w:ascii="Times New Roman" w:cs="Times New Roman"/>
                <w:color w:val="auto"/>
                <w:kern w:val="52"/>
                <w:sz w:val="21"/>
              </w:rPr>
              <w:t>小时）</w:t>
            </w:r>
            <w:r>
              <w:rPr>
                <w:rFonts w:ascii="Times New Roman" w:hAnsi="Times New Roman" w:cs="Times New Roman"/>
                <w:color w:val="auto"/>
                <w:kern w:val="52"/>
                <w:sz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93" w:hRule="atLeast"/>
        </w:trPr>
        <w:tc>
          <w:tcPr>
            <w:tcW w:w="708" w:type="dxa"/>
            <w:vMerge w:val="restart"/>
            <w:tcBorders>
              <w:top w:val="single" w:color="auto" w:sz="4" w:space="0"/>
              <w:left w:val="nil"/>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有毒</w:t>
            </w:r>
          </w:p>
          <w:p>
            <w:pPr>
              <w:pStyle w:val="84"/>
              <w:rPr>
                <w:rFonts w:ascii="Times New Roman" w:hAnsi="Times New Roman" w:cs="Times New Roman"/>
                <w:color w:val="auto"/>
                <w:kern w:val="52"/>
                <w:sz w:val="21"/>
              </w:rPr>
            </w:pPr>
            <w:r>
              <w:rPr>
                <w:rFonts w:ascii="Times New Roman" w:cs="Times New Roman"/>
                <w:color w:val="auto"/>
                <w:kern w:val="52"/>
                <w:sz w:val="21"/>
              </w:rPr>
              <w:t>物质</w:t>
            </w:r>
          </w:p>
        </w:tc>
        <w:tc>
          <w:tcPr>
            <w:tcW w:w="787"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1</w:t>
            </w:r>
          </w:p>
        </w:tc>
        <w:tc>
          <w:tcPr>
            <w:tcW w:w="2483"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w:t>
            </w:r>
            <w:r>
              <w:rPr>
                <w:rFonts w:ascii="Times New Roman" w:hAnsi="Times New Roman" w:cs="Times New Roman"/>
                <w:color w:val="auto"/>
                <w:kern w:val="52"/>
                <w:sz w:val="21"/>
              </w:rPr>
              <w:t>5</w:t>
            </w:r>
          </w:p>
        </w:tc>
        <w:tc>
          <w:tcPr>
            <w:tcW w:w="2338"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w:t>
            </w:r>
            <w:r>
              <w:rPr>
                <w:rFonts w:ascii="Times New Roman" w:hAnsi="Times New Roman" w:cs="Times New Roman"/>
                <w:color w:val="auto"/>
                <w:kern w:val="52"/>
                <w:sz w:val="21"/>
              </w:rPr>
              <w:t>1</w:t>
            </w:r>
          </w:p>
        </w:tc>
        <w:tc>
          <w:tcPr>
            <w:tcW w:w="2970" w:type="dxa"/>
            <w:tcBorders>
              <w:top w:val="single" w:color="auto" w:sz="4"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w:t>
            </w:r>
            <w:r>
              <w:rPr>
                <w:rFonts w:ascii="Times New Roman" w:hAnsi="Times New Roman" w:cs="Times New Roman"/>
                <w:color w:val="auto"/>
                <w:kern w:val="52"/>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125" w:hRule="atLeast"/>
        </w:trPr>
        <w:tc>
          <w:tcPr>
            <w:tcW w:w="708" w:type="dxa"/>
            <w:vMerge w:val="continue"/>
            <w:tcBorders>
              <w:top w:val="single" w:color="auto" w:sz="4" w:space="0"/>
              <w:left w:val="nil"/>
              <w:bottom w:val="single" w:color="auto" w:sz="4" w:space="0"/>
              <w:right w:val="single" w:color="auto" w:sz="6" w:space="0"/>
            </w:tcBorders>
            <w:vAlign w:val="center"/>
          </w:tcPr>
          <w:p>
            <w:pPr>
              <w:widowControl/>
              <w:jc w:val="left"/>
              <w:rPr>
                <w:color w:val="auto"/>
                <w:kern w:val="52"/>
                <w:szCs w:val="21"/>
              </w:rPr>
            </w:pPr>
          </w:p>
        </w:tc>
        <w:tc>
          <w:tcPr>
            <w:tcW w:w="787"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2</w:t>
            </w:r>
          </w:p>
        </w:tc>
        <w:tc>
          <w:tcPr>
            <w:tcW w:w="2483"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5</w:t>
            </w:r>
            <w:r>
              <w:rPr>
                <w:rFonts w:ascii="Times New Roman" w:cs="Times New Roman"/>
                <w:color w:val="auto"/>
                <w:kern w:val="52"/>
                <w:sz w:val="21"/>
              </w:rPr>
              <w:t>﹤</w:t>
            </w:r>
            <w:r>
              <w:rPr>
                <w:rFonts w:ascii="Times New Roman" w:hAnsi="Times New Roman" w:cs="Times New Roman"/>
                <w:color w:val="auto"/>
                <w:kern w:val="52"/>
                <w:sz w:val="21"/>
              </w:rPr>
              <w:t>LD</w:t>
            </w:r>
            <w:r>
              <w:rPr>
                <w:rFonts w:ascii="Times New Roman" w:hAnsi="Times New Roman" w:cs="Times New Roman"/>
                <w:color w:val="auto"/>
                <w:kern w:val="52"/>
                <w:sz w:val="21"/>
                <w:vertAlign w:val="subscript"/>
              </w:rPr>
              <w:t>50</w:t>
            </w:r>
            <w:r>
              <w:rPr>
                <w:rFonts w:ascii="Times New Roman" w:cs="Times New Roman"/>
                <w:color w:val="auto"/>
                <w:kern w:val="52"/>
                <w:sz w:val="21"/>
              </w:rPr>
              <w:t>﹤</w:t>
            </w:r>
            <w:r>
              <w:rPr>
                <w:rFonts w:ascii="Times New Roman" w:hAnsi="Times New Roman" w:cs="Times New Roman"/>
                <w:color w:val="auto"/>
                <w:kern w:val="52"/>
                <w:sz w:val="21"/>
              </w:rPr>
              <w:t>25</w:t>
            </w:r>
          </w:p>
        </w:tc>
        <w:tc>
          <w:tcPr>
            <w:tcW w:w="2338"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10</w:t>
            </w:r>
            <w:r>
              <w:rPr>
                <w:rFonts w:ascii="Times New Roman" w:cs="Times New Roman"/>
                <w:color w:val="auto"/>
                <w:kern w:val="52"/>
                <w:sz w:val="21"/>
              </w:rPr>
              <w:t>﹤</w:t>
            </w:r>
            <w:r>
              <w:rPr>
                <w:rFonts w:ascii="Times New Roman" w:hAnsi="Times New Roman" w:cs="Times New Roman"/>
                <w:color w:val="auto"/>
                <w:kern w:val="52"/>
                <w:sz w:val="21"/>
              </w:rPr>
              <w:t>LD</w:t>
            </w:r>
            <w:r>
              <w:rPr>
                <w:rFonts w:ascii="Times New Roman" w:hAnsi="Times New Roman" w:cs="Times New Roman"/>
                <w:color w:val="auto"/>
                <w:kern w:val="52"/>
                <w:sz w:val="21"/>
                <w:vertAlign w:val="subscript"/>
              </w:rPr>
              <w:t>50</w:t>
            </w:r>
            <w:r>
              <w:rPr>
                <w:rFonts w:ascii="Times New Roman" w:cs="Times New Roman"/>
                <w:color w:val="auto"/>
                <w:kern w:val="52"/>
                <w:sz w:val="21"/>
              </w:rPr>
              <w:t>﹤</w:t>
            </w:r>
            <w:r>
              <w:rPr>
                <w:rFonts w:ascii="Times New Roman" w:hAnsi="Times New Roman" w:cs="Times New Roman"/>
                <w:color w:val="auto"/>
                <w:kern w:val="52"/>
                <w:sz w:val="21"/>
              </w:rPr>
              <w:t>50</w:t>
            </w:r>
          </w:p>
        </w:tc>
        <w:tc>
          <w:tcPr>
            <w:tcW w:w="2970" w:type="dxa"/>
            <w:tcBorders>
              <w:top w:val="single" w:color="auto" w:sz="4"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0.1</w:t>
            </w:r>
            <w:r>
              <w:rPr>
                <w:rFonts w:ascii="Times New Roman" w:cs="Times New Roman"/>
                <w:color w:val="auto"/>
                <w:kern w:val="52"/>
                <w:sz w:val="21"/>
              </w:rPr>
              <w:t>﹤</w:t>
            </w:r>
            <w:r>
              <w:rPr>
                <w:rFonts w:ascii="Times New Roman" w:hAnsi="Times New Roman" w:cs="Times New Roman"/>
                <w:color w:val="auto"/>
                <w:kern w:val="52"/>
                <w:sz w:val="21"/>
              </w:rPr>
              <w:t>LC</w:t>
            </w:r>
            <w:r>
              <w:rPr>
                <w:rFonts w:ascii="Times New Roman" w:hAnsi="Times New Roman" w:cs="Times New Roman"/>
                <w:color w:val="auto"/>
                <w:kern w:val="52"/>
                <w:sz w:val="21"/>
                <w:vertAlign w:val="subscript"/>
              </w:rPr>
              <w:t>50</w:t>
            </w:r>
            <w:r>
              <w:rPr>
                <w:rFonts w:ascii="Times New Roman" w:cs="Times New Roman"/>
                <w:color w:val="auto"/>
                <w:kern w:val="52"/>
                <w:sz w:val="21"/>
              </w:rPr>
              <w:t>﹤</w:t>
            </w:r>
            <w:r>
              <w:rPr>
                <w:rFonts w:ascii="Times New Roman" w:hAnsi="Times New Roman" w:cs="Times New Roman"/>
                <w:color w:val="auto"/>
                <w:kern w:val="52"/>
                <w:sz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708" w:type="dxa"/>
            <w:vMerge w:val="continue"/>
            <w:tcBorders>
              <w:top w:val="single" w:color="auto" w:sz="4" w:space="0"/>
              <w:left w:val="nil"/>
              <w:bottom w:val="single" w:color="auto" w:sz="4" w:space="0"/>
              <w:right w:val="single" w:color="auto" w:sz="6" w:space="0"/>
            </w:tcBorders>
            <w:vAlign w:val="center"/>
          </w:tcPr>
          <w:p>
            <w:pPr>
              <w:widowControl/>
              <w:jc w:val="left"/>
              <w:rPr>
                <w:color w:val="auto"/>
                <w:kern w:val="52"/>
                <w:szCs w:val="21"/>
              </w:rPr>
            </w:pPr>
          </w:p>
        </w:tc>
        <w:tc>
          <w:tcPr>
            <w:tcW w:w="787"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3</w:t>
            </w:r>
          </w:p>
        </w:tc>
        <w:tc>
          <w:tcPr>
            <w:tcW w:w="2483"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25</w:t>
            </w:r>
            <w:r>
              <w:rPr>
                <w:rFonts w:ascii="Times New Roman" w:cs="Times New Roman"/>
                <w:color w:val="auto"/>
                <w:kern w:val="52"/>
                <w:sz w:val="21"/>
              </w:rPr>
              <w:t>﹤</w:t>
            </w:r>
            <w:r>
              <w:rPr>
                <w:rFonts w:ascii="Times New Roman" w:hAnsi="Times New Roman" w:cs="Times New Roman"/>
                <w:color w:val="auto"/>
                <w:kern w:val="52"/>
                <w:sz w:val="21"/>
              </w:rPr>
              <w:t>LD</w:t>
            </w:r>
            <w:r>
              <w:rPr>
                <w:rFonts w:ascii="Times New Roman" w:hAnsi="Times New Roman" w:cs="Times New Roman"/>
                <w:color w:val="auto"/>
                <w:kern w:val="52"/>
                <w:sz w:val="21"/>
                <w:vertAlign w:val="subscript"/>
              </w:rPr>
              <w:t>50</w:t>
            </w:r>
            <w:r>
              <w:rPr>
                <w:rFonts w:ascii="Times New Roman" w:cs="Times New Roman"/>
                <w:color w:val="auto"/>
                <w:kern w:val="52"/>
                <w:sz w:val="21"/>
              </w:rPr>
              <w:t>﹤</w:t>
            </w:r>
            <w:r>
              <w:rPr>
                <w:rFonts w:ascii="Times New Roman" w:hAnsi="Times New Roman" w:cs="Times New Roman"/>
                <w:color w:val="auto"/>
                <w:kern w:val="52"/>
                <w:sz w:val="21"/>
              </w:rPr>
              <w:t>200</w:t>
            </w:r>
          </w:p>
        </w:tc>
        <w:tc>
          <w:tcPr>
            <w:tcW w:w="2338"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50</w:t>
            </w:r>
            <w:r>
              <w:rPr>
                <w:rFonts w:ascii="Times New Roman" w:cs="Times New Roman"/>
                <w:color w:val="auto"/>
                <w:kern w:val="52"/>
                <w:sz w:val="21"/>
              </w:rPr>
              <w:t>﹤</w:t>
            </w:r>
            <w:r>
              <w:rPr>
                <w:rFonts w:ascii="Times New Roman" w:hAnsi="Times New Roman" w:cs="Times New Roman"/>
                <w:color w:val="auto"/>
                <w:kern w:val="52"/>
                <w:sz w:val="21"/>
              </w:rPr>
              <w:t>LD</w:t>
            </w:r>
            <w:r>
              <w:rPr>
                <w:rFonts w:ascii="Times New Roman" w:hAnsi="Times New Roman" w:cs="Times New Roman"/>
                <w:color w:val="auto"/>
                <w:kern w:val="52"/>
                <w:sz w:val="21"/>
                <w:vertAlign w:val="subscript"/>
              </w:rPr>
              <w:t>50</w:t>
            </w:r>
            <w:r>
              <w:rPr>
                <w:rFonts w:ascii="Times New Roman" w:cs="Times New Roman"/>
                <w:color w:val="auto"/>
                <w:kern w:val="52"/>
                <w:sz w:val="21"/>
              </w:rPr>
              <w:t>﹤</w:t>
            </w:r>
            <w:r>
              <w:rPr>
                <w:rFonts w:ascii="Times New Roman" w:hAnsi="Times New Roman" w:cs="Times New Roman"/>
                <w:color w:val="auto"/>
                <w:kern w:val="52"/>
                <w:sz w:val="21"/>
              </w:rPr>
              <w:t>400</w:t>
            </w:r>
          </w:p>
        </w:tc>
        <w:tc>
          <w:tcPr>
            <w:tcW w:w="2970" w:type="dxa"/>
            <w:tcBorders>
              <w:top w:val="single" w:color="auto" w:sz="4"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0.5</w:t>
            </w:r>
            <w:r>
              <w:rPr>
                <w:rFonts w:ascii="Times New Roman" w:cs="Times New Roman"/>
                <w:color w:val="auto"/>
                <w:kern w:val="52"/>
                <w:sz w:val="21"/>
              </w:rPr>
              <w:t>﹤</w:t>
            </w:r>
            <w:r>
              <w:rPr>
                <w:rFonts w:ascii="Times New Roman" w:hAnsi="Times New Roman" w:cs="Times New Roman"/>
                <w:color w:val="auto"/>
                <w:kern w:val="52"/>
                <w:sz w:val="21"/>
              </w:rPr>
              <w:t>LC</w:t>
            </w:r>
            <w:r>
              <w:rPr>
                <w:rFonts w:ascii="Times New Roman" w:hAnsi="Times New Roman" w:cs="Times New Roman"/>
                <w:color w:val="auto"/>
                <w:kern w:val="52"/>
                <w:sz w:val="21"/>
                <w:vertAlign w:val="subscript"/>
              </w:rPr>
              <w:t>50</w:t>
            </w:r>
            <w:r>
              <w:rPr>
                <w:rFonts w:ascii="Times New Roman" w:cs="Times New Roman"/>
                <w:color w:val="auto"/>
                <w:kern w:val="52"/>
                <w:sz w:val="21"/>
              </w:rPr>
              <w:t>﹤</w:t>
            </w:r>
            <w:r>
              <w:rPr>
                <w:rFonts w:ascii="Times New Roman" w:hAnsi="Times New Roman" w:cs="Times New Roman"/>
                <w:color w:val="auto"/>
                <w:kern w:val="52"/>
                <w:sz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559" w:hRule="atLeast"/>
        </w:trPr>
        <w:tc>
          <w:tcPr>
            <w:tcW w:w="708" w:type="dxa"/>
            <w:vMerge w:val="restart"/>
            <w:tcBorders>
              <w:top w:val="single" w:color="auto" w:sz="4" w:space="0"/>
              <w:left w:val="nil"/>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易燃</w:t>
            </w:r>
          </w:p>
          <w:p>
            <w:pPr>
              <w:pStyle w:val="84"/>
              <w:rPr>
                <w:rFonts w:ascii="Times New Roman" w:hAnsi="Times New Roman" w:cs="Times New Roman"/>
                <w:color w:val="auto"/>
                <w:kern w:val="52"/>
                <w:sz w:val="21"/>
              </w:rPr>
            </w:pPr>
            <w:r>
              <w:rPr>
                <w:rFonts w:ascii="Times New Roman" w:cs="Times New Roman"/>
                <w:color w:val="auto"/>
                <w:kern w:val="52"/>
                <w:sz w:val="21"/>
              </w:rPr>
              <w:t>物质</w:t>
            </w:r>
          </w:p>
        </w:tc>
        <w:tc>
          <w:tcPr>
            <w:tcW w:w="787"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1</w:t>
            </w:r>
          </w:p>
        </w:tc>
        <w:tc>
          <w:tcPr>
            <w:tcW w:w="7791" w:type="dxa"/>
            <w:gridSpan w:val="3"/>
            <w:tcBorders>
              <w:top w:val="single" w:color="auto" w:sz="4"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可燃气体，在常压下以气态存在并与空气混合形成可燃混合物；其沸点（常压下）是</w:t>
            </w:r>
            <w:r>
              <w:rPr>
                <w:rFonts w:ascii="Times New Roman" w:hAnsi="Times New Roman" w:cs="Times New Roman"/>
                <w:color w:val="auto"/>
                <w:kern w:val="52"/>
                <w:sz w:val="21"/>
              </w:rPr>
              <w:t>20</w:t>
            </w:r>
            <w:r>
              <w:rPr>
                <w:rFonts w:ascii="Times New Roman" w:cs="Times New Roman"/>
                <w:color w:val="auto"/>
                <w:kern w:val="52"/>
                <w:sz w:val="21"/>
              </w:rPr>
              <w:t>℃或</w:t>
            </w:r>
            <w:r>
              <w:rPr>
                <w:rFonts w:ascii="Times New Roman" w:hAnsi="Times New Roman" w:cs="Times New Roman"/>
                <w:color w:val="auto"/>
                <w:kern w:val="52"/>
                <w:sz w:val="21"/>
              </w:rPr>
              <w:t>20</w:t>
            </w:r>
            <w:r>
              <w:rPr>
                <w:rFonts w:ascii="Times New Roman" w:cs="Times New Roman"/>
                <w:color w:val="auto"/>
                <w:kern w:val="52"/>
                <w:sz w:val="21"/>
              </w:rPr>
              <w:t>℃以下的物质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708" w:type="dxa"/>
            <w:vMerge w:val="continue"/>
            <w:tcBorders>
              <w:top w:val="single" w:color="auto" w:sz="4" w:space="0"/>
              <w:left w:val="nil"/>
              <w:bottom w:val="single" w:color="auto" w:sz="4" w:space="0"/>
              <w:right w:val="single" w:color="auto" w:sz="6" w:space="0"/>
            </w:tcBorders>
            <w:vAlign w:val="center"/>
          </w:tcPr>
          <w:p>
            <w:pPr>
              <w:widowControl/>
              <w:jc w:val="left"/>
              <w:rPr>
                <w:color w:val="auto"/>
                <w:kern w:val="52"/>
                <w:szCs w:val="21"/>
              </w:rPr>
            </w:pPr>
          </w:p>
        </w:tc>
        <w:tc>
          <w:tcPr>
            <w:tcW w:w="787"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2</w:t>
            </w:r>
          </w:p>
        </w:tc>
        <w:tc>
          <w:tcPr>
            <w:tcW w:w="7791" w:type="dxa"/>
            <w:gridSpan w:val="3"/>
            <w:tcBorders>
              <w:top w:val="single" w:color="auto" w:sz="4"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易燃液体，闪点低于</w:t>
            </w:r>
            <w:r>
              <w:rPr>
                <w:rFonts w:ascii="Times New Roman" w:hAnsi="Times New Roman" w:cs="Times New Roman"/>
                <w:color w:val="auto"/>
                <w:kern w:val="52"/>
                <w:sz w:val="21"/>
              </w:rPr>
              <w:t>21</w:t>
            </w:r>
            <w:r>
              <w:rPr>
                <w:rFonts w:ascii="Times New Roman" w:cs="Times New Roman"/>
                <w:color w:val="auto"/>
                <w:kern w:val="52"/>
                <w:sz w:val="21"/>
              </w:rPr>
              <w:t>℃，沸点高于</w:t>
            </w:r>
            <w:r>
              <w:rPr>
                <w:rFonts w:ascii="Times New Roman" w:hAnsi="Times New Roman" w:cs="Times New Roman"/>
                <w:color w:val="auto"/>
                <w:kern w:val="52"/>
                <w:sz w:val="21"/>
              </w:rPr>
              <w:t>20</w:t>
            </w:r>
            <w:r>
              <w:rPr>
                <w:rFonts w:ascii="Times New Roman" w:cs="Times New Roman"/>
                <w:color w:val="auto"/>
                <w:kern w:val="52"/>
                <w:sz w:val="21"/>
              </w:rPr>
              <w:t>℃的物质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403" w:hRule="atLeast"/>
        </w:trPr>
        <w:tc>
          <w:tcPr>
            <w:tcW w:w="708" w:type="dxa"/>
            <w:vMerge w:val="continue"/>
            <w:tcBorders>
              <w:top w:val="single" w:color="auto" w:sz="4" w:space="0"/>
              <w:left w:val="nil"/>
              <w:bottom w:val="single" w:color="auto" w:sz="4" w:space="0"/>
              <w:right w:val="single" w:color="auto" w:sz="6" w:space="0"/>
            </w:tcBorders>
            <w:vAlign w:val="center"/>
          </w:tcPr>
          <w:p>
            <w:pPr>
              <w:widowControl/>
              <w:jc w:val="left"/>
              <w:rPr>
                <w:color w:val="auto"/>
                <w:kern w:val="52"/>
                <w:szCs w:val="21"/>
              </w:rPr>
            </w:pPr>
          </w:p>
        </w:tc>
        <w:tc>
          <w:tcPr>
            <w:tcW w:w="787" w:type="dxa"/>
            <w:tcBorders>
              <w:top w:val="single" w:color="auto" w:sz="4" w:space="0"/>
              <w:left w:val="single" w:color="auto" w:sz="6" w:space="0"/>
              <w:bottom w:val="single" w:color="auto" w:sz="4" w:space="0"/>
              <w:right w:val="single" w:color="auto" w:sz="6" w:space="0"/>
            </w:tcBorders>
            <w:vAlign w:val="center"/>
          </w:tcPr>
          <w:p>
            <w:pPr>
              <w:pStyle w:val="84"/>
              <w:rPr>
                <w:rFonts w:ascii="Times New Roman" w:hAnsi="Times New Roman" w:cs="Times New Roman"/>
                <w:color w:val="auto"/>
                <w:kern w:val="52"/>
                <w:sz w:val="21"/>
              </w:rPr>
            </w:pPr>
            <w:r>
              <w:rPr>
                <w:rFonts w:ascii="Times New Roman" w:hAnsi="Times New Roman" w:cs="Times New Roman"/>
                <w:color w:val="auto"/>
                <w:kern w:val="52"/>
                <w:sz w:val="21"/>
              </w:rPr>
              <w:t>3</w:t>
            </w:r>
          </w:p>
        </w:tc>
        <w:tc>
          <w:tcPr>
            <w:tcW w:w="7791" w:type="dxa"/>
            <w:gridSpan w:val="3"/>
            <w:tcBorders>
              <w:top w:val="single" w:color="auto" w:sz="4" w:space="0"/>
              <w:left w:val="single" w:color="auto" w:sz="6" w:space="0"/>
              <w:bottom w:val="single" w:color="auto" w:sz="4" w:space="0"/>
              <w:right w:val="nil"/>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可燃液体，闪点低于</w:t>
            </w:r>
            <w:r>
              <w:rPr>
                <w:rFonts w:ascii="Times New Roman" w:hAnsi="Times New Roman" w:cs="Times New Roman"/>
                <w:color w:val="auto"/>
                <w:kern w:val="52"/>
                <w:sz w:val="21"/>
              </w:rPr>
              <w:t>55</w:t>
            </w:r>
            <w:r>
              <w:rPr>
                <w:rFonts w:ascii="Times New Roman" w:cs="Times New Roman"/>
                <w:color w:val="auto"/>
                <w:kern w:val="52"/>
                <w:sz w:val="21"/>
              </w:rPr>
              <w:t>℃，压力下保持液态，在实际操作条件下（如高温高压）可以引起重大事故的物质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495" w:type="dxa"/>
            <w:gridSpan w:val="2"/>
            <w:tcBorders>
              <w:top w:val="single" w:color="auto" w:sz="4" w:space="0"/>
              <w:left w:val="nil"/>
              <w:bottom w:val="single" w:color="auto" w:sz="12" w:space="0"/>
              <w:right w:val="single" w:color="auto" w:sz="6" w:space="0"/>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爆炸性物质</w:t>
            </w:r>
          </w:p>
        </w:tc>
        <w:tc>
          <w:tcPr>
            <w:tcW w:w="7791" w:type="dxa"/>
            <w:gridSpan w:val="3"/>
            <w:tcBorders>
              <w:top w:val="single" w:color="auto" w:sz="4" w:space="0"/>
              <w:left w:val="single" w:color="auto" w:sz="6" w:space="0"/>
              <w:bottom w:val="single" w:color="auto" w:sz="12" w:space="0"/>
              <w:right w:val="nil"/>
            </w:tcBorders>
            <w:vAlign w:val="center"/>
          </w:tcPr>
          <w:p>
            <w:pPr>
              <w:pStyle w:val="84"/>
              <w:rPr>
                <w:rFonts w:ascii="Times New Roman" w:hAnsi="Times New Roman" w:cs="Times New Roman"/>
                <w:color w:val="auto"/>
                <w:kern w:val="52"/>
                <w:sz w:val="21"/>
              </w:rPr>
            </w:pPr>
            <w:r>
              <w:rPr>
                <w:rFonts w:ascii="Times New Roman" w:cs="Times New Roman"/>
                <w:color w:val="auto"/>
                <w:kern w:val="52"/>
                <w:sz w:val="21"/>
              </w:rPr>
              <w:t>在火焰影响下可以爆炸，或者对冲击、摩擦比硝基苯更为敏感的物质</w:t>
            </w:r>
          </w:p>
        </w:tc>
      </w:tr>
    </w:tbl>
    <w:p>
      <w:pPr>
        <w:ind w:firstLine="482"/>
        <w:rPr>
          <w:rFonts w:hAnsi="宋体"/>
          <w:color w:val="auto"/>
          <w:sz w:val="18"/>
          <w:szCs w:val="18"/>
        </w:rPr>
      </w:pPr>
      <w:r>
        <w:rPr>
          <w:rFonts w:hint="eastAsia" w:hAnsi="宋体"/>
          <w:color w:val="auto"/>
          <w:sz w:val="18"/>
          <w:szCs w:val="18"/>
        </w:rPr>
        <w:t>注：</w:t>
      </w:r>
      <w:r>
        <w:rPr>
          <w:color w:val="auto"/>
          <w:sz w:val="18"/>
          <w:szCs w:val="18"/>
        </w:rPr>
        <w:fldChar w:fldCharType="begin"/>
      </w:r>
      <w:r>
        <w:rPr>
          <w:color w:val="auto"/>
          <w:sz w:val="18"/>
          <w:szCs w:val="18"/>
        </w:rPr>
        <w:instrText xml:space="preserve"> = 1 \* GB3 </w:instrText>
      </w:r>
      <w:r>
        <w:rPr>
          <w:color w:val="auto"/>
          <w:sz w:val="18"/>
          <w:szCs w:val="18"/>
        </w:rPr>
        <w:fldChar w:fldCharType="separate"/>
      </w:r>
      <w:r>
        <w:rPr>
          <w:rFonts w:hint="eastAsia" w:ascii="宋体" w:hAnsi="宋体"/>
          <w:color w:val="auto"/>
          <w:sz w:val="18"/>
          <w:szCs w:val="18"/>
        </w:rPr>
        <w:t>①</w:t>
      </w:r>
      <w:r>
        <w:rPr>
          <w:color w:val="auto"/>
          <w:sz w:val="18"/>
          <w:szCs w:val="18"/>
        </w:rPr>
        <w:fldChar w:fldCharType="end"/>
      </w:r>
      <w:r>
        <w:rPr>
          <w:rFonts w:hint="eastAsia" w:hAnsi="宋体"/>
          <w:color w:val="auto"/>
          <w:sz w:val="18"/>
          <w:szCs w:val="18"/>
        </w:rPr>
        <w:t>有毒物质判定标准序号为</w:t>
      </w:r>
      <w:r>
        <w:rPr>
          <w:color w:val="auto"/>
          <w:sz w:val="18"/>
          <w:szCs w:val="18"/>
        </w:rPr>
        <w:t>1</w:t>
      </w:r>
      <w:r>
        <w:rPr>
          <w:rFonts w:hint="eastAsia" w:hAnsi="宋体"/>
          <w:color w:val="auto"/>
          <w:sz w:val="18"/>
          <w:szCs w:val="18"/>
        </w:rPr>
        <w:t>、</w:t>
      </w:r>
      <w:r>
        <w:rPr>
          <w:color w:val="auto"/>
          <w:sz w:val="18"/>
          <w:szCs w:val="18"/>
        </w:rPr>
        <w:t>2</w:t>
      </w:r>
      <w:r>
        <w:rPr>
          <w:rFonts w:hint="eastAsia" w:hAnsi="宋体"/>
          <w:color w:val="auto"/>
          <w:sz w:val="18"/>
          <w:szCs w:val="18"/>
        </w:rPr>
        <w:t>的物质，属于剧毒物质；符合有毒物质判定标准序号</w:t>
      </w:r>
      <w:r>
        <w:rPr>
          <w:color w:val="auto"/>
          <w:sz w:val="18"/>
          <w:szCs w:val="18"/>
        </w:rPr>
        <w:t>3</w:t>
      </w:r>
      <w:r>
        <w:rPr>
          <w:rFonts w:hint="eastAsia" w:hAnsi="宋体"/>
          <w:color w:val="auto"/>
          <w:sz w:val="18"/>
          <w:szCs w:val="18"/>
        </w:rPr>
        <w:t>的属于一般毒物。</w:t>
      </w:r>
      <w:r>
        <w:rPr>
          <w:color w:val="auto"/>
          <w:sz w:val="18"/>
          <w:szCs w:val="18"/>
        </w:rPr>
        <w:fldChar w:fldCharType="begin"/>
      </w:r>
      <w:r>
        <w:rPr>
          <w:color w:val="auto"/>
          <w:sz w:val="18"/>
          <w:szCs w:val="18"/>
        </w:rPr>
        <w:instrText xml:space="preserve"> = 2 \* GB3 </w:instrText>
      </w:r>
      <w:r>
        <w:rPr>
          <w:color w:val="auto"/>
          <w:sz w:val="18"/>
          <w:szCs w:val="18"/>
        </w:rPr>
        <w:fldChar w:fldCharType="separate"/>
      </w:r>
      <w:r>
        <w:rPr>
          <w:rFonts w:hint="eastAsia" w:ascii="宋体" w:hAnsi="宋体"/>
          <w:color w:val="auto"/>
          <w:sz w:val="18"/>
          <w:szCs w:val="18"/>
        </w:rPr>
        <w:t>②</w:t>
      </w:r>
      <w:r>
        <w:rPr>
          <w:color w:val="auto"/>
          <w:sz w:val="18"/>
          <w:szCs w:val="18"/>
        </w:rPr>
        <w:fldChar w:fldCharType="end"/>
      </w:r>
      <w:r>
        <w:rPr>
          <w:rFonts w:hint="eastAsia" w:hAnsi="宋体"/>
          <w:color w:val="auto"/>
          <w:sz w:val="18"/>
          <w:szCs w:val="18"/>
        </w:rPr>
        <w:t>凡符合表中易燃物质和爆炸性物质标准的物质，均视为火灾、爆炸危险物质。</w:t>
      </w:r>
    </w:p>
    <w:p>
      <w:pPr>
        <w:spacing w:before="120" w:beforeLines="50" w:line="360" w:lineRule="auto"/>
        <w:ind w:firstLine="480" w:firstLineChars="200"/>
        <w:jc w:val="left"/>
        <w:rPr>
          <w:rFonts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）主要危险物质</w:t>
      </w:r>
    </w:p>
    <w:p>
      <w:pPr>
        <w:spacing w:line="360" w:lineRule="auto"/>
        <w:ind w:firstLine="420"/>
        <w:outlineLvl w:val="3"/>
        <w:rPr>
          <w:rFonts w:hAnsi="宋体"/>
          <w:color w:val="auto"/>
          <w:sz w:val="24"/>
        </w:rPr>
      </w:pPr>
      <w:r>
        <w:rPr>
          <w:rFonts w:hint="eastAsia" w:hAnsi="宋体"/>
          <w:color w:val="auto"/>
          <w:sz w:val="24"/>
        </w:rPr>
        <w:t>本项目生产运营过程涉及的主要危险物质包括：硝酸、氢氟酸、氰化钠、氯化镍、硫酸镍等。</w:t>
      </w:r>
    </w:p>
    <w:p>
      <w:pPr>
        <w:spacing w:line="360" w:lineRule="auto"/>
        <w:outlineLvl w:val="3"/>
        <w:rPr>
          <w:b/>
          <w:color w:val="auto"/>
          <w:sz w:val="24"/>
        </w:rPr>
      </w:pPr>
      <w:r>
        <w:rPr>
          <w:rFonts w:hint="eastAsia"/>
          <w:b/>
          <w:color w:val="auto"/>
          <w:sz w:val="24"/>
        </w:rPr>
        <w:t>7.6.4</w:t>
      </w:r>
      <w:r>
        <w:rPr>
          <w:b/>
          <w:color w:val="auto"/>
          <w:sz w:val="24"/>
        </w:rPr>
        <w:t xml:space="preserve"> </w:t>
      </w:r>
      <w:r>
        <w:rPr>
          <w:rFonts w:hint="eastAsia"/>
          <w:b/>
          <w:color w:val="auto"/>
          <w:sz w:val="24"/>
        </w:rPr>
        <w:t>环境风险评价工作等级</w:t>
      </w:r>
    </w:p>
    <w:p>
      <w:pPr>
        <w:pStyle w:val="79"/>
        <w:ind w:firstLine="480"/>
        <w:rPr>
          <w:rFonts w:cs="Times New Roman"/>
          <w:color w:val="auto"/>
        </w:rPr>
      </w:pPr>
      <w:r>
        <w:rPr>
          <w:rFonts w:cs="Times New Roman"/>
          <w:color w:val="auto"/>
        </w:rPr>
        <w:t>（1）危险物质及工艺系统危险性（P）分级</w:t>
      </w:r>
    </w:p>
    <w:p>
      <w:pPr>
        <w:pStyle w:val="79"/>
        <w:ind w:firstLine="480"/>
        <w:rPr>
          <w:rFonts w:cs="Times New Roman"/>
          <w:color w:val="auto"/>
        </w:rPr>
      </w:pPr>
      <w:r>
        <w:rPr>
          <w:rFonts w:cs="Times New Roman"/>
          <w:color w:val="auto"/>
        </w:rPr>
        <w:t>①危险物质数量与临界量比值（Q）</w:t>
      </w:r>
    </w:p>
    <w:p>
      <w:pPr>
        <w:pStyle w:val="79"/>
        <w:ind w:firstLine="480"/>
        <w:rPr>
          <w:rFonts w:cs="Times New Roman"/>
          <w:color w:val="auto"/>
        </w:rPr>
      </w:pPr>
      <w:r>
        <w:rPr>
          <w:rFonts w:cs="Times New Roman"/>
          <w:color w:val="auto"/>
        </w:rPr>
        <w:t>本项目危险化学品依托电镀集控中心已建化学品库，根据建设单位提供的资料，本项目车间</w:t>
      </w:r>
      <w:r>
        <w:rPr>
          <w:rFonts w:hint="eastAsia" w:cs="Times New Roman"/>
          <w:color w:val="auto"/>
        </w:rPr>
        <w:t>危险物质存储量如下表。</w:t>
      </w:r>
    </w:p>
    <w:p>
      <w:pPr>
        <w:pStyle w:val="79"/>
        <w:ind w:firstLine="480"/>
        <w:rPr>
          <w:rFonts w:cs="Times New Roman"/>
          <w:color w:val="auto"/>
        </w:rPr>
      </w:pPr>
      <w:r>
        <w:rPr>
          <w:rFonts w:cs="Times New Roman"/>
          <w:color w:val="auto"/>
        </w:rPr>
        <w:t>根据《危险化学品重大危险源辨识》（GB18218-2018）、《建设项目环境风险评价技术导则》（HJ169-2018）、《企业突发环境事件风险评估指南》，建设项目Q值确定见表</w:t>
      </w:r>
      <w:r>
        <w:rPr>
          <w:rFonts w:hint="eastAsia" w:cs="Times New Roman"/>
          <w:color w:val="auto"/>
        </w:rPr>
        <w:t>7.6-2</w:t>
      </w:r>
      <w:r>
        <w:rPr>
          <w:rFonts w:cs="Times New Roman"/>
          <w:color w:val="auto"/>
        </w:rPr>
        <w:t>，经计算本项目Q值为0.</w:t>
      </w:r>
      <w:r>
        <w:rPr>
          <w:rFonts w:hint="eastAsia" w:cs="Times New Roman"/>
          <w:color w:val="auto"/>
        </w:rPr>
        <w:t>673</w:t>
      </w:r>
      <w:r>
        <w:rPr>
          <w:rFonts w:cs="Times New Roman"/>
          <w:color w:val="auto"/>
        </w:rPr>
        <w:t>＜1，该项目环境风险潜势为Ⅰ。</w:t>
      </w:r>
    </w:p>
    <w:p>
      <w:pPr>
        <w:pStyle w:val="79"/>
        <w:ind w:firstLine="482"/>
        <w:jc w:val="center"/>
        <w:rPr>
          <w:rFonts w:cs="Times New Roman"/>
          <w:b/>
          <w:color w:val="auto"/>
        </w:rPr>
      </w:pPr>
      <w:r>
        <w:rPr>
          <w:rFonts w:cs="Times New Roman"/>
          <w:b/>
          <w:color w:val="auto"/>
        </w:rPr>
        <w:t>表</w:t>
      </w:r>
      <w:r>
        <w:rPr>
          <w:rFonts w:hint="eastAsia" w:cs="Times New Roman"/>
          <w:b/>
          <w:color w:val="auto"/>
        </w:rPr>
        <w:t xml:space="preserve">7.6-2 </w:t>
      </w:r>
      <w:r>
        <w:rPr>
          <w:rFonts w:cs="Times New Roman"/>
          <w:b/>
          <w:color w:val="auto"/>
        </w:rPr>
        <w:t>危险物质储存情况表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638"/>
        <w:gridCol w:w="1703"/>
        <w:gridCol w:w="1703"/>
        <w:gridCol w:w="1703"/>
        <w:gridCol w:w="1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847" w:type="dxa"/>
            <w:tcBorders>
              <w:tl2br w:val="nil"/>
              <w:tr2bl w:val="nil"/>
            </w:tcBorders>
            <w:vAlign w:val="center"/>
          </w:tcPr>
          <w:p>
            <w:pPr>
              <w:snapToGrid w:val="0"/>
              <w:spacing w:line="240" w:lineRule="atLeast"/>
              <w:jc w:val="center"/>
              <w:rPr>
                <w:color w:val="auto"/>
                <w:szCs w:val="21"/>
              </w:rPr>
            </w:pPr>
            <w:r>
              <w:rPr>
                <w:color w:val="auto"/>
                <w:szCs w:val="21"/>
              </w:rPr>
              <w:t>序号</w:t>
            </w:r>
          </w:p>
        </w:tc>
        <w:tc>
          <w:tcPr>
            <w:tcW w:w="1638" w:type="dxa"/>
            <w:tcBorders>
              <w:tl2br w:val="nil"/>
              <w:tr2bl w:val="nil"/>
            </w:tcBorders>
            <w:vAlign w:val="center"/>
          </w:tcPr>
          <w:p>
            <w:pPr>
              <w:snapToGrid w:val="0"/>
              <w:spacing w:line="240" w:lineRule="atLeast"/>
              <w:jc w:val="center"/>
              <w:rPr>
                <w:color w:val="auto"/>
                <w:szCs w:val="21"/>
              </w:rPr>
            </w:pPr>
            <w:r>
              <w:rPr>
                <w:color w:val="auto"/>
                <w:szCs w:val="21"/>
              </w:rPr>
              <w:t>危险物质名称</w:t>
            </w:r>
          </w:p>
        </w:tc>
        <w:tc>
          <w:tcPr>
            <w:tcW w:w="1703" w:type="dxa"/>
            <w:tcBorders>
              <w:tl2br w:val="nil"/>
              <w:tr2bl w:val="nil"/>
            </w:tcBorders>
            <w:vAlign w:val="center"/>
          </w:tcPr>
          <w:p>
            <w:pPr>
              <w:jc w:val="center"/>
              <w:rPr>
                <w:color w:val="auto"/>
                <w:szCs w:val="21"/>
              </w:rPr>
            </w:pPr>
            <w:r>
              <w:rPr>
                <w:color w:val="auto"/>
                <w:szCs w:val="21"/>
              </w:rPr>
              <w:t>CAS</w:t>
            </w:r>
          </w:p>
        </w:tc>
        <w:tc>
          <w:tcPr>
            <w:tcW w:w="1703" w:type="dxa"/>
            <w:tcBorders>
              <w:tl2br w:val="nil"/>
              <w:tr2bl w:val="nil"/>
            </w:tcBorders>
            <w:vAlign w:val="center"/>
          </w:tcPr>
          <w:p>
            <w:pPr>
              <w:snapToGrid w:val="0"/>
              <w:spacing w:line="240" w:lineRule="atLeast"/>
              <w:jc w:val="center"/>
              <w:rPr>
                <w:color w:val="auto"/>
                <w:szCs w:val="21"/>
              </w:rPr>
            </w:pPr>
            <w:r>
              <w:rPr>
                <w:color w:val="auto"/>
                <w:szCs w:val="21"/>
              </w:rPr>
              <w:t>临界量</w:t>
            </w:r>
            <w:r>
              <w:rPr>
                <w:b/>
                <w:color w:val="auto"/>
                <w:szCs w:val="21"/>
              </w:rPr>
              <w:t>Q</w:t>
            </w:r>
            <w:r>
              <w:rPr>
                <w:b/>
                <w:color w:val="auto"/>
                <w:szCs w:val="21"/>
                <w:vertAlign w:val="subscript"/>
              </w:rPr>
              <w:t>n</w:t>
            </w:r>
            <w:r>
              <w:rPr>
                <w:color w:val="auto"/>
                <w:szCs w:val="21"/>
              </w:rPr>
              <w:t>（t）</w:t>
            </w:r>
          </w:p>
        </w:tc>
        <w:tc>
          <w:tcPr>
            <w:tcW w:w="1703" w:type="dxa"/>
            <w:tcBorders>
              <w:tl2br w:val="nil"/>
              <w:tr2bl w:val="nil"/>
            </w:tcBorders>
            <w:vAlign w:val="center"/>
          </w:tcPr>
          <w:p>
            <w:pPr>
              <w:snapToGrid w:val="0"/>
              <w:spacing w:line="240" w:lineRule="atLeast"/>
              <w:jc w:val="center"/>
              <w:rPr>
                <w:color w:val="auto"/>
                <w:szCs w:val="21"/>
              </w:rPr>
            </w:pPr>
            <w:r>
              <w:rPr>
                <w:color w:val="auto"/>
                <w:szCs w:val="21"/>
              </w:rPr>
              <w:t>贮存量</w:t>
            </w:r>
            <w:r>
              <w:rPr>
                <w:b/>
                <w:color w:val="auto"/>
                <w:szCs w:val="21"/>
              </w:rPr>
              <w:t>q</w:t>
            </w:r>
            <w:r>
              <w:rPr>
                <w:b/>
                <w:color w:val="auto"/>
                <w:szCs w:val="21"/>
                <w:vertAlign w:val="subscript"/>
              </w:rPr>
              <w:t>n</w:t>
            </w:r>
            <w:r>
              <w:rPr>
                <w:color w:val="auto"/>
                <w:szCs w:val="21"/>
              </w:rPr>
              <w:t>（t）</w:t>
            </w:r>
          </w:p>
        </w:tc>
        <w:tc>
          <w:tcPr>
            <w:tcW w:w="1692" w:type="dxa"/>
            <w:tcBorders>
              <w:tl2br w:val="nil"/>
              <w:tr2bl w:val="nil"/>
            </w:tcBorders>
            <w:vAlign w:val="center"/>
          </w:tcPr>
          <w:p>
            <w:pPr>
              <w:snapToGrid w:val="0"/>
              <w:spacing w:line="240" w:lineRule="atLeast"/>
              <w:jc w:val="center"/>
              <w:rPr>
                <w:color w:val="auto"/>
                <w:szCs w:val="21"/>
              </w:rPr>
            </w:pPr>
            <w:r>
              <w:rPr>
                <w:b/>
                <w:color w:val="auto"/>
                <w:szCs w:val="21"/>
              </w:rPr>
              <w:t>q</w:t>
            </w:r>
            <w:r>
              <w:rPr>
                <w:b/>
                <w:color w:val="auto"/>
                <w:szCs w:val="21"/>
                <w:vertAlign w:val="subscript"/>
              </w:rPr>
              <w:t>n</w:t>
            </w:r>
            <w:r>
              <w:rPr>
                <w:b/>
                <w:color w:val="auto"/>
                <w:szCs w:val="21"/>
              </w:rPr>
              <w:t>/Q</w:t>
            </w:r>
            <w:r>
              <w:rPr>
                <w:b/>
                <w:color w:val="auto"/>
                <w:szCs w:val="21"/>
                <w:vertAlign w:val="subscript"/>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47" w:type="dxa"/>
            <w:tcBorders>
              <w:tl2br w:val="nil"/>
              <w:tr2bl w:val="nil"/>
            </w:tcBorders>
            <w:vAlign w:val="center"/>
          </w:tcPr>
          <w:p>
            <w:pPr>
              <w:snapToGrid w:val="0"/>
              <w:spacing w:line="240" w:lineRule="atLeast"/>
              <w:jc w:val="center"/>
              <w:rPr>
                <w:color w:val="auto"/>
                <w:szCs w:val="21"/>
              </w:rPr>
            </w:pPr>
            <w:r>
              <w:rPr>
                <w:color w:val="auto"/>
                <w:szCs w:val="21"/>
              </w:rPr>
              <w:t>1</w:t>
            </w:r>
          </w:p>
        </w:tc>
        <w:tc>
          <w:tcPr>
            <w:tcW w:w="1638" w:type="dxa"/>
            <w:tcBorders>
              <w:tl2br w:val="nil"/>
              <w:tr2bl w:val="nil"/>
            </w:tcBorders>
            <w:vAlign w:val="center"/>
          </w:tcPr>
          <w:p>
            <w:pPr>
              <w:jc w:val="center"/>
              <w:rPr>
                <w:color w:val="auto"/>
                <w:szCs w:val="21"/>
              </w:rPr>
            </w:pPr>
            <w:r>
              <w:rPr>
                <w:rFonts w:hint="eastAsia"/>
                <w:color w:val="auto"/>
                <w:szCs w:val="21"/>
              </w:rPr>
              <w:t>铬酸酐</w:t>
            </w:r>
          </w:p>
        </w:tc>
        <w:tc>
          <w:tcPr>
            <w:tcW w:w="1703" w:type="dxa"/>
            <w:tcBorders>
              <w:tl2br w:val="nil"/>
              <w:tr2bl w:val="nil"/>
            </w:tcBorders>
            <w:vAlign w:val="center"/>
          </w:tcPr>
          <w:p>
            <w:pPr>
              <w:pStyle w:val="19"/>
              <w:widowControl/>
              <w:jc w:val="center"/>
              <w:rPr>
                <w:color w:val="auto"/>
                <w:szCs w:val="21"/>
              </w:rPr>
            </w:pPr>
            <w:r>
              <w:rPr>
                <w:color w:val="auto"/>
                <w:sz w:val="21"/>
                <w:szCs w:val="21"/>
              </w:rPr>
              <w:t>7738-94-5</w:t>
            </w:r>
          </w:p>
        </w:tc>
        <w:tc>
          <w:tcPr>
            <w:tcW w:w="1703" w:type="dxa"/>
            <w:tcBorders>
              <w:tl2br w:val="nil"/>
              <w:tr2bl w:val="nil"/>
            </w:tcBorders>
            <w:vAlign w:val="center"/>
          </w:tcPr>
          <w:p>
            <w:pPr>
              <w:jc w:val="center"/>
              <w:rPr>
                <w:color w:val="auto"/>
                <w:szCs w:val="21"/>
              </w:rPr>
            </w:pPr>
            <w:r>
              <w:rPr>
                <w:rFonts w:hint="eastAsia"/>
                <w:color w:val="auto"/>
                <w:szCs w:val="21"/>
              </w:rPr>
              <w:t>0.25</w:t>
            </w:r>
          </w:p>
        </w:tc>
        <w:tc>
          <w:tcPr>
            <w:tcW w:w="1703"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0.05</w:t>
            </w:r>
          </w:p>
        </w:tc>
        <w:tc>
          <w:tcPr>
            <w:tcW w:w="1692" w:type="dxa"/>
            <w:tcBorders>
              <w:tl2br w:val="nil"/>
              <w:tr2bl w:val="nil"/>
            </w:tcBorders>
            <w:vAlign w:val="center"/>
          </w:tcPr>
          <w:p>
            <w:pPr>
              <w:widowControl/>
              <w:jc w:val="center"/>
              <w:textAlignment w:val="center"/>
              <w:rPr>
                <w:color w:val="auto"/>
                <w:szCs w:val="21"/>
              </w:rPr>
            </w:pPr>
            <w:r>
              <w:rPr>
                <w:color w:val="auto"/>
                <w:kern w:val="0"/>
                <w:szCs w:val="21"/>
                <w:lang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47" w:type="dxa"/>
            <w:tcBorders>
              <w:tl2br w:val="nil"/>
              <w:tr2bl w:val="nil"/>
            </w:tcBorders>
            <w:vAlign w:val="center"/>
          </w:tcPr>
          <w:p>
            <w:pPr>
              <w:snapToGrid w:val="0"/>
              <w:spacing w:line="240" w:lineRule="atLeast"/>
              <w:jc w:val="center"/>
              <w:rPr>
                <w:color w:val="auto"/>
                <w:szCs w:val="21"/>
              </w:rPr>
            </w:pPr>
            <w:r>
              <w:rPr>
                <w:color w:val="auto"/>
                <w:szCs w:val="21"/>
              </w:rPr>
              <w:t>2</w:t>
            </w:r>
          </w:p>
        </w:tc>
        <w:tc>
          <w:tcPr>
            <w:tcW w:w="1638" w:type="dxa"/>
            <w:tcBorders>
              <w:tl2br w:val="nil"/>
              <w:tr2bl w:val="nil"/>
            </w:tcBorders>
            <w:vAlign w:val="center"/>
          </w:tcPr>
          <w:p>
            <w:pPr>
              <w:jc w:val="center"/>
              <w:rPr>
                <w:color w:val="auto"/>
                <w:szCs w:val="21"/>
              </w:rPr>
            </w:pPr>
            <w:r>
              <w:rPr>
                <w:color w:val="auto"/>
                <w:szCs w:val="21"/>
              </w:rPr>
              <w:t>氢氟酸</w:t>
            </w:r>
          </w:p>
        </w:tc>
        <w:tc>
          <w:tcPr>
            <w:tcW w:w="1703" w:type="dxa"/>
            <w:tcBorders>
              <w:tl2br w:val="nil"/>
              <w:tr2bl w:val="nil"/>
            </w:tcBorders>
            <w:vAlign w:val="center"/>
          </w:tcPr>
          <w:p>
            <w:pPr>
              <w:pStyle w:val="19"/>
              <w:widowControl/>
              <w:jc w:val="center"/>
              <w:rPr>
                <w:color w:val="auto"/>
                <w:szCs w:val="21"/>
              </w:rPr>
            </w:pPr>
            <w:r>
              <w:rPr>
                <w:color w:val="auto"/>
                <w:sz w:val="21"/>
                <w:szCs w:val="21"/>
              </w:rPr>
              <w:t>7664-39-3</w:t>
            </w:r>
          </w:p>
        </w:tc>
        <w:tc>
          <w:tcPr>
            <w:tcW w:w="1703" w:type="dxa"/>
            <w:tcBorders>
              <w:tl2br w:val="nil"/>
              <w:tr2bl w:val="nil"/>
            </w:tcBorders>
            <w:vAlign w:val="center"/>
          </w:tcPr>
          <w:p>
            <w:pPr>
              <w:jc w:val="center"/>
              <w:rPr>
                <w:color w:val="auto"/>
                <w:szCs w:val="21"/>
              </w:rPr>
            </w:pPr>
            <w:r>
              <w:rPr>
                <w:rFonts w:hint="eastAsia"/>
                <w:color w:val="auto"/>
                <w:szCs w:val="21"/>
              </w:rPr>
              <w:t>1</w:t>
            </w:r>
          </w:p>
        </w:tc>
        <w:tc>
          <w:tcPr>
            <w:tcW w:w="1703"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0.1</w:t>
            </w:r>
          </w:p>
        </w:tc>
        <w:tc>
          <w:tcPr>
            <w:tcW w:w="1692" w:type="dxa"/>
            <w:tcBorders>
              <w:tl2br w:val="nil"/>
              <w:tr2bl w:val="nil"/>
            </w:tcBorders>
            <w:vAlign w:val="center"/>
          </w:tcPr>
          <w:p>
            <w:pPr>
              <w:widowControl/>
              <w:jc w:val="center"/>
              <w:textAlignment w:val="center"/>
              <w:rPr>
                <w:color w:val="auto"/>
                <w:szCs w:val="21"/>
              </w:rPr>
            </w:pPr>
            <w:r>
              <w:rPr>
                <w:color w:val="auto"/>
                <w:kern w:val="0"/>
                <w:szCs w:val="21"/>
                <w:lang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47" w:type="dxa"/>
            <w:tcBorders>
              <w:tl2br w:val="nil"/>
              <w:tr2bl w:val="nil"/>
            </w:tcBorders>
            <w:vAlign w:val="center"/>
          </w:tcPr>
          <w:p>
            <w:pPr>
              <w:snapToGrid w:val="0"/>
              <w:spacing w:line="240" w:lineRule="atLeast"/>
              <w:jc w:val="center"/>
              <w:rPr>
                <w:color w:val="auto"/>
                <w:szCs w:val="21"/>
              </w:rPr>
            </w:pPr>
            <w:r>
              <w:rPr>
                <w:color w:val="auto"/>
                <w:szCs w:val="21"/>
              </w:rPr>
              <w:t>3</w:t>
            </w:r>
          </w:p>
        </w:tc>
        <w:tc>
          <w:tcPr>
            <w:tcW w:w="1638" w:type="dxa"/>
            <w:tcBorders>
              <w:tl2br w:val="nil"/>
              <w:tr2bl w:val="nil"/>
            </w:tcBorders>
            <w:vAlign w:val="center"/>
          </w:tcPr>
          <w:p>
            <w:pPr>
              <w:jc w:val="center"/>
              <w:rPr>
                <w:color w:val="auto"/>
                <w:szCs w:val="21"/>
              </w:rPr>
            </w:pPr>
            <w:r>
              <w:rPr>
                <w:rFonts w:hint="eastAsia"/>
                <w:color w:val="auto"/>
                <w:szCs w:val="21"/>
              </w:rPr>
              <w:t>硝酸</w:t>
            </w:r>
          </w:p>
        </w:tc>
        <w:tc>
          <w:tcPr>
            <w:tcW w:w="1703" w:type="dxa"/>
            <w:tcBorders>
              <w:tl2br w:val="nil"/>
              <w:tr2bl w:val="nil"/>
            </w:tcBorders>
            <w:vAlign w:val="center"/>
          </w:tcPr>
          <w:p>
            <w:pPr>
              <w:pStyle w:val="19"/>
              <w:widowControl/>
              <w:jc w:val="center"/>
              <w:rPr>
                <w:color w:val="auto"/>
                <w:szCs w:val="21"/>
              </w:rPr>
            </w:pPr>
            <w:r>
              <w:rPr>
                <w:color w:val="auto"/>
                <w:sz w:val="21"/>
                <w:szCs w:val="21"/>
              </w:rPr>
              <w:t>7697-37-2</w:t>
            </w:r>
          </w:p>
        </w:tc>
        <w:tc>
          <w:tcPr>
            <w:tcW w:w="1703" w:type="dxa"/>
            <w:tcBorders>
              <w:tl2br w:val="nil"/>
              <w:tr2bl w:val="nil"/>
            </w:tcBorders>
            <w:vAlign w:val="center"/>
          </w:tcPr>
          <w:p>
            <w:pPr>
              <w:snapToGrid w:val="0"/>
              <w:spacing w:line="240" w:lineRule="atLeast"/>
              <w:jc w:val="center"/>
              <w:rPr>
                <w:color w:val="auto"/>
                <w:szCs w:val="21"/>
              </w:rPr>
            </w:pPr>
            <w:r>
              <w:rPr>
                <w:rFonts w:hint="eastAsia"/>
                <w:color w:val="auto"/>
                <w:szCs w:val="21"/>
              </w:rPr>
              <w:t>7.5</w:t>
            </w:r>
          </w:p>
        </w:tc>
        <w:tc>
          <w:tcPr>
            <w:tcW w:w="1703"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0.1</w:t>
            </w:r>
          </w:p>
        </w:tc>
        <w:tc>
          <w:tcPr>
            <w:tcW w:w="1692"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47" w:type="dxa"/>
            <w:tcBorders>
              <w:tl2br w:val="nil"/>
              <w:tr2bl w:val="nil"/>
            </w:tcBorders>
            <w:vAlign w:val="center"/>
          </w:tcPr>
          <w:p>
            <w:pPr>
              <w:snapToGrid w:val="0"/>
              <w:spacing w:line="240" w:lineRule="atLeast"/>
              <w:jc w:val="center"/>
              <w:rPr>
                <w:color w:val="auto"/>
                <w:szCs w:val="21"/>
              </w:rPr>
            </w:pPr>
            <w:r>
              <w:rPr>
                <w:rFonts w:hint="eastAsia"/>
                <w:color w:val="auto"/>
                <w:szCs w:val="21"/>
              </w:rPr>
              <w:t>4</w:t>
            </w:r>
          </w:p>
        </w:tc>
        <w:tc>
          <w:tcPr>
            <w:tcW w:w="1638" w:type="dxa"/>
            <w:tcBorders>
              <w:tl2br w:val="nil"/>
              <w:tr2bl w:val="nil"/>
            </w:tcBorders>
            <w:vAlign w:val="center"/>
          </w:tcPr>
          <w:p>
            <w:pPr>
              <w:jc w:val="center"/>
              <w:rPr>
                <w:color w:val="auto"/>
                <w:szCs w:val="21"/>
              </w:rPr>
            </w:pPr>
            <w:r>
              <w:rPr>
                <w:rFonts w:hint="eastAsia"/>
                <w:color w:val="auto"/>
                <w:szCs w:val="21"/>
              </w:rPr>
              <w:t>氰化钠</w:t>
            </w:r>
          </w:p>
        </w:tc>
        <w:tc>
          <w:tcPr>
            <w:tcW w:w="1703" w:type="dxa"/>
            <w:tcBorders>
              <w:tl2br w:val="nil"/>
              <w:tr2bl w:val="nil"/>
            </w:tcBorders>
            <w:vAlign w:val="center"/>
          </w:tcPr>
          <w:p>
            <w:pPr>
              <w:pStyle w:val="19"/>
              <w:widowControl/>
              <w:jc w:val="center"/>
              <w:rPr>
                <w:color w:val="auto"/>
                <w:szCs w:val="21"/>
              </w:rPr>
            </w:pPr>
            <w:r>
              <w:rPr>
                <w:color w:val="auto"/>
                <w:sz w:val="21"/>
                <w:szCs w:val="21"/>
              </w:rPr>
              <w:t>143-33-9</w:t>
            </w:r>
          </w:p>
        </w:tc>
        <w:tc>
          <w:tcPr>
            <w:tcW w:w="1703" w:type="dxa"/>
            <w:tcBorders>
              <w:tl2br w:val="nil"/>
              <w:tr2bl w:val="nil"/>
            </w:tcBorders>
            <w:vAlign w:val="center"/>
          </w:tcPr>
          <w:p>
            <w:pPr>
              <w:snapToGrid w:val="0"/>
              <w:spacing w:line="240" w:lineRule="atLeast"/>
              <w:jc w:val="center"/>
              <w:rPr>
                <w:color w:val="auto"/>
                <w:szCs w:val="21"/>
              </w:rPr>
            </w:pPr>
            <w:r>
              <w:rPr>
                <w:rFonts w:hint="eastAsia"/>
                <w:color w:val="auto"/>
                <w:szCs w:val="21"/>
              </w:rPr>
              <w:t>0.25</w:t>
            </w:r>
          </w:p>
        </w:tc>
        <w:tc>
          <w:tcPr>
            <w:tcW w:w="1703"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0.03</w:t>
            </w:r>
          </w:p>
        </w:tc>
        <w:tc>
          <w:tcPr>
            <w:tcW w:w="1692" w:type="dxa"/>
            <w:tcBorders>
              <w:tl2br w:val="nil"/>
              <w:tr2bl w:val="nil"/>
            </w:tcBorders>
            <w:vAlign w:val="center"/>
          </w:tcPr>
          <w:p>
            <w:pPr>
              <w:widowControl/>
              <w:jc w:val="center"/>
              <w:textAlignment w:val="center"/>
              <w:rPr>
                <w:color w:val="auto"/>
                <w:szCs w:val="21"/>
              </w:rPr>
            </w:pPr>
            <w:r>
              <w:rPr>
                <w:color w:val="auto"/>
                <w:kern w:val="0"/>
                <w:szCs w:val="21"/>
                <w:lang w:bidi="ar"/>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47" w:type="dxa"/>
            <w:tcBorders>
              <w:tl2br w:val="nil"/>
              <w:tr2bl w:val="nil"/>
            </w:tcBorders>
            <w:vAlign w:val="center"/>
          </w:tcPr>
          <w:p>
            <w:pPr>
              <w:snapToGrid w:val="0"/>
              <w:spacing w:line="240" w:lineRule="atLeast"/>
              <w:jc w:val="center"/>
              <w:rPr>
                <w:color w:val="auto"/>
                <w:szCs w:val="21"/>
              </w:rPr>
            </w:pPr>
            <w:r>
              <w:rPr>
                <w:rFonts w:hint="eastAsia"/>
                <w:color w:val="auto"/>
                <w:szCs w:val="21"/>
              </w:rPr>
              <w:t>5</w:t>
            </w:r>
          </w:p>
        </w:tc>
        <w:tc>
          <w:tcPr>
            <w:tcW w:w="1638" w:type="dxa"/>
            <w:tcBorders>
              <w:tl2br w:val="nil"/>
              <w:tr2bl w:val="nil"/>
            </w:tcBorders>
            <w:vAlign w:val="center"/>
          </w:tcPr>
          <w:p>
            <w:pPr>
              <w:jc w:val="center"/>
              <w:rPr>
                <w:color w:val="auto"/>
                <w:szCs w:val="21"/>
              </w:rPr>
            </w:pPr>
            <w:r>
              <w:rPr>
                <w:rFonts w:hint="eastAsia"/>
                <w:color w:val="auto"/>
                <w:szCs w:val="21"/>
              </w:rPr>
              <w:t>氯化镍</w:t>
            </w:r>
          </w:p>
        </w:tc>
        <w:tc>
          <w:tcPr>
            <w:tcW w:w="1703" w:type="dxa"/>
            <w:tcBorders>
              <w:tl2br w:val="nil"/>
              <w:tr2bl w:val="nil"/>
            </w:tcBorders>
            <w:vAlign w:val="center"/>
          </w:tcPr>
          <w:p>
            <w:pPr>
              <w:pStyle w:val="19"/>
              <w:widowControl/>
              <w:jc w:val="center"/>
              <w:rPr>
                <w:color w:val="auto"/>
                <w:szCs w:val="21"/>
              </w:rPr>
            </w:pPr>
            <w:r>
              <w:rPr>
                <w:color w:val="auto"/>
                <w:sz w:val="21"/>
                <w:szCs w:val="21"/>
              </w:rPr>
              <w:t>7718-54-9</w:t>
            </w:r>
          </w:p>
        </w:tc>
        <w:tc>
          <w:tcPr>
            <w:tcW w:w="1703" w:type="dxa"/>
            <w:tcBorders>
              <w:tl2br w:val="nil"/>
              <w:tr2bl w:val="nil"/>
            </w:tcBorders>
            <w:vAlign w:val="center"/>
          </w:tcPr>
          <w:p>
            <w:pPr>
              <w:snapToGrid w:val="0"/>
              <w:spacing w:line="240" w:lineRule="atLeast"/>
              <w:jc w:val="center"/>
              <w:rPr>
                <w:color w:val="auto"/>
                <w:szCs w:val="21"/>
              </w:rPr>
            </w:pPr>
            <w:r>
              <w:rPr>
                <w:rFonts w:hint="eastAsia"/>
                <w:color w:val="auto"/>
                <w:szCs w:val="21"/>
              </w:rPr>
              <w:t>0.25</w:t>
            </w:r>
          </w:p>
        </w:tc>
        <w:tc>
          <w:tcPr>
            <w:tcW w:w="1703"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0.03</w:t>
            </w:r>
          </w:p>
        </w:tc>
        <w:tc>
          <w:tcPr>
            <w:tcW w:w="1692" w:type="dxa"/>
            <w:tcBorders>
              <w:tl2br w:val="nil"/>
              <w:tr2bl w:val="nil"/>
            </w:tcBorders>
            <w:vAlign w:val="center"/>
          </w:tcPr>
          <w:p>
            <w:pPr>
              <w:widowControl/>
              <w:jc w:val="center"/>
              <w:textAlignment w:val="center"/>
              <w:rPr>
                <w:color w:val="auto"/>
                <w:szCs w:val="21"/>
              </w:rPr>
            </w:pPr>
            <w:r>
              <w:rPr>
                <w:color w:val="auto"/>
                <w:kern w:val="0"/>
                <w:szCs w:val="21"/>
                <w:lang w:bidi="ar"/>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47" w:type="dxa"/>
            <w:tcBorders>
              <w:tl2br w:val="nil"/>
              <w:tr2bl w:val="nil"/>
            </w:tcBorders>
            <w:vAlign w:val="center"/>
          </w:tcPr>
          <w:p>
            <w:pPr>
              <w:snapToGrid w:val="0"/>
              <w:spacing w:line="240" w:lineRule="atLeast"/>
              <w:jc w:val="center"/>
              <w:rPr>
                <w:color w:val="auto"/>
                <w:szCs w:val="21"/>
              </w:rPr>
            </w:pPr>
            <w:r>
              <w:rPr>
                <w:rFonts w:hint="eastAsia"/>
                <w:color w:val="auto"/>
                <w:szCs w:val="21"/>
              </w:rPr>
              <w:t>6</w:t>
            </w:r>
          </w:p>
        </w:tc>
        <w:tc>
          <w:tcPr>
            <w:tcW w:w="1638" w:type="dxa"/>
            <w:tcBorders>
              <w:tl2br w:val="nil"/>
              <w:tr2bl w:val="nil"/>
            </w:tcBorders>
            <w:vAlign w:val="center"/>
          </w:tcPr>
          <w:p>
            <w:pPr>
              <w:jc w:val="center"/>
              <w:rPr>
                <w:color w:val="auto"/>
                <w:szCs w:val="21"/>
              </w:rPr>
            </w:pPr>
            <w:r>
              <w:rPr>
                <w:rFonts w:hint="eastAsia"/>
                <w:color w:val="auto"/>
                <w:szCs w:val="21"/>
              </w:rPr>
              <w:t>硫酸镍</w:t>
            </w:r>
          </w:p>
        </w:tc>
        <w:tc>
          <w:tcPr>
            <w:tcW w:w="1703" w:type="dxa"/>
            <w:tcBorders>
              <w:tl2br w:val="nil"/>
              <w:tr2bl w:val="nil"/>
            </w:tcBorders>
            <w:vAlign w:val="center"/>
          </w:tcPr>
          <w:p>
            <w:pPr>
              <w:pStyle w:val="19"/>
              <w:widowControl/>
              <w:jc w:val="center"/>
              <w:rPr>
                <w:color w:val="auto"/>
                <w:szCs w:val="21"/>
              </w:rPr>
            </w:pPr>
            <w:r>
              <w:rPr>
                <w:color w:val="auto"/>
                <w:sz w:val="21"/>
                <w:szCs w:val="21"/>
              </w:rPr>
              <w:t>7786-81-4</w:t>
            </w:r>
          </w:p>
        </w:tc>
        <w:tc>
          <w:tcPr>
            <w:tcW w:w="1703" w:type="dxa"/>
            <w:tcBorders>
              <w:tl2br w:val="nil"/>
              <w:tr2bl w:val="nil"/>
            </w:tcBorders>
            <w:vAlign w:val="center"/>
          </w:tcPr>
          <w:p>
            <w:pPr>
              <w:snapToGrid w:val="0"/>
              <w:spacing w:line="240" w:lineRule="atLeast"/>
              <w:jc w:val="center"/>
              <w:rPr>
                <w:color w:val="auto"/>
                <w:szCs w:val="21"/>
              </w:rPr>
            </w:pPr>
            <w:r>
              <w:rPr>
                <w:rFonts w:hint="eastAsia"/>
                <w:color w:val="auto"/>
                <w:szCs w:val="21"/>
              </w:rPr>
              <w:t>0.25</w:t>
            </w:r>
          </w:p>
        </w:tc>
        <w:tc>
          <w:tcPr>
            <w:tcW w:w="1703"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0.03</w:t>
            </w:r>
          </w:p>
        </w:tc>
        <w:tc>
          <w:tcPr>
            <w:tcW w:w="1692" w:type="dxa"/>
            <w:tcBorders>
              <w:tl2br w:val="nil"/>
              <w:tr2bl w:val="nil"/>
            </w:tcBorders>
            <w:vAlign w:val="center"/>
          </w:tcPr>
          <w:p>
            <w:pPr>
              <w:widowControl/>
              <w:jc w:val="center"/>
              <w:textAlignment w:val="center"/>
              <w:rPr>
                <w:color w:val="auto"/>
                <w:szCs w:val="21"/>
              </w:rPr>
            </w:pPr>
            <w:r>
              <w:rPr>
                <w:color w:val="auto"/>
                <w:kern w:val="0"/>
                <w:szCs w:val="21"/>
                <w:lang w:bidi="ar"/>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7594" w:type="dxa"/>
            <w:gridSpan w:val="5"/>
            <w:tcBorders>
              <w:tl2br w:val="nil"/>
              <w:tr2bl w:val="nil"/>
            </w:tcBorders>
            <w:vAlign w:val="center"/>
          </w:tcPr>
          <w:p>
            <w:pPr>
              <w:jc w:val="center"/>
              <w:rPr>
                <w:color w:val="auto"/>
                <w:szCs w:val="21"/>
              </w:rPr>
            </w:pPr>
            <w:r>
              <w:rPr>
                <w:color w:val="auto"/>
                <w:szCs w:val="21"/>
              </w:rPr>
              <w:t>合计</w:t>
            </w:r>
          </w:p>
        </w:tc>
        <w:tc>
          <w:tcPr>
            <w:tcW w:w="1692" w:type="dxa"/>
            <w:tcBorders>
              <w:tl2br w:val="nil"/>
              <w:tr2bl w:val="nil"/>
            </w:tcBorders>
            <w:vAlign w:val="bottom"/>
          </w:tcPr>
          <w:p>
            <w:pPr>
              <w:widowControl/>
              <w:jc w:val="center"/>
              <w:textAlignment w:val="bottom"/>
              <w:rPr>
                <w:color w:val="auto"/>
                <w:szCs w:val="21"/>
              </w:rPr>
            </w:pPr>
            <w:r>
              <w:rPr>
                <w:color w:val="auto"/>
                <w:kern w:val="0"/>
                <w:szCs w:val="21"/>
                <w:lang w:bidi="ar"/>
              </w:rPr>
              <w:t xml:space="preserve">0.673 </w:t>
            </w:r>
          </w:p>
        </w:tc>
      </w:tr>
    </w:tbl>
    <w:p>
      <w:pPr>
        <w:pStyle w:val="79"/>
        <w:ind w:firstLine="480"/>
        <w:rPr>
          <w:rFonts w:cs="Times New Roman"/>
          <w:color w:val="auto"/>
        </w:rPr>
      </w:pPr>
      <w:bookmarkStart w:id="28" w:name="_Toc430359174"/>
      <w:r>
        <w:rPr>
          <w:rFonts w:cs="Times New Roman"/>
          <w:color w:val="auto"/>
        </w:rPr>
        <w:t>（2）评价等级</w:t>
      </w:r>
      <w:bookmarkEnd w:id="28"/>
    </w:p>
    <w:p>
      <w:pPr>
        <w:pStyle w:val="106"/>
        <w:spacing w:line="360" w:lineRule="auto"/>
        <w:rPr>
          <w:rFonts w:hAnsi="Times New Roman"/>
          <w:color w:val="auto"/>
          <w:kern w:val="0"/>
          <w:sz w:val="24"/>
        </w:rPr>
      </w:pPr>
      <w:r>
        <w:rPr>
          <w:color w:val="auto"/>
          <w:kern w:val="0"/>
          <w:sz w:val="24"/>
        </w:rPr>
        <w:t>根据《建设项目环境风险评价技术导则》（</w:t>
      </w:r>
      <w:r>
        <w:rPr>
          <w:rFonts w:hAnsi="Times New Roman"/>
          <w:color w:val="auto"/>
          <w:kern w:val="0"/>
          <w:sz w:val="24"/>
        </w:rPr>
        <w:t>HJ169-2018</w:t>
      </w:r>
      <w:r>
        <w:rPr>
          <w:color w:val="auto"/>
          <w:kern w:val="0"/>
          <w:sz w:val="24"/>
        </w:rPr>
        <w:t>）表</w:t>
      </w:r>
      <w:r>
        <w:rPr>
          <w:rFonts w:hAnsi="Times New Roman"/>
          <w:color w:val="auto"/>
          <w:kern w:val="0"/>
          <w:sz w:val="24"/>
        </w:rPr>
        <w:t>1</w:t>
      </w:r>
      <w:r>
        <w:rPr>
          <w:color w:val="auto"/>
          <w:kern w:val="0"/>
          <w:sz w:val="24"/>
        </w:rPr>
        <w:t>评价工作等级划分（表</w:t>
      </w:r>
      <w:r>
        <w:rPr>
          <w:rFonts w:hint="eastAsia" w:hAnsi="Times New Roman"/>
          <w:color w:val="auto"/>
          <w:kern w:val="0"/>
          <w:sz w:val="24"/>
        </w:rPr>
        <w:t>7.6-3</w:t>
      </w:r>
      <w:r>
        <w:rPr>
          <w:color w:val="auto"/>
          <w:kern w:val="0"/>
          <w:sz w:val="24"/>
        </w:rPr>
        <w:t>），本项目环境风险仅做简要分析。</w:t>
      </w:r>
    </w:p>
    <w:p>
      <w:pPr>
        <w:pStyle w:val="79"/>
        <w:ind w:firstLine="482"/>
        <w:jc w:val="center"/>
        <w:rPr>
          <w:rFonts w:cs="Times New Roman"/>
          <w:b/>
          <w:color w:val="auto"/>
        </w:rPr>
      </w:pPr>
      <w:r>
        <w:rPr>
          <w:rFonts w:cs="Times New Roman"/>
          <w:b/>
          <w:color w:val="auto"/>
        </w:rPr>
        <w:t>表</w:t>
      </w:r>
      <w:r>
        <w:rPr>
          <w:rFonts w:hint="eastAsia" w:cs="Times New Roman"/>
          <w:b/>
          <w:color w:val="auto"/>
        </w:rPr>
        <w:t>7.6-3</w:t>
      </w:r>
      <w:r>
        <w:rPr>
          <w:rFonts w:cs="Times New Roman"/>
          <w:b/>
          <w:color w:val="auto"/>
        </w:rPr>
        <w:t xml:space="preserve">  评价工作等级划分</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803"/>
        <w:gridCol w:w="1803"/>
        <w:gridCol w:w="1803"/>
        <w:gridCol w:w="1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77" w:type="dxa"/>
            <w:tcBorders>
              <w:top w:val="single" w:color="auto" w:sz="12" w:space="0"/>
              <w:left w:val="nil"/>
              <w:bottom w:val="single" w:color="auto" w:sz="4" w:space="0"/>
              <w:right w:val="single" w:color="auto" w:sz="4" w:space="0"/>
            </w:tcBorders>
            <w:shd w:val="clear" w:color="auto" w:fill="auto"/>
            <w:vAlign w:val="center"/>
          </w:tcPr>
          <w:p>
            <w:pPr>
              <w:widowControl/>
              <w:jc w:val="center"/>
              <w:rPr>
                <w:color w:val="auto"/>
                <w:szCs w:val="21"/>
              </w:rPr>
            </w:pPr>
            <w:r>
              <w:rPr>
                <w:color w:val="auto"/>
                <w:szCs w:val="21"/>
              </w:rPr>
              <w:t>环境风险潜势</w:t>
            </w:r>
          </w:p>
        </w:tc>
        <w:tc>
          <w:tcPr>
            <w:tcW w:w="1803"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color w:val="auto"/>
                <w:szCs w:val="21"/>
              </w:rPr>
            </w:pPr>
            <w:r>
              <w:rPr>
                <w:rFonts w:hAnsi="宋体"/>
                <w:color w:val="auto"/>
                <w:szCs w:val="21"/>
              </w:rPr>
              <w:t>Ⅳ</w:t>
            </w:r>
            <w:r>
              <w:rPr>
                <w:color w:val="auto"/>
                <w:szCs w:val="21"/>
              </w:rPr>
              <w:t>、</w:t>
            </w:r>
            <w:r>
              <w:rPr>
                <w:rFonts w:hAnsi="宋体"/>
                <w:color w:val="auto"/>
                <w:szCs w:val="21"/>
              </w:rPr>
              <w:t>Ⅳ</w:t>
            </w:r>
            <w:r>
              <w:rPr>
                <w:color w:val="auto"/>
                <w:szCs w:val="21"/>
                <w:vertAlign w:val="superscript"/>
              </w:rPr>
              <w:t>+</w:t>
            </w:r>
          </w:p>
        </w:tc>
        <w:tc>
          <w:tcPr>
            <w:tcW w:w="1803"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color w:val="auto"/>
                <w:szCs w:val="21"/>
              </w:rPr>
            </w:pPr>
            <w:r>
              <w:rPr>
                <w:rFonts w:hAnsi="宋体"/>
                <w:color w:val="auto"/>
                <w:szCs w:val="21"/>
              </w:rPr>
              <w:t>Ⅲ</w:t>
            </w:r>
          </w:p>
        </w:tc>
        <w:tc>
          <w:tcPr>
            <w:tcW w:w="1803"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color w:val="auto"/>
                <w:szCs w:val="21"/>
              </w:rPr>
            </w:pPr>
            <w:r>
              <w:rPr>
                <w:rFonts w:hAnsi="宋体"/>
                <w:color w:val="auto"/>
                <w:szCs w:val="21"/>
              </w:rPr>
              <w:t>Ⅱ</w:t>
            </w:r>
          </w:p>
        </w:tc>
        <w:tc>
          <w:tcPr>
            <w:tcW w:w="1800" w:type="dxa"/>
            <w:tcBorders>
              <w:top w:val="single" w:color="auto" w:sz="12" w:space="0"/>
              <w:left w:val="single" w:color="auto" w:sz="4" w:space="0"/>
              <w:bottom w:val="single" w:color="auto" w:sz="4" w:space="0"/>
              <w:right w:val="nil"/>
            </w:tcBorders>
            <w:shd w:val="clear" w:color="auto" w:fill="EEECE1" w:themeFill="background2"/>
            <w:vAlign w:val="center"/>
          </w:tcPr>
          <w:p>
            <w:pPr>
              <w:widowControl/>
              <w:jc w:val="center"/>
              <w:rPr>
                <w:color w:val="auto"/>
                <w:szCs w:val="21"/>
              </w:rPr>
            </w:pPr>
            <w:r>
              <w:rPr>
                <w:rFonts w:hAnsi="宋体"/>
                <w:color w:val="auto"/>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77"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auto"/>
                <w:szCs w:val="21"/>
              </w:rPr>
            </w:pPr>
            <w:r>
              <w:rPr>
                <w:color w:val="auto"/>
                <w:szCs w:val="21"/>
              </w:rPr>
              <w:t>评价工作等级</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auto"/>
                <w:szCs w:val="21"/>
              </w:rPr>
            </w:pPr>
            <w:r>
              <w:rPr>
                <w:color w:val="auto"/>
                <w:szCs w:val="21"/>
              </w:rPr>
              <w:t>一</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auto"/>
                <w:szCs w:val="21"/>
              </w:rPr>
            </w:pPr>
            <w:r>
              <w:rPr>
                <w:color w:val="auto"/>
                <w:szCs w:val="21"/>
              </w:rPr>
              <w:t>二</w:t>
            </w:r>
          </w:p>
        </w:tc>
        <w:tc>
          <w:tcPr>
            <w:tcW w:w="18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auto"/>
                <w:szCs w:val="21"/>
              </w:rPr>
            </w:pPr>
            <w:r>
              <w:rPr>
                <w:color w:val="auto"/>
                <w:szCs w:val="21"/>
              </w:rPr>
              <w:t>三</w:t>
            </w:r>
          </w:p>
        </w:tc>
        <w:tc>
          <w:tcPr>
            <w:tcW w:w="1800" w:type="dxa"/>
            <w:tcBorders>
              <w:top w:val="single" w:color="auto" w:sz="4" w:space="0"/>
              <w:left w:val="single" w:color="auto" w:sz="4" w:space="0"/>
              <w:bottom w:val="single" w:color="auto" w:sz="4" w:space="0"/>
              <w:right w:val="nil"/>
            </w:tcBorders>
            <w:shd w:val="clear" w:color="auto" w:fill="EEECE1" w:themeFill="background2"/>
            <w:vAlign w:val="center"/>
          </w:tcPr>
          <w:p>
            <w:pPr>
              <w:widowControl/>
              <w:jc w:val="center"/>
              <w:rPr>
                <w:color w:val="auto"/>
                <w:szCs w:val="21"/>
              </w:rPr>
            </w:pPr>
            <w:r>
              <w:rPr>
                <w:color w:val="auto"/>
                <w:szCs w:val="21"/>
              </w:rPr>
              <w:t>简单分析</w:t>
            </w:r>
            <w:r>
              <w:rPr>
                <w:color w:val="auto"/>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9286" w:type="dxa"/>
            <w:gridSpan w:val="5"/>
            <w:tcBorders>
              <w:top w:val="single" w:color="auto" w:sz="4" w:space="0"/>
              <w:left w:val="nil"/>
              <w:bottom w:val="single" w:color="auto" w:sz="12" w:space="0"/>
              <w:right w:val="nil"/>
            </w:tcBorders>
            <w:vAlign w:val="center"/>
          </w:tcPr>
          <w:p>
            <w:pPr>
              <w:widowControl/>
              <w:jc w:val="left"/>
              <w:rPr>
                <w:color w:val="auto"/>
                <w:szCs w:val="21"/>
              </w:rPr>
            </w:pPr>
            <w:r>
              <w:rPr>
                <w:color w:val="auto"/>
                <w:szCs w:val="21"/>
                <w:vertAlign w:val="superscript"/>
              </w:rPr>
              <w:t>a</w:t>
            </w:r>
            <w:r>
              <w:rPr>
                <w:color w:val="auto"/>
                <w:szCs w:val="21"/>
              </w:rPr>
              <w:t>是相对于详细评价工作内容而言，在描述危险物质、环境影响途径、环境危害后果、风险防范措施等方面给出定性的说明。</w:t>
            </w:r>
          </w:p>
        </w:tc>
      </w:tr>
    </w:tbl>
    <w:p>
      <w:pPr>
        <w:spacing w:line="360" w:lineRule="auto"/>
        <w:outlineLvl w:val="3"/>
        <w:rPr>
          <w:b/>
          <w:color w:val="auto"/>
          <w:sz w:val="24"/>
        </w:rPr>
      </w:pPr>
      <w:r>
        <w:rPr>
          <w:rFonts w:hint="eastAsia"/>
          <w:b/>
          <w:color w:val="auto"/>
          <w:sz w:val="24"/>
        </w:rPr>
        <w:t>7.6</w:t>
      </w:r>
      <w:r>
        <w:rPr>
          <w:b/>
          <w:color w:val="auto"/>
          <w:sz w:val="24"/>
        </w:rPr>
        <w:t>.5源项分析</w:t>
      </w:r>
    </w:p>
    <w:p>
      <w:pPr>
        <w:spacing w:line="360" w:lineRule="auto"/>
        <w:ind w:firstLine="480" w:firstLineChars="200"/>
        <w:rPr>
          <w:color w:val="auto"/>
          <w:sz w:val="24"/>
        </w:rPr>
      </w:pPr>
      <w:r>
        <w:rPr>
          <w:color w:val="auto"/>
          <w:sz w:val="24"/>
        </w:rPr>
        <w:t>（1）最大可信事故</w:t>
      </w:r>
    </w:p>
    <w:p>
      <w:pPr>
        <w:spacing w:line="360" w:lineRule="auto"/>
        <w:ind w:firstLine="480" w:firstLineChars="200"/>
        <w:rPr>
          <w:color w:val="auto"/>
          <w:sz w:val="24"/>
        </w:rPr>
      </w:pPr>
      <w:r>
        <w:rPr>
          <w:color w:val="auto"/>
          <w:sz w:val="24"/>
        </w:rPr>
        <w:t>本项目化学品储存和使用过程中不存在重大危险源，因此，本项目风险评价主要内容是危险化学品运输过程中发生的泄漏事故和项目电镀废水事故排放，其中对于危险化学品运输过程中发生的泄漏事故，本评价主要提出合理可行的防范、应急与减缓措施，以使建设项目事故率、损失和环境影响达到可接受水平。</w:t>
      </w:r>
    </w:p>
    <w:p>
      <w:pPr>
        <w:spacing w:line="360" w:lineRule="auto"/>
        <w:ind w:firstLine="480" w:firstLineChars="200"/>
        <w:rPr>
          <w:color w:val="auto"/>
          <w:sz w:val="24"/>
        </w:rPr>
      </w:pPr>
      <w:r>
        <w:rPr>
          <w:color w:val="auto"/>
          <w:sz w:val="24"/>
        </w:rPr>
        <w:t>（2）事故源项分析</w:t>
      </w:r>
    </w:p>
    <w:p>
      <w:pPr>
        <w:spacing w:line="360" w:lineRule="auto"/>
        <w:ind w:firstLine="480" w:firstLineChars="200"/>
        <w:rPr>
          <w:color w:val="auto"/>
          <w:sz w:val="24"/>
        </w:rPr>
      </w:pPr>
      <w:r>
        <w:rPr>
          <w:rFonts w:hAnsi="宋体"/>
          <w:color w:val="auto"/>
          <w:sz w:val="24"/>
        </w:rPr>
        <w:t>①</w:t>
      </w:r>
      <w:r>
        <w:rPr>
          <w:color w:val="auto"/>
          <w:sz w:val="24"/>
        </w:rPr>
        <w:t>镀槽泄漏</w:t>
      </w:r>
    </w:p>
    <w:p>
      <w:pPr>
        <w:spacing w:line="360" w:lineRule="auto"/>
        <w:ind w:firstLine="480" w:firstLineChars="200"/>
        <w:rPr>
          <w:color w:val="auto"/>
          <w:sz w:val="24"/>
        </w:rPr>
      </w:pPr>
      <w:r>
        <w:rPr>
          <w:color w:val="auto"/>
          <w:sz w:val="24"/>
        </w:rPr>
        <w:t>当镀槽破裂，导致镀液事故排放，以一个最大镀槽泄漏为事故情景，核算得到项目镀槽泄漏时的最大泄漏源强为0.</w:t>
      </w:r>
      <w:r>
        <w:rPr>
          <w:rFonts w:hint="eastAsia"/>
          <w:color w:val="auto"/>
          <w:sz w:val="24"/>
        </w:rPr>
        <w:t>6</w:t>
      </w:r>
      <w:r>
        <w:rPr>
          <w:color w:val="auto"/>
          <w:sz w:val="24"/>
        </w:rPr>
        <w:t>m</w:t>
      </w:r>
      <w:r>
        <w:rPr>
          <w:color w:val="auto"/>
          <w:sz w:val="24"/>
          <w:vertAlign w:val="superscript"/>
        </w:rPr>
        <w:t>3</w:t>
      </w:r>
      <w:r>
        <w:rPr>
          <w:color w:val="auto"/>
          <w:sz w:val="24"/>
        </w:rPr>
        <w:t>/次。</w:t>
      </w:r>
    </w:p>
    <w:p>
      <w:pPr>
        <w:spacing w:line="360" w:lineRule="auto"/>
        <w:ind w:firstLine="480" w:firstLineChars="200"/>
        <w:rPr>
          <w:color w:val="auto"/>
          <w:sz w:val="24"/>
        </w:rPr>
      </w:pPr>
      <w:r>
        <w:rPr>
          <w:rFonts w:hAnsi="宋体"/>
          <w:color w:val="auto"/>
          <w:sz w:val="24"/>
        </w:rPr>
        <w:t>②</w:t>
      </w:r>
      <w:r>
        <w:rPr>
          <w:color w:val="auto"/>
          <w:sz w:val="24"/>
        </w:rPr>
        <w:t>电镀废水收集管道泄漏</w:t>
      </w:r>
    </w:p>
    <w:p>
      <w:pPr>
        <w:spacing w:line="360" w:lineRule="auto"/>
        <w:ind w:firstLine="480" w:firstLineChars="200"/>
        <w:rPr>
          <w:color w:val="auto"/>
          <w:sz w:val="24"/>
        </w:rPr>
      </w:pPr>
      <w:r>
        <w:rPr>
          <w:color w:val="auto"/>
          <w:sz w:val="24"/>
        </w:rPr>
        <w:t>当发生废水收集管道泄漏时，假定废水收集量最大的一根管道破裂，按照每天产生量20%泄漏进行核算，则泄漏总量约为</w:t>
      </w:r>
      <w:r>
        <w:rPr>
          <w:rFonts w:hint="eastAsia"/>
          <w:color w:val="auto"/>
          <w:sz w:val="24"/>
        </w:rPr>
        <w:t>7</w:t>
      </w:r>
      <w:r>
        <w:rPr>
          <w:color w:val="auto"/>
          <w:sz w:val="24"/>
        </w:rPr>
        <w:t>m</w:t>
      </w:r>
      <w:r>
        <w:rPr>
          <w:color w:val="auto"/>
          <w:sz w:val="24"/>
          <w:vertAlign w:val="superscript"/>
        </w:rPr>
        <w:t>3</w:t>
      </w:r>
      <w:r>
        <w:rPr>
          <w:color w:val="auto"/>
          <w:sz w:val="24"/>
        </w:rPr>
        <w:t>/次。</w:t>
      </w:r>
    </w:p>
    <w:p>
      <w:pPr>
        <w:spacing w:line="360" w:lineRule="auto"/>
        <w:outlineLvl w:val="3"/>
        <w:rPr>
          <w:b/>
          <w:color w:val="auto"/>
          <w:sz w:val="24"/>
        </w:rPr>
      </w:pPr>
      <w:bookmarkStart w:id="29" w:name="_Toc361910678"/>
      <w:bookmarkStart w:id="30" w:name="_Toc360189502"/>
      <w:r>
        <w:rPr>
          <w:rFonts w:hint="eastAsia"/>
          <w:b/>
          <w:color w:val="auto"/>
          <w:sz w:val="24"/>
        </w:rPr>
        <w:t>7.6.6</w:t>
      </w:r>
      <w:r>
        <w:rPr>
          <w:b/>
          <w:color w:val="auto"/>
          <w:sz w:val="24"/>
        </w:rPr>
        <w:t xml:space="preserve"> </w:t>
      </w:r>
      <w:r>
        <w:rPr>
          <w:rFonts w:hint="eastAsia"/>
          <w:b/>
          <w:color w:val="auto"/>
          <w:sz w:val="24"/>
        </w:rPr>
        <w:t>环境风险分析</w:t>
      </w:r>
      <w:bookmarkEnd w:id="29"/>
      <w:bookmarkEnd w:id="30"/>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1</w:t>
      </w:r>
      <w:r>
        <w:rPr>
          <w:rFonts w:hint="eastAsia" w:hAnsi="宋体"/>
          <w:color w:val="auto"/>
          <w:sz w:val="24"/>
        </w:rPr>
        <w:t>）危险化学品运输泄漏事故环境影响分析</w:t>
      </w:r>
    </w:p>
    <w:p>
      <w:pPr>
        <w:spacing w:line="360" w:lineRule="auto"/>
        <w:ind w:firstLine="480" w:firstLineChars="200"/>
        <w:rPr>
          <w:rFonts w:hAnsi="宋体"/>
          <w:color w:val="auto"/>
          <w:sz w:val="24"/>
        </w:rPr>
      </w:pPr>
      <w:r>
        <w:rPr>
          <w:rFonts w:hint="eastAsia" w:hAnsi="宋体"/>
          <w:color w:val="auto"/>
          <w:sz w:val="24"/>
        </w:rPr>
        <w:t>项目危险化学品主要为氢氟酸、硝酸等物质，本项目的化学品主要购于江浙一带，化学品在运输过程中，发生事故，泄漏入河，对水环境产生影响，由于自然界对项目的污染物有很强净化作用，酸碱经过稀释，对环境的影响很小。</w:t>
      </w:r>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）废气事故放影响分析</w:t>
      </w:r>
    </w:p>
    <w:p>
      <w:pPr>
        <w:spacing w:line="360" w:lineRule="auto"/>
        <w:ind w:firstLine="480" w:firstLineChars="200"/>
        <w:rPr>
          <w:rFonts w:hAnsi="宋体"/>
          <w:color w:val="auto"/>
          <w:sz w:val="24"/>
        </w:rPr>
      </w:pPr>
      <w:r>
        <w:rPr>
          <w:rFonts w:hint="eastAsia" w:hAnsi="宋体"/>
          <w:color w:val="auto"/>
          <w:sz w:val="24"/>
        </w:rPr>
        <w:t>项目废气事故排放时，会造成周边大气环境各污染物浓度一定程度的升高，对周边环境空气产生一定影响。</w:t>
      </w:r>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3</w:t>
      </w:r>
      <w:r>
        <w:rPr>
          <w:rFonts w:hint="eastAsia" w:hAnsi="宋体"/>
          <w:color w:val="auto"/>
          <w:sz w:val="24"/>
        </w:rPr>
        <w:t>）废水事故排放影响分析</w:t>
      </w:r>
    </w:p>
    <w:p>
      <w:pPr>
        <w:spacing w:line="360" w:lineRule="auto"/>
        <w:ind w:firstLine="480" w:firstLineChars="200"/>
        <w:rPr>
          <w:rFonts w:hAnsi="宋体"/>
          <w:color w:val="auto"/>
          <w:sz w:val="24"/>
        </w:rPr>
      </w:pPr>
      <w:r>
        <w:rPr>
          <w:rFonts w:hint="eastAsia" w:hAnsi="宋体"/>
          <w:color w:val="auto"/>
          <w:sz w:val="24"/>
        </w:rPr>
        <w:t>①镀槽槽液泄漏后事故影响分析</w:t>
      </w:r>
    </w:p>
    <w:p>
      <w:pPr>
        <w:spacing w:line="360" w:lineRule="auto"/>
        <w:ind w:firstLine="480" w:firstLineChars="200"/>
        <w:rPr>
          <w:rFonts w:hAnsi="宋体"/>
          <w:color w:val="auto"/>
          <w:sz w:val="24"/>
        </w:rPr>
      </w:pPr>
      <w:r>
        <w:rPr>
          <w:rFonts w:hint="eastAsia" w:hAnsi="宋体"/>
          <w:color w:val="auto"/>
          <w:sz w:val="24"/>
        </w:rPr>
        <w:t>本项目镀槽发生泄漏后，最大泄漏量为</w:t>
      </w:r>
      <w:r>
        <w:rPr>
          <w:rFonts w:hAnsi="宋体"/>
          <w:color w:val="auto"/>
          <w:sz w:val="24"/>
        </w:rPr>
        <w:t>0.</w:t>
      </w:r>
      <w:r>
        <w:rPr>
          <w:rFonts w:hint="eastAsia" w:hAnsi="宋体"/>
          <w:color w:val="auto"/>
          <w:sz w:val="24"/>
        </w:rPr>
        <w:t>6</w:t>
      </w:r>
      <w:r>
        <w:rPr>
          <w:rFonts w:hAnsi="宋体"/>
          <w:color w:val="auto"/>
          <w:sz w:val="24"/>
        </w:rPr>
        <w:t>m</w:t>
      </w:r>
      <w:r>
        <w:rPr>
          <w:rFonts w:hAnsi="宋体"/>
          <w:color w:val="auto"/>
          <w:sz w:val="24"/>
          <w:vertAlign w:val="superscript"/>
        </w:rPr>
        <w:t>3</w:t>
      </w:r>
      <w:r>
        <w:rPr>
          <w:rFonts w:hAnsi="宋体"/>
          <w:color w:val="auto"/>
          <w:sz w:val="24"/>
        </w:rPr>
        <w:t>/</w:t>
      </w:r>
      <w:r>
        <w:rPr>
          <w:rFonts w:hint="eastAsia" w:hAnsi="宋体"/>
          <w:color w:val="auto"/>
          <w:sz w:val="24"/>
        </w:rPr>
        <w:t>次。渡槽泄漏应急槽则利用车间废水预处理池可作为事故槽液收集槽，可临时将泄漏后的槽液用泵通过软管引自备用槽体中贮存，防止其排入集控中心电镀污水处理厂，影响电镀污水处理厂的正常运营。</w:t>
      </w:r>
    </w:p>
    <w:p>
      <w:pPr>
        <w:spacing w:line="360" w:lineRule="auto"/>
        <w:ind w:firstLine="480" w:firstLineChars="200"/>
        <w:rPr>
          <w:rFonts w:hAnsi="宋体"/>
          <w:color w:val="auto"/>
          <w:sz w:val="24"/>
        </w:rPr>
      </w:pPr>
      <w:r>
        <w:rPr>
          <w:rFonts w:hint="eastAsia" w:ascii="宋体" w:hAnsi="宋体"/>
          <w:color w:val="auto"/>
          <w:sz w:val="24"/>
        </w:rPr>
        <w:t>②</w:t>
      </w:r>
      <w:r>
        <w:rPr>
          <w:rFonts w:hint="eastAsia" w:hAnsi="宋体"/>
          <w:color w:val="auto"/>
          <w:sz w:val="24"/>
        </w:rPr>
        <w:t>在污水处理厂发生故障，停止运行的情况下，要求集控中心内所有电镀企业停止生产，各企业接到通知后，由于工序的连续性，不能马上停止生产，仍产生一定量的废水。这部分水作为事故废水排入集控中心电镀污水处理站事故池，不会对外发生事故排放。</w:t>
      </w:r>
    </w:p>
    <w:p>
      <w:pPr>
        <w:spacing w:line="360" w:lineRule="auto"/>
        <w:outlineLvl w:val="3"/>
        <w:rPr>
          <w:b/>
          <w:color w:val="auto"/>
          <w:sz w:val="24"/>
        </w:rPr>
      </w:pPr>
      <w:bookmarkStart w:id="31" w:name="_Toc360189506"/>
      <w:bookmarkStart w:id="32" w:name="_Toc361910682"/>
      <w:r>
        <w:rPr>
          <w:rFonts w:hint="eastAsia"/>
          <w:b/>
          <w:color w:val="auto"/>
          <w:sz w:val="24"/>
        </w:rPr>
        <w:t>7.6.8风险防范措施</w:t>
      </w:r>
      <w:bookmarkEnd w:id="31"/>
      <w:bookmarkEnd w:id="32"/>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1</w:t>
      </w:r>
      <w:r>
        <w:rPr>
          <w:rFonts w:hint="eastAsia" w:hAnsi="宋体"/>
          <w:color w:val="auto"/>
          <w:sz w:val="24"/>
        </w:rPr>
        <w:t>）运输风险防范措施</w:t>
      </w:r>
    </w:p>
    <w:p>
      <w:pPr>
        <w:spacing w:line="360" w:lineRule="auto"/>
        <w:ind w:firstLine="480" w:firstLineChars="200"/>
        <w:rPr>
          <w:rFonts w:ascii="宋体" w:hAnsi="宋体"/>
          <w:color w:val="auto"/>
          <w:sz w:val="24"/>
        </w:rPr>
      </w:pPr>
      <w:r>
        <w:rPr>
          <w:rFonts w:hint="eastAsia" w:hAnsi="宋体"/>
          <w:color w:val="auto"/>
          <w:sz w:val="24"/>
        </w:rPr>
        <w:t>①为减少危险化学品运输事故对周边环境造成的损害，要求危险化学品的运输线路选择应尽量避开饮水水源，严格应按交管部门核定的常规通行线路运输，不得私自变更运输线路进行运输。</w:t>
      </w:r>
    </w:p>
    <w:p>
      <w:pPr>
        <w:spacing w:line="360" w:lineRule="auto"/>
        <w:ind w:firstLine="480" w:firstLineChars="200"/>
        <w:rPr>
          <w:rFonts w:ascii="宋体" w:hAnsi="宋体"/>
          <w:color w:val="auto"/>
          <w:sz w:val="24"/>
        </w:rPr>
      </w:pPr>
      <w:r>
        <w:rPr>
          <w:rFonts w:hint="eastAsia" w:ascii="宋体" w:hAnsi="宋体"/>
          <w:color w:val="auto"/>
          <w:sz w:val="24"/>
        </w:rPr>
        <w:t>②</w:t>
      </w:r>
      <w:r>
        <w:rPr>
          <w:rFonts w:hint="eastAsia" w:hAnsi="宋体"/>
          <w:color w:val="auto"/>
          <w:sz w:val="24"/>
        </w:rPr>
        <w:t>所有道路危险货物运输车辆都必须按照国家标准《道路运输危险货物车辆标志》（</w:t>
      </w:r>
      <w:r>
        <w:rPr>
          <w:rFonts w:hAnsi="宋体"/>
          <w:color w:val="auto"/>
          <w:sz w:val="24"/>
        </w:rPr>
        <w:t>GB13392-92</w:t>
      </w:r>
      <w:r>
        <w:rPr>
          <w:rFonts w:hint="eastAsia" w:hAnsi="宋体"/>
          <w:color w:val="auto"/>
          <w:sz w:val="24"/>
        </w:rPr>
        <w:t>）的要求，悬挂危险品运输标志，禁止无标志车辆从事道路危险货物运输。道路危险货物运输企业（单位），应保证从事道路危险货物运输的车辆处于良好工作状态。</w:t>
      </w:r>
    </w:p>
    <w:p>
      <w:pPr>
        <w:spacing w:line="360" w:lineRule="auto"/>
        <w:ind w:firstLine="480" w:firstLineChars="200"/>
        <w:rPr>
          <w:rFonts w:ascii="宋体" w:hAnsi="宋体"/>
          <w:color w:val="auto"/>
          <w:sz w:val="24"/>
        </w:rPr>
      </w:pPr>
      <w:r>
        <w:rPr>
          <w:rFonts w:hint="eastAsia" w:ascii="宋体" w:hAnsi="宋体"/>
          <w:color w:val="auto"/>
          <w:sz w:val="24"/>
        </w:rPr>
        <w:t>③</w:t>
      </w:r>
      <w:r>
        <w:rPr>
          <w:rFonts w:hint="eastAsia" w:hAnsi="宋体"/>
          <w:color w:val="auto"/>
          <w:sz w:val="24"/>
        </w:rPr>
        <w:t>运输危险化学品必须执行运输计划和配装规定，危险物品性能互相抵触或其消防、防护方法不同的，不能同车装运。</w:t>
      </w:r>
    </w:p>
    <w:p>
      <w:pPr>
        <w:spacing w:line="360" w:lineRule="auto"/>
        <w:ind w:firstLine="480" w:firstLineChars="200"/>
        <w:rPr>
          <w:rFonts w:ascii="宋体" w:hAnsi="宋体"/>
          <w:color w:val="auto"/>
          <w:sz w:val="24"/>
        </w:rPr>
      </w:pPr>
      <w:r>
        <w:rPr>
          <w:rFonts w:hint="eastAsia" w:ascii="宋体" w:hAnsi="宋体"/>
          <w:color w:val="auto"/>
          <w:sz w:val="24"/>
        </w:rPr>
        <w:t>④</w:t>
      </w:r>
      <w:r>
        <w:rPr>
          <w:rFonts w:hint="eastAsia" w:hAnsi="宋体"/>
          <w:color w:val="auto"/>
          <w:sz w:val="24"/>
        </w:rPr>
        <w:t>从事道路危险货物运输车辆的技术状况必须达到一级车技术等级指标的要求；不符合运输安全技术条件和标准的营运车辆，要立即停运或予以更新。</w:t>
      </w:r>
    </w:p>
    <w:p>
      <w:pPr>
        <w:spacing w:line="360" w:lineRule="auto"/>
        <w:ind w:firstLine="480" w:firstLineChars="200"/>
        <w:rPr>
          <w:rFonts w:hAnsi="宋体"/>
          <w:color w:val="auto"/>
          <w:sz w:val="24"/>
        </w:rPr>
      </w:pPr>
      <w:r>
        <w:rPr>
          <w:rFonts w:hint="eastAsia" w:ascii="宋体" w:hAnsi="宋体"/>
          <w:color w:val="auto"/>
          <w:sz w:val="24"/>
        </w:rPr>
        <w:t>⑤</w:t>
      </w:r>
      <w:r>
        <w:rPr>
          <w:rFonts w:hint="eastAsia" w:hAnsi="宋体"/>
          <w:color w:val="auto"/>
          <w:sz w:val="24"/>
        </w:rPr>
        <w:t>被剧毒品、腐蚀品等危险化学品污染的车辆、设备、工具和场地，必须及时清洗消毒。在车厢内清扫出的残留物，应到环保部门指定地点妥善处理。</w:t>
      </w:r>
    </w:p>
    <w:p>
      <w:pPr>
        <w:spacing w:line="360" w:lineRule="auto"/>
        <w:ind w:firstLine="480" w:firstLineChars="200"/>
        <w:rPr>
          <w:rFonts w:ascii="宋体"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）废水事故防范措施</w:t>
      </w:r>
    </w:p>
    <w:p>
      <w:pPr>
        <w:spacing w:line="360" w:lineRule="auto"/>
        <w:ind w:firstLine="480" w:firstLineChars="200"/>
        <w:rPr>
          <w:rFonts w:ascii="宋体" w:hAnsi="宋体"/>
          <w:color w:val="auto"/>
          <w:sz w:val="24"/>
        </w:rPr>
      </w:pPr>
      <w:r>
        <w:rPr>
          <w:rFonts w:hint="eastAsia" w:ascii="宋体" w:hAnsi="宋体"/>
          <w:color w:val="auto"/>
          <w:sz w:val="24"/>
        </w:rPr>
        <w:t>①</w:t>
      </w:r>
      <w:r>
        <w:rPr>
          <w:rFonts w:hint="eastAsia" w:hAnsi="宋体"/>
          <w:color w:val="auto"/>
          <w:sz w:val="24"/>
        </w:rPr>
        <w:t>根据集控中心的要求，铺设废水收集管道时，选取强度高、安全可靠、厂家信誉好的管道材质，减少风险的发生概率。</w:t>
      </w:r>
    </w:p>
    <w:p>
      <w:pPr>
        <w:spacing w:line="360" w:lineRule="auto"/>
        <w:ind w:firstLine="480" w:firstLineChars="200"/>
        <w:rPr>
          <w:rFonts w:ascii="宋体" w:hAnsi="宋体"/>
          <w:color w:val="auto"/>
          <w:sz w:val="24"/>
        </w:rPr>
      </w:pPr>
      <w:r>
        <w:rPr>
          <w:rFonts w:hint="eastAsia" w:ascii="宋体" w:hAnsi="宋体"/>
          <w:color w:val="auto"/>
          <w:sz w:val="24"/>
        </w:rPr>
        <w:t>②</w:t>
      </w:r>
      <w:r>
        <w:rPr>
          <w:rFonts w:hint="eastAsia" w:hAnsi="宋体"/>
          <w:color w:val="auto"/>
          <w:sz w:val="24"/>
        </w:rPr>
        <w:t>对废水收集管道定期检查，一旦发现受损或老化，立即进行修补或更换。</w:t>
      </w:r>
    </w:p>
    <w:p>
      <w:pPr>
        <w:spacing w:line="360" w:lineRule="auto"/>
        <w:ind w:firstLine="480" w:firstLineChars="200"/>
        <w:rPr>
          <w:rFonts w:ascii="宋体" w:hAnsi="宋体"/>
          <w:color w:val="auto"/>
          <w:sz w:val="24"/>
        </w:rPr>
      </w:pPr>
      <w:r>
        <w:rPr>
          <w:rFonts w:hint="eastAsia" w:ascii="宋体" w:hAnsi="宋体"/>
          <w:color w:val="auto"/>
          <w:sz w:val="24"/>
        </w:rPr>
        <w:t>③</w:t>
      </w:r>
      <w:r>
        <w:rPr>
          <w:rFonts w:hint="eastAsia" w:hAnsi="宋体"/>
          <w:color w:val="auto"/>
          <w:sz w:val="24"/>
        </w:rPr>
        <w:t>在车间内进行施工作业时，应注意对水槽和管道保护和避让。</w:t>
      </w:r>
    </w:p>
    <w:p>
      <w:pPr>
        <w:spacing w:line="360" w:lineRule="auto"/>
        <w:ind w:firstLine="480" w:firstLineChars="200"/>
        <w:rPr>
          <w:rFonts w:ascii="宋体" w:hAnsi="宋体"/>
          <w:color w:val="auto"/>
          <w:sz w:val="24"/>
        </w:rPr>
      </w:pPr>
      <w:r>
        <w:rPr>
          <w:rFonts w:hint="eastAsia" w:ascii="宋体" w:hAnsi="宋体"/>
          <w:color w:val="auto"/>
          <w:sz w:val="24"/>
        </w:rPr>
        <w:t>④</w:t>
      </w:r>
      <w:r>
        <w:rPr>
          <w:rFonts w:hint="eastAsia" w:hAnsi="宋体"/>
          <w:color w:val="auto"/>
          <w:sz w:val="24"/>
        </w:rPr>
        <w:t>若项目电镀车间分区围堰设施发生破裂、废水收集管道破裂等事故时，关闭本项目电镀废水检查口处出水阀门，并尽量将事故影响控制在车间内，风险事故处理负责人应向集控中心污水处理站汇报，并将混合废水排入集控区废水事故池内，由集控中心检测后再进一步处理。</w:t>
      </w:r>
    </w:p>
    <w:p>
      <w:pPr>
        <w:spacing w:line="360" w:lineRule="auto"/>
        <w:ind w:firstLine="480" w:firstLineChars="200"/>
        <w:rPr>
          <w:rFonts w:ascii="宋体" w:hAnsi="宋体"/>
          <w:color w:val="auto"/>
          <w:sz w:val="24"/>
        </w:rPr>
      </w:pPr>
      <w:r>
        <w:rPr>
          <w:rFonts w:hint="eastAsia" w:ascii="宋体" w:hAnsi="宋体"/>
          <w:color w:val="auto"/>
          <w:sz w:val="24"/>
        </w:rPr>
        <w:t>⑤</w:t>
      </w:r>
      <w:r>
        <w:rPr>
          <w:rFonts w:hint="eastAsia" w:hAnsi="宋体"/>
          <w:color w:val="auto"/>
          <w:sz w:val="24"/>
        </w:rPr>
        <w:t>以生产厂长作为风险事故处理的直接负责人，保持与集控中心污水处理站方面沟通畅通，积极响应污水处理站方面的应急措施。</w:t>
      </w:r>
    </w:p>
    <w:p>
      <w:pPr>
        <w:spacing w:line="360" w:lineRule="auto"/>
        <w:ind w:firstLine="480" w:firstLineChars="200"/>
        <w:rPr>
          <w:rFonts w:ascii="宋体" w:hAnsi="宋体"/>
          <w:color w:val="auto"/>
          <w:sz w:val="24"/>
        </w:rPr>
      </w:pPr>
      <w:r>
        <w:rPr>
          <w:rFonts w:hint="eastAsia" w:ascii="宋体" w:hAnsi="宋体"/>
          <w:color w:val="auto"/>
          <w:sz w:val="24"/>
        </w:rPr>
        <w:t>⑥</w:t>
      </w:r>
      <w:r>
        <w:rPr>
          <w:rFonts w:hint="eastAsia" w:hAnsi="宋体"/>
          <w:color w:val="auto"/>
          <w:sz w:val="24"/>
        </w:rPr>
        <w:t>当集控中心污水处理站发生故障不能正常运行时，公司接到通知后，原则上应立即停产，由于工序原因不能立即停止生产时，应通报污水处理站相应的情况，生产中将产生的废水量，时刻与污水处理厂保持联动，确保不会由于本企业的废水排放造成事故池废水溢出事故的发生。</w:t>
      </w:r>
    </w:p>
    <w:p>
      <w:pPr>
        <w:spacing w:line="360" w:lineRule="auto"/>
        <w:ind w:firstLine="480" w:firstLineChars="200"/>
        <w:rPr>
          <w:color w:val="auto"/>
          <w:sz w:val="24"/>
        </w:rPr>
      </w:pPr>
      <w:r>
        <w:rPr>
          <w:rFonts w:hint="eastAsia" w:ascii="宋体" w:hAnsi="宋体"/>
          <w:color w:val="auto"/>
          <w:sz w:val="24"/>
        </w:rPr>
        <w:t>⑦</w:t>
      </w:r>
      <w:r>
        <w:rPr>
          <w:rFonts w:hint="eastAsia" w:hAnsi="宋体"/>
          <w:color w:val="auto"/>
          <w:sz w:val="24"/>
        </w:rPr>
        <w:t>根据</w:t>
      </w:r>
      <w:r>
        <w:rPr>
          <w:color w:val="auto"/>
          <w:sz w:val="24"/>
        </w:rPr>
        <w:t>《电镀废水治理工程技术规范》（HJ2002-2010）规定，电镀废水处理站应设置应急事故池，应急事故池的容积应能容纳12~24h的废水量。本项目事故池的设计采用分质分流的收集系统，</w:t>
      </w:r>
      <w:r>
        <w:rPr>
          <w:rFonts w:hint="eastAsia"/>
          <w:color w:val="auto"/>
          <w:sz w:val="24"/>
        </w:rPr>
        <w:t>容积按容纳24h废水量计算，则</w:t>
      </w:r>
      <w:r>
        <w:rPr>
          <w:rFonts w:hint="eastAsia"/>
          <w:color w:val="auto"/>
          <w:sz w:val="24"/>
        </w:rPr>
        <w:t>本项目各废水事故池容积为含氰废水</w:t>
      </w:r>
      <w:r>
        <w:rPr>
          <w:color w:val="auto"/>
          <w:sz w:val="24"/>
        </w:rPr>
        <w:t>事故池</w:t>
      </w:r>
      <w:r>
        <w:rPr>
          <w:rFonts w:hint="eastAsia"/>
          <w:color w:val="auto"/>
          <w:sz w:val="24"/>
        </w:rPr>
        <w:t>（</w:t>
      </w:r>
      <w:r>
        <w:rPr>
          <w:rFonts w:hint="eastAsia"/>
          <w:color w:val="auto"/>
          <w:sz w:val="24"/>
          <w:lang w:val="en-US" w:eastAsia="zh-CN"/>
        </w:rPr>
        <w:t>11.19</w:t>
      </w:r>
      <w:r>
        <w:rPr>
          <w:rFonts w:hint="eastAsia"/>
          <w:color w:val="auto"/>
          <w:sz w:val="24"/>
        </w:rPr>
        <w:t>m</w:t>
      </w:r>
      <w:r>
        <w:rPr>
          <w:rFonts w:hint="eastAsia"/>
          <w:color w:val="auto"/>
          <w:sz w:val="24"/>
          <w:vertAlign w:val="superscript"/>
        </w:rPr>
        <w:t>3</w:t>
      </w:r>
      <w:r>
        <w:rPr>
          <w:rFonts w:hint="eastAsia"/>
          <w:color w:val="auto"/>
          <w:sz w:val="24"/>
        </w:rPr>
        <w:t>）、含油废水</w:t>
      </w:r>
      <w:r>
        <w:rPr>
          <w:color w:val="auto"/>
          <w:sz w:val="24"/>
        </w:rPr>
        <w:t>事故池</w:t>
      </w:r>
      <w:r>
        <w:rPr>
          <w:rFonts w:hint="eastAsia"/>
          <w:color w:val="auto"/>
          <w:sz w:val="24"/>
        </w:rPr>
        <w:t>（</w:t>
      </w:r>
      <w:r>
        <w:rPr>
          <w:rFonts w:hint="eastAsia"/>
          <w:color w:val="auto"/>
          <w:sz w:val="24"/>
          <w:lang w:val="en-US" w:eastAsia="zh-CN"/>
        </w:rPr>
        <w:t>8.116</w:t>
      </w:r>
      <w:r>
        <w:rPr>
          <w:rFonts w:hint="eastAsia"/>
          <w:color w:val="auto"/>
          <w:sz w:val="24"/>
        </w:rPr>
        <w:t>m</w:t>
      </w:r>
      <w:r>
        <w:rPr>
          <w:rFonts w:hint="eastAsia"/>
          <w:color w:val="auto"/>
          <w:sz w:val="24"/>
          <w:vertAlign w:val="superscript"/>
        </w:rPr>
        <w:t>3</w:t>
      </w:r>
      <w:r>
        <w:rPr>
          <w:rFonts w:hint="eastAsia"/>
          <w:color w:val="auto"/>
          <w:sz w:val="24"/>
        </w:rPr>
        <w:t>）</w:t>
      </w:r>
      <w:r>
        <w:rPr>
          <w:color w:val="auto"/>
          <w:sz w:val="24"/>
        </w:rPr>
        <w:t>、</w:t>
      </w:r>
      <w:r>
        <w:rPr>
          <w:rFonts w:hint="eastAsia"/>
          <w:color w:val="auto"/>
          <w:sz w:val="24"/>
        </w:rPr>
        <w:t>含镍废水</w:t>
      </w:r>
      <w:r>
        <w:rPr>
          <w:color w:val="auto"/>
          <w:sz w:val="24"/>
        </w:rPr>
        <w:t>事故池</w:t>
      </w:r>
      <w:r>
        <w:rPr>
          <w:rFonts w:hint="eastAsia"/>
          <w:color w:val="auto"/>
          <w:sz w:val="24"/>
        </w:rPr>
        <w:t>（</w:t>
      </w:r>
      <w:r>
        <w:rPr>
          <w:rFonts w:hint="eastAsia"/>
          <w:color w:val="auto"/>
          <w:sz w:val="24"/>
          <w:lang w:val="en-US" w:eastAsia="zh-CN"/>
        </w:rPr>
        <w:t>4.354</w:t>
      </w:r>
      <w:r>
        <w:rPr>
          <w:rFonts w:hint="eastAsia"/>
          <w:color w:val="auto"/>
          <w:sz w:val="24"/>
        </w:rPr>
        <w:t>m</w:t>
      </w:r>
      <w:r>
        <w:rPr>
          <w:rFonts w:hint="eastAsia"/>
          <w:color w:val="auto"/>
          <w:sz w:val="24"/>
          <w:vertAlign w:val="superscript"/>
        </w:rPr>
        <w:t>3</w:t>
      </w:r>
      <w:r>
        <w:rPr>
          <w:rFonts w:hint="eastAsia"/>
          <w:color w:val="auto"/>
          <w:sz w:val="24"/>
        </w:rPr>
        <w:t>）、含铬废水</w:t>
      </w:r>
      <w:r>
        <w:rPr>
          <w:color w:val="auto"/>
          <w:sz w:val="24"/>
        </w:rPr>
        <w:t>事故池</w:t>
      </w:r>
      <w:r>
        <w:rPr>
          <w:rFonts w:hint="eastAsia"/>
          <w:color w:val="auto"/>
          <w:sz w:val="24"/>
        </w:rPr>
        <w:t>（</w:t>
      </w:r>
      <w:r>
        <w:rPr>
          <w:rFonts w:hint="eastAsia"/>
          <w:color w:val="auto"/>
          <w:sz w:val="24"/>
          <w:lang w:val="en-US" w:eastAsia="zh-CN"/>
        </w:rPr>
        <w:t>4.054</w:t>
      </w:r>
      <w:r>
        <w:rPr>
          <w:rFonts w:hint="eastAsia"/>
          <w:color w:val="auto"/>
          <w:sz w:val="24"/>
        </w:rPr>
        <w:t>m</w:t>
      </w:r>
      <w:r>
        <w:rPr>
          <w:rFonts w:hint="eastAsia"/>
          <w:color w:val="auto"/>
          <w:sz w:val="24"/>
          <w:vertAlign w:val="superscript"/>
        </w:rPr>
        <w:t>3</w:t>
      </w:r>
      <w:r>
        <w:rPr>
          <w:rFonts w:hint="eastAsia"/>
          <w:color w:val="auto"/>
          <w:sz w:val="24"/>
        </w:rPr>
        <w:t>）、综合废水</w:t>
      </w:r>
      <w:r>
        <w:rPr>
          <w:color w:val="auto"/>
          <w:sz w:val="24"/>
        </w:rPr>
        <w:t>事故池</w:t>
      </w:r>
      <w:r>
        <w:rPr>
          <w:rFonts w:hint="eastAsia"/>
          <w:color w:val="auto"/>
          <w:sz w:val="24"/>
        </w:rPr>
        <w:t>（</w:t>
      </w:r>
      <w:r>
        <w:rPr>
          <w:rFonts w:hint="eastAsia"/>
          <w:color w:val="auto"/>
          <w:sz w:val="24"/>
          <w:lang w:val="en-US" w:eastAsia="zh-CN"/>
        </w:rPr>
        <w:t>3.1</w:t>
      </w:r>
      <w:r>
        <w:rPr>
          <w:rFonts w:hint="eastAsia"/>
          <w:color w:val="auto"/>
          <w:sz w:val="24"/>
        </w:rPr>
        <w:t>m</w:t>
      </w:r>
      <w:r>
        <w:rPr>
          <w:rFonts w:hint="eastAsia"/>
          <w:color w:val="auto"/>
          <w:sz w:val="24"/>
          <w:vertAlign w:val="superscript"/>
        </w:rPr>
        <w:t>3</w:t>
      </w:r>
      <w:r>
        <w:rPr>
          <w:rFonts w:hint="eastAsia"/>
          <w:color w:val="auto"/>
          <w:sz w:val="24"/>
        </w:rPr>
        <w:t>）</w:t>
      </w:r>
      <w:r>
        <w:rPr>
          <w:color w:val="auto"/>
          <w:sz w:val="24"/>
        </w:rPr>
        <w:t>，详见表</w:t>
      </w:r>
      <w:r>
        <w:rPr>
          <w:rFonts w:hint="eastAsia"/>
          <w:color w:val="auto"/>
          <w:sz w:val="24"/>
        </w:rPr>
        <w:t>7.6-4</w:t>
      </w:r>
      <w:r>
        <w:rPr>
          <w:color w:val="auto"/>
          <w:sz w:val="24"/>
        </w:rPr>
        <w:t>。</w:t>
      </w:r>
    </w:p>
    <w:p>
      <w:pPr>
        <w:widowControl/>
        <w:autoSpaceDE w:val="0"/>
        <w:autoSpaceDN w:val="0"/>
        <w:spacing w:line="360" w:lineRule="auto"/>
        <w:jc w:val="center"/>
        <w:textAlignment w:val="bottom"/>
        <w:rPr>
          <w:b/>
          <w:color w:val="auto"/>
          <w:sz w:val="24"/>
        </w:rPr>
      </w:pPr>
      <w:r>
        <w:rPr>
          <w:b/>
          <w:color w:val="auto"/>
          <w:sz w:val="24"/>
        </w:rPr>
        <w:t>表</w:t>
      </w:r>
      <w:r>
        <w:rPr>
          <w:rFonts w:hint="eastAsia"/>
          <w:b/>
          <w:color w:val="auto"/>
          <w:sz w:val="24"/>
        </w:rPr>
        <w:t>7.6-4</w:t>
      </w:r>
      <w:r>
        <w:rPr>
          <w:b/>
          <w:color w:val="auto"/>
          <w:sz w:val="24"/>
        </w:rPr>
        <w:t xml:space="preserve">  工程废水事故池概况</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72"/>
        <w:gridCol w:w="1141"/>
        <w:gridCol w:w="1908"/>
        <w:gridCol w:w="1155"/>
        <w:gridCol w:w="2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0" w:type="dxa"/>
            <w:vAlign w:val="center"/>
          </w:tcPr>
          <w:p>
            <w:pPr>
              <w:autoSpaceDE w:val="0"/>
              <w:autoSpaceDN w:val="0"/>
              <w:adjustRightInd w:val="0"/>
              <w:snapToGrid w:val="0"/>
              <w:jc w:val="center"/>
              <w:rPr>
                <w:color w:val="auto"/>
                <w:szCs w:val="21"/>
              </w:rPr>
            </w:pPr>
            <w:bookmarkStart w:id="33" w:name="OLE_LINK46"/>
            <w:r>
              <w:rPr>
                <w:color w:val="auto"/>
                <w:szCs w:val="21"/>
              </w:rPr>
              <w:t>序号</w:t>
            </w:r>
          </w:p>
        </w:tc>
        <w:tc>
          <w:tcPr>
            <w:tcW w:w="2272" w:type="dxa"/>
            <w:vAlign w:val="center"/>
          </w:tcPr>
          <w:p>
            <w:pPr>
              <w:autoSpaceDE w:val="0"/>
              <w:autoSpaceDN w:val="0"/>
              <w:adjustRightInd w:val="0"/>
              <w:snapToGrid w:val="0"/>
              <w:jc w:val="center"/>
              <w:rPr>
                <w:color w:val="auto"/>
                <w:szCs w:val="21"/>
              </w:rPr>
            </w:pPr>
            <w:r>
              <w:rPr>
                <w:color w:val="auto"/>
                <w:szCs w:val="21"/>
              </w:rPr>
              <w:t>名称</w:t>
            </w:r>
          </w:p>
        </w:tc>
        <w:tc>
          <w:tcPr>
            <w:tcW w:w="1141" w:type="dxa"/>
            <w:vAlign w:val="center"/>
          </w:tcPr>
          <w:p>
            <w:pPr>
              <w:autoSpaceDE w:val="0"/>
              <w:autoSpaceDN w:val="0"/>
              <w:adjustRightInd w:val="0"/>
              <w:snapToGrid w:val="0"/>
              <w:jc w:val="center"/>
              <w:rPr>
                <w:color w:val="auto"/>
                <w:szCs w:val="21"/>
              </w:rPr>
            </w:pPr>
            <w:r>
              <w:rPr>
                <w:color w:val="auto"/>
                <w:szCs w:val="21"/>
              </w:rPr>
              <w:t>数量（个）</w:t>
            </w:r>
          </w:p>
        </w:tc>
        <w:tc>
          <w:tcPr>
            <w:tcW w:w="1908" w:type="dxa"/>
            <w:vAlign w:val="center"/>
          </w:tcPr>
          <w:p>
            <w:pPr>
              <w:autoSpaceDE w:val="0"/>
              <w:autoSpaceDN w:val="0"/>
              <w:adjustRightInd w:val="0"/>
              <w:snapToGrid w:val="0"/>
              <w:jc w:val="center"/>
              <w:rPr>
                <w:color w:val="auto"/>
                <w:szCs w:val="21"/>
              </w:rPr>
            </w:pPr>
            <w:r>
              <w:rPr>
                <w:color w:val="auto"/>
                <w:szCs w:val="21"/>
              </w:rPr>
              <w:t>Q废水量（</w:t>
            </w:r>
            <w:r>
              <w:rPr>
                <w:color w:val="auto"/>
                <w:spacing w:val="-1"/>
                <w:szCs w:val="21"/>
              </w:rPr>
              <w:t>m</w:t>
            </w:r>
            <w:r>
              <w:rPr>
                <w:color w:val="auto"/>
                <w:spacing w:val="-1"/>
                <w:szCs w:val="21"/>
                <w:vertAlign w:val="superscript"/>
              </w:rPr>
              <w:t>3</w:t>
            </w:r>
            <w:r>
              <w:rPr>
                <w:color w:val="auto"/>
                <w:spacing w:val="-1"/>
                <w:szCs w:val="21"/>
              </w:rPr>
              <w:t>/</w:t>
            </w:r>
            <w:r>
              <w:rPr>
                <w:rFonts w:hint="eastAsia"/>
                <w:color w:val="auto"/>
                <w:spacing w:val="-1"/>
                <w:szCs w:val="21"/>
              </w:rPr>
              <w:t>d</w:t>
            </w:r>
            <w:r>
              <w:rPr>
                <w:color w:val="auto"/>
                <w:szCs w:val="21"/>
              </w:rPr>
              <w:t>）</w:t>
            </w:r>
          </w:p>
        </w:tc>
        <w:tc>
          <w:tcPr>
            <w:tcW w:w="1155" w:type="dxa"/>
            <w:vAlign w:val="center"/>
          </w:tcPr>
          <w:p>
            <w:pPr>
              <w:autoSpaceDE w:val="0"/>
              <w:autoSpaceDN w:val="0"/>
              <w:adjustRightInd w:val="0"/>
              <w:snapToGrid w:val="0"/>
              <w:jc w:val="center"/>
              <w:rPr>
                <w:color w:val="auto"/>
                <w:szCs w:val="21"/>
              </w:rPr>
            </w:pPr>
            <w:r>
              <w:rPr>
                <w:rFonts w:hint="eastAsia"/>
                <w:color w:val="auto"/>
                <w:szCs w:val="21"/>
              </w:rPr>
              <w:t>时间(h)</w:t>
            </w:r>
          </w:p>
        </w:tc>
        <w:tc>
          <w:tcPr>
            <w:tcW w:w="2100" w:type="dxa"/>
            <w:vAlign w:val="center"/>
          </w:tcPr>
          <w:p>
            <w:pPr>
              <w:autoSpaceDE w:val="0"/>
              <w:autoSpaceDN w:val="0"/>
              <w:adjustRightInd w:val="0"/>
              <w:snapToGrid w:val="0"/>
              <w:jc w:val="center"/>
              <w:rPr>
                <w:color w:val="auto"/>
                <w:szCs w:val="21"/>
              </w:rPr>
            </w:pPr>
            <w:r>
              <w:rPr>
                <w:color w:val="auto"/>
                <w:szCs w:val="21"/>
              </w:rPr>
              <w:t>总容积</w:t>
            </w:r>
            <w:r>
              <w:rPr>
                <w:rFonts w:hint="eastAsia"/>
                <w:color w:val="auto"/>
                <w:szCs w:val="21"/>
              </w:rPr>
              <w:t>V=(Q*h)</w:t>
            </w:r>
            <w:r>
              <w:rPr>
                <w:color w:val="auto"/>
                <w:szCs w:val="21"/>
              </w:rPr>
              <w:t>（</w:t>
            </w:r>
            <w:r>
              <w:rPr>
                <w:color w:val="auto"/>
                <w:spacing w:val="-1"/>
                <w:szCs w:val="21"/>
              </w:rPr>
              <w:t>m</w:t>
            </w:r>
            <w:r>
              <w:rPr>
                <w:color w:val="auto"/>
                <w:spacing w:val="-1"/>
                <w:szCs w:val="21"/>
                <w:vertAlign w:val="superscript"/>
              </w:rPr>
              <w:t>3</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10" w:type="dxa"/>
            <w:vAlign w:val="center"/>
          </w:tcPr>
          <w:p>
            <w:pPr>
              <w:autoSpaceDE w:val="0"/>
              <w:autoSpaceDN w:val="0"/>
              <w:adjustRightInd w:val="0"/>
              <w:snapToGrid w:val="0"/>
              <w:jc w:val="center"/>
              <w:rPr>
                <w:color w:val="auto"/>
                <w:szCs w:val="21"/>
              </w:rPr>
            </w:pPr>
            <w:r>
              <w:rPr>
                <w:rFonts w:hint="eastAsia"/>
                <w:color w:val="auto"/>
                <w:szCs w:val="21"/>
              </w:rPr>
              <w:t>1</w:t>
            </w:r>
          </w:p>
        </w:tc>
        <w:tc>
          <w:tcPr>
            <w:tcW w:w="2272" w:type="dxa"/>
            <w:vAlign w:val="center"/>
          </w:tcPr>
          <w:p>
            <w:pPr>
              <w:autoSpaceDE w:val="0"/>
              <w:autoSpaceDN w:val="0"/>
              <w:adjustRightInd w:val="0"/>
              <w:snapToGrid w:val="0"/>
              <w:jc w:val="center"/>
              <w:rPr>
                <w:color w:val="auto"/>
                <w:szCs w:val="21"/>
              </w:rPr>
            </w:pPr>
            <w:r>
              <w:rPr>
                <w:rFonts w:hint="eastAsia"/>
                <w:color w:val="auto"/>
                <w:szCs w:val="21"/>
              </w:rPr>
              <w:t>含氰废水事故池</w:t>
            </w:r>
          </w:p>
        </w:tc>
        <w:tc>
          <w:tcPr>
            <w:tcW w:w="1141" w:type="dxa"/>
            <w:vAlign w:val="center"/>
          </w:tcPr>
          <w:p>
            <w:pPr>
              <w:autoSpaceDE w:val="0"/>
              <w:autoSpaceDN w:val="0"/>
              <w:adjustRightInd w:val="0"/>
              <w:snapToGrid w:val="0"/>
              <w:jc w:val="center"/>
              <w:rPr>
                <w:color w:val="auto"/>
                <w:szCs w:val="21"/>
              </w:rPr>
            </w:pPr>
            <w:r>
              <w:rPr>
                <w:rFonts w:hint="eastAsia"/>
                <w:color w:val="auto"/>
                <w:szCs w:val="21"/>
              </w:rPr>
              <w:t>1</w:t>
            </w:r>
          </w:p>
        </w:tc>
        <w:tc>
          <w:tcPr>
            <w:tcW w:w="1908" w:type="dxa"/>
            <w:vAlign w:val="center"/>
          </w:tcPr>
          <w:p>
            <w:pPr>
              <w:autoSpaceDE w:val="0"/>
              <w:autoSpaceDN w:val="0"/>
              <w:adjustRightInd w:val="0"/>
              <w:snapToGrid w:val="0"/>
              <w:jc w:val="center"/>
              <w:rPr>
                <w:color w:val="auto"/>
                <w:szCs w:val="21"/>
              </w:rPr>
            </w:pPr>
            <w:r>
              <w:rPr>
                <w:rFonts w:hint="eastAsia" w:ascii="Times New Roman" w:hAnsi="Times New Roman" w:eastAsia="宋体" w:cs="Times New Roman"/>
                <w:i w:val="0"/>
                <w:color w:val="auto"/>
                <w:kern w:val="0"/>
                <w:sz w:val="21"/>
                <w:szCs w:val="21"/>
                <w:u w:val="none"/>
                <w:lang w:val="en-US" w:eastAsia="zh-CN" w:bidi="ar"/>
              </w:rPr>
              <w:t>11.19</w:t>
            </w:r>
          </w:p>
        </w:tc>
        <w:tc>
          <w:tcPr>
            <w:tcW w:w="1155" w:type="dxa"/>
            <w:vAlign w:val="center"/>
          </w:tcPr>
          <w:p>
            <w:pPr>
              <w:autoSpaceDE w:val="0"/>
              <w:autoSpaceDN w:val="0"/>
              <w:adjustRightInd w:val="0"/>
              <w:snapToGrid w:val="0"/>
              <w:jc w:val="center"/>
              <w:rPr>
                <w:color w:val="auto"/>
                <w:szCs w:val="21"/>
              </w:rPr>
            </w:pPr>
            <w:r>
              <w:rPr>
                <w:rFonts w:hint="eastAsia"/>
                <w:color w:val="auto"/>
                <w:szCs w:val="21"/>
              </w:rPr>
              <w:t>24</w:t>
            </w:r>
          </w:p>
        </w:tc>
        <w:tc>
          <w:tcPr>
            <w:tcW w:w="2100" w:type="dxa"/>
            <w:vAlign w:val="center"/>
          </w:tcPr>
          <w:p>
            <w:pPr>
              <w:autoSpaceDE w:val="0"/>
              <w:autoSpaceDN w:val="0"/>
              <w:adjustRightInd w:val="0"/>
              <w:snapToGrid w:val="0"/>
              <w:jc w:val="center"/>
              <w:rPr>
                <w:color w:val="auto"/>
                <w:szCs w:val="21"/>
              </w:rPr>
            </w:pPr>
            <w:r>
              <w:rPr>
                <w:rFonts w:hint="eastAsia" w:ascii="Times New Roman" w:hAnsi="Times New Roman" w:eastAsia="宋体" w:cs="Times New Roman"/>
                <w:i w:val="0"/>
                <w:color w:val="auto"/>
                <w:kern w:val="0"/>
                <w:sz w:val="21"/>
                <w:szCs w:val="21"/>
                <w:u w:val="none"/>
                <w:lang w:val="en-US" w:eastAsia="zh-CN" w:bidi="ar"/>
              </w:rPr>
              <w:t>11.19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0" w:type="dxa"/>
            <w:vAlign w:val="center"/>
          </w:tcPr>
          <w:p>
            <w:pPr>
              <w:autoSpaceDE w:val="0"/>
              <w:autoSpaceDN w:val="0"/>
              <w:adjustRightInd w:val="0"/>
              <w:snapToGrid w:val="0"/>
              <w:jc w:val="center"/>
              <w:rPr>
                <w:color w:val="auto"/>
                <w:szCs w:val="21"/>
              </w:rPr>
            </w:pPr>
            <w:r>
              <w:rPr>
                <w:rFonts w:hint="eastAsia"/>
                <w:color w:val="auto"/>
                <w:szCs w:val="21"/>
              </w:rPr>
              <w:t>2</w:t>
            </w:r>
          </w:p>
        </w:tc>
        <w:tc>
          <w:tcPr>
            <w:tcW w:w="2272" w:type="dxa"/>
            <w:vAlign w:val="center"/>
          </w:tcPr>
          <w:p>
            <w:pPr>
              <w:autoSpaceDE w:val="0"/>
              <w:autoSpaceDN w:val="0"/>
              <w:adjustRightInd w:val="0"/>
              <w:snapToGrid w:val="0"/>
              <w:jc w:val="center"/>
              <w:rPr>
                <w:color w:val="auto"/>
                <w:szCs w:val="21"/>
              </w:rPr>
            </w:pPr>
            <w:r>
              <w:rPr>
                <w:rFonts w:hint="eastAsia"/>
                <w:color w:val="auto"/>
                <w:szCs w:val="21"/>
              </w:rPr>
              <w:t>含油废水事故池</w:t>
            </w:r>
          </w:p>
        </w:tc>
        <w:tc>
          <w:tcPr>
            <w:tcW w:w="1141" w:type="dxa"/>
            <w:vAlign w:val="center"/>
          </w:tcPr>
          <w:p>
            <w:pPr>
              <w:autoSpaceDE w:val="0"/>
              <w:autoSpaceDN w:val="0"/>
              <w:adjustRightInd w:val="0"/>
              <w:snapToGrid w:val="0"/>
              <w:jc w:val="center"/>
              <w:rPr>
                <w:color w:val="auto"/>
                <w:szCs w:val="21"/>
              </w:rPr>
            </w:pPr>
            <w:r>
              <w:rPr>
                <w:color w:val="auto"/>
                <w:szCs w:val="21"/>
              </w:rPr>
              <w:t>1</w:t>
            </w:r>
          </w:p>
        </w:tc>
        <w:tc>
          <w:tcPr>
            <w:tcW w:w="1908" w:type="dxa"/>
            <w:vAlign w:val="center"/>
          </w:tcPr>
          <w:p>
            <w:pPr>
              <w:autoSpaceDE w:val="0"/>
              <w:autoSpaceDN w:val="0"/>
              <w:adjustRightInd w:val="0"/>
              <w:snapToGrid w:val="0"/>
              <w:jc w:val="center"/>
              <w:rPr>
                <w:color w:val="auto"/>
                <w:szCs w:val="21"/>
              </w:rPr>
            </w:pPr>
            <w:r>
              <w:rPr>
                <w:rFonts w:hint="eastAsia" w:hAnsi="宋体"/>
                <w:color w:val="auto"/>
                <w:sz w:val="21"/>
                <w:szCs w:val="21"/>
                <w:lang w:val="en-US" w:eastAsia="zh-CN"/>
              </w:rPr>
              <w:t>8.116</w:t>
            </w:r>
          </w:p>
        </w:tc>
        <w:tc>
          <w:tcPr>
            <w:tcW w:w="1155" w:type="dxa"/>
            <w:vAlign w:val="center"/>
          </w:tcPr>
          <w:p>
            <w:pPr>
              <w:autoSpaceDE w:val="0"/>
              <w:autoSpaceDN w:val="0"/>
              <w:adjustRightInd w:val="0"/>
              <w:snapToGrid w:val="0"/>
              <w:jc w:val="center"/>
              <w:rPr>
                <w:color w:val="auto"/>
                <w:szCs w:val="21"/>
              </w:rPr>
            </w:pPr>
            <w:r>
              <w:rPr>
                <w:rFonts w:hint="eastAsia"/>
                <w:color w:val="auto"/>
                <w:szCs w:val="21"/>
              </w:rPr>
              <w:t>24</w:t>
            </w:r>
          </w:p>
        </w:tc>
        <w:tc>
          <w:tcPr>
            <w:tcW w:w="2100" w:type="dxa"/>
            <w:vAlign w:val="center"/>
          </w:tcPr>
          <w:p>
            <w:pPr>
              <w:autoSpaceDE w:val="0"/>
              <w:autoSpaceDN w:val="0"/>
              <w:adjustRightInd w:val="0"/>
              <w:snapToGrid w:val="0"/>
              <w:jc w:val="center"/>
              <w:rPr>
                <w:color w:val="auto"/>
                <w:szCs w:val="21"/>
              </w:rPr>
            </w:pPr>
            <w:r>
              <w:rPr>
                <w:rFonts w:hint="eastAsia" w:hAnsi="宋体"/>
                <w:color w:val="auto"/>
                <w:sz w:val="21"/>
                <w:szCs w:val="21"/>
                <w:lang w:val="en-US" w:eastAsia="zh-CN"/>
              </w:rPr>
              <w:t>8.116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0" w:type="dxa"/>
            <w:vAlign w:val="center"/>
          </w:tcPr>
          <w:p>
            <w:pPr>
              <w:autoSpaceDE w:val="0"/>
              <w:autoSpaceDN w:val="0"/>
              <w:adjustRightInd w:val="0"/>
              <w:snapToGrid w:val="0"/>
              <w:jc w:val="center"/>
              <w:rPr>
                <w:color w:val="auto"/>
                <w:szCs w:val="21"/>
              </w:rPr>
            </w:pPr>
            <w:r>
              <w:rPr>
                <w:rFonts w:hint="eastAsia"/>
                <w:color w:val="auto"/>
                <w:szCs w:val="21"/>
              </w:rPr>
              <w:t>3</w:t>
            </w:r>
          </w:p>
        </w:tc>
        <w:tc>
          <w:tcPr>
            <w:tcW w:w="2272" w:type="dxa"/>
            <w:vAlign w:val="center"/>
          </w:tcPr>
          <w:p>
            <w:pPr>
              <w:autoSpaceDE w:val="0"/>
              <w:autoSpaceDN w:val="0"/>
              <w:adjustRightInd w:val="0"/>
              <w:snapToGrid w:val="0"/>
              <w:jc w:val="center"/>
              <w:rPr>
                <w:color w:val="auto"/>
                <w:szCs w:val="21"/>
              </w:rPr>
            </w:pPr>
            <w:r>
              <w:rPr>
                <w:rFonts w:hint="eastAsia"/>
                <w:color w:val="auto"/>
                <w:szCs w:val="21"/>
              </w:rPr>
              <w:t>含镍废水事故池</w:t>
            </w:r>
          </w:p>
        </w:tc>
        <w:tc>
          <w:tcPr>
            <w:tcW w:w="1141" w:type="dxa"/>
            <w:vAlign w:val="center"/>
          </w:tcPr>
          <w:p>
            <w:pPr>
              <w:autoSpaceDE w:val="0"/>
              <w:autoSpaceDN w:val="0"/>
              <w:adjustRightInd w:val="0"/>
              <w:snapToGrid w:val="0"/>
              <w:jc w:val="center"/>
              <w:rPr>
                <w:color w:val="auto"/>
                <w:szCs w:val="21"/>
              </w:rPr>
            </w:pPr>
            <w:r>
              <w:rPr>
                <w:rFonts w:hint="eastAsia"/>
                <w:color w:val="auto"/>
                <w:szCs w:val="21"/>
              </w:rPr>
              <w:t>1</w:t>
            </w:r>
          </w:p>
        </w:tc>
        <w:tc>
          <w:tcPr>
            <w:tcW w:w="1908" w:type="dxa"/>
            <w:vAlign w:val="center"/>
          </w:tcPr>
          <w:p>
            <w:pPr>
              <w:autoSpaceDE w:val="0"/>
              <w:autoSpaceDN w:val="0"/>
              <w:adjustRightInd w:val="0"/>
              <w:snapToGrid w:val="0"/>
              <w:jc w:val="center"/>
              <w:rPr>
                <w:color w:val="auto"/>
                <w:szCs w:val="21"/>
              </w:rPr>
            </w:pPr>
            <w:r>
              <w:rPr>
                <w:rFonts w:hint="eastAsia" w:ascii="Times New Roman" w:hAnsi="Times New Roman" w:eastAsia="宋体" w:cs="Times New Roman"/>
                <w:i w:val="0"/>
                <w:color w:val="auto"/>
                <w:kern w:val="0"/>
                <w:sz w:val="21"/>
                <w:szCs w:val="21"/>
                <w:u w:val="none"/>
                <w:lang w:val="en-US" w:eastAsia="zh-CN" w:bidi="ar"/>
              </w:rPr>
              <w:t>4.354</w:t>
            </w:r>
          </w:p>
        </w:tc>
        <w:tc>
          <w:tcPr>
            <w:tcW w:w="1155" w:type="dxa"/>
            <w:vAlign w:val="center"/>
          </w:tcPr>
          <w:p>
            <w:pPr>
              <w:autoSpaceDE w:val="0"/>
              <w:autoSpaceDN w:val="0"/>
              <w:adjustRightInd w:val="0"/>
              <w:snapToGrid w:val="0"/>
              <w:jc w:val="center"/>
              <w:rPr>
                <w:color w:val="auto"/>
                <w:szCs w:val="21"/>
              </w:rPr>
            </w:pPr>
            <w:r>
              <w:rPr>
                <w:rFonts w:hint="eastAsia"/>
                <w:color w:val="auto"/>
                <w:szCs w:val="21"/>
              </w:rPr>
              <w:t>24</w:t>
            </w:r>
          </w:p>
        </w:tc>
        <w:tc>
          <w:tcPr>
            <w:tcW w:w="2100" w:type="dxa"/>
            <w:vAlign w:val="center"/>
          </w:tcPr>
          <w:p>
            <w:pPr>
              <w:autoSpaceDE w:val="0"/>
              <w:autoSpaceDN w:val="0"/>
              <w:adjustRightInd w:val="0"/>
              <w:snapToGrid w:val="0"/>
              <w:jc w:val="center"/>
              <w:rPr>
                <w:color w:val="auto"/>
                <w:szCs w:val="21"/>
              </w:rPr>
            </w:pPr>
            <w:r>
              <w:rPr>
                <w:rFonts w:hint="eastAsia" w:ascii="Times New Roman" w:hAnsi="Times New Roman" w:eastAsia="宋体" w:cs="Times New Roman"/>
                <w:i w:val="0"/>
                <w:color w:val="auto"/>
                <w:kern w:val="0"/>
                <w:sz w:val="21"/>
                <w:szCs w:val="21"/>
                <w:u w:val="none"/>
                <w:lang w:val="en-US" w:eastAsia="zh-CN" w:bidi="ar"/>
              </w:rPr>
              <w:t>4.354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0" w:type="dxa"/>
            <w:vAlign w:val="center"/>
          </w:tcPr>
          <w:p>
            <w:pPr>
              <w:autoSpaceDE w:val="0"/>
              <w:autoSpaceDN w:val="0"/>
              <w:adjustRightInd w:val="0"/>
              <w:snapToGrid w:val="0"/>
              <w:jc w:val="center"/>
              <w:rPr>
                <w:color w:val="auto"/>
                <w:szCs w:val="21"/>
              </w:rPr>
            </w:pPr>
            <w:r>
              <w:rPr>
                <w:rFonts w:hint="eastAsia"/>
                <w:color w:val="auto"/>
                <w:szCs w:val="21"/>
              </w:rPr>
              <w:t>4</w:t>
            </w:r>
          </w:p>
        </w:tc>
        <w:tc>
          <w:tcPr>
            <w:tcW w:w="2272" w:type="dxa"/>
            <w:vAlign w:val="center"/>
          </w:tcPr>
          <w:p>
            <w:pPr>
              <w:autoSpaceDE w:val="0"/>
              <w:autoSpaceDN w:val="0"/>
              <w:adjustRightInd w:val="0"/>
              <w:snapToGrid w:val="0"/>
              <w:jc w:val="center"/>
              <w:rPr>
                <w:color w:val="auto"/>
                <w:szCs w:val="21"/>
              </w:rPr>
            </w:pPr>
            <w:r>
              <w:rPr>
                <w:rFonts w:hint="eastAsia"/>
                <w:color w:val="auto"/>
                <w:szCs w:val="21"/>
              </w:rPr>
              <w:t>含铬废水事故池</w:t>
            </w:r>
          </w:p>
        </w:tc>
        <w:tc>
          <w:tcPr>
            <w:tcW w:w="1141" w:type="dxa"/>
            <w:vAlign w:val="center"/>
          </w:tcPr>
          <w:p>
            <w:pPr>
              <w:autoSpaceDE w:val="0"/>
              <w:autoSpaceDN w:val="0"/>
              <w:adjustRightInd w:val="0"/>
              <w:snapToGrid w:val="0"/>
              <w:jc w:val="center"/>
              <w:rPr>
                <w:color w:val="auto"/>
                <w:szCs w:val="21"/>
              </w:rPr>
            </w:pPr>
            <w:r>
              <w:rPr>
                <w:rFonts w:hint="eastAsia"/>
                <w:color w:val="auto"/>
                <w:szCs w:val="21"/>
              </w:rPr>
              <w:t>1</w:t>
            </w:r>
          </w:p>
        </w:tc>
        <w:tc>
          <w:tcPr>
            <w:tcW w:w="1908" w:type="dxa"/>
            <w:vAlign w:val="center"/>
          </w:tcPr>
          <w:p>
            <w:pPr>
              <w:autoSpaceDE w:val="0"/>
              <w:autoSpaceDN w:val="0"/>
              <w:adjustRightInd w:val="0"/>
              <w:snapToGrid w:val="0"/>
              <w:jc w:val="center"/>
              <w:rPr>
                <w:color w:val="auto"/>
                <w:szCs w:val="21"/>
              </w:rPr>
            </w:pPr>
            <w:r>
              <w:rPr>
                <w:rFonts w:hint="eastAsia" w:ascii="Times New Roman" w:hAnsi="Times New Roman" w:eastAsia="宋体" w:cs="Times New Roman"/>
                <w:i w:val="0"/>
                <w:color w:val="auto"/>
                <w:kern w:val="0"/>
                <w:sz w:val="21"/>
                <w:szCs w:val="21"/>
                <w:u w:val="none"/>
                <w:lang w:val="en-US" w:eastAsia="zh-CN" w:bidi="ar"/>
              </w:rPr>
              <w:t>4.054</w:t>
            </w:r>
          </w:p>
        </w:tc>
        <w:tc>
          <w:tcPr>
            <w:tcW w:w="1155" w:type="dxa"/>
            <w:vAlign w:val="center"/>
          </w:tcPr>
          <w:p>
            <w:pPr>
              <w:autoSpaceDE w:val="0"/>
              <w:autoSpaceDN w:val="0"/>
              <w:adjustRightInd w:val="0"/>
              <w:snapToGrid w:val="0"/>
              <w:jc w:val="center"/>
              <w:rPr>
                <w:color w:val="auto"/>
                <w:szCs w:val="21"/>
              </w:rPr>
            </w:pPr>
            <w:r>
              <w:rPr>
                <w:rFonts w:hint="eastAsia"/>
                <w:color w:val="auto"/>
                <w:szCs w:val="21"/>
              </w:rPr>
              <w:t>24</w:t>
            </w:r>
          </w:p>
        </w:tc>
        <w:tc>
          <w:tcPr>
            <w:tcW w:w="2100" w:type="dxa"/>
            <w:vAlign w:val="center"/>
          </w:tcPr>
          <w:p>
            <w:pPr>
              <w:autoSpaceDE w:val="0"/>
              <w:autoSpaceDN w:val="0"/>
              <w:adjustRightInd w:val="0"/>
              <w:snapToGrid w:val="0"/>
              <w:jc w:val="center"/>
              <w:rPr>
                <w:color w:val="auto"/>
                <w:szCs w:val="21"/>
              </w:rPr>
            </w:pPr>
            <w:r>
              <w:rPr>
                <w:rFonts w:hint="eastAsia" w:ascii="Times New Roman" w:hAnsi="Times New Roman" w:eastAsia="宋体" w:cs="Times New Roman"/>
                <w:i w:val="0"/>
                <w:color w:val="auto"/>
                <w:kern w:val="0"/>
                <w:sz w:val="21"/>
                <w:szCs w:val="21"/>
                <w:u w:val="none"/>
                <w:lang w:val="en-US" w:eastAsia="zh-CN" w:bidi="ar"/>
              </w:rPr>
              <w:t>4.054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10" w:type="dxa"/>
            <w:vAlign w:val="center"/>
          </w:tcPr>
          <w:p>
            <w:pPr>
              <w:autoSpaceDE w:val="0"/>
              <w:autoSpaceDN w:val="0"/>
              <w:adjustRightInd w:val="0"/>
              <w:snapToGrid w:val="0"/>
              <w:jc w:val="center"/>
              <w:rPr>
                <w:color w:val="auto"/>
                <w:szCs w:val="21"/>
              </w:rPr>
            </w:pPr>
            <w:r>
              <w:rPr>
                <w:rFonts w:hint="eastAsia"/>
                <w:color w:val="auto"/>
                <w:szCs w:val="21"/>
              </w:rPr>
              <w:t>5</w:t>
            </w:r>
          </w:p>
        </w:tc>
        <w:tc>
          <w:tcPr>
            <w:tcW w:w="2272" w:type="dxa"/>
            <w:vAlign w:val="center"/>
          </w:tcPr>
          <w:p>
            <w:pPr>
              <w:autoSpaceDE w:val="0"/>
              <w:autoSpaceDN w:val="0"/>
              <w:adjustRightInd w:val="0"/>
              <w:snapToGrid w:val="0"/>
              <w:jc w:val="center"/>
              <w:rPr>
                <w:color w:val="auto"/>
                <w:szCs w:val="21"/>
              </w:rPr>
            </w:pPr>
            <w:r>
              <w:rPr>
                <w:rFonts w:hint="eastAsia"/>
                <w:color w:val="auto"/>
                <w:szCs w:val="21"/>
              </w:rPr>
              <w:t>综合废水事故池</w:t>
            </w:r>
          </w:p>
        </w:tc>
        <w:tc>
          <w:tcPr>
            <w:tcW w:w="1141" w:type="dxa"/>
            <w:vAlign w:val="center"/>
          </w:tcPr>
          <w:p>
            <w:pPr>
              <w:autoSpaceDE w:val="0"/>
              <w:autoSpaceDN w:val="0"/>
              <w:adjustRightInd w:val="0"/>
              <w:snapToGrid w:val="0"/>
              <w:jc w:val="center"/>
              <w:rPr>
                <w:color w:val="auto"/>
                <w:szCs w:val="21"/>
              </w:rPr>
            </w:pPr>
            <w:r>
              <w:rPr>
                <w:rFonts w:hint="eastAsia"/>
                <w:color w:val="auto"/>
                <w:szCs w:val="21"/>
              </w:rPr>
              <w:t>1</w:t>
            </w:r>
          </w:p>
        </w:tc>
        <w:tc>
          <w:tcPr>
            <w:tcW w:w="1908" w:type="dxa"/>
            <w:vAlign w:val="center"/>
          </w:tcPr>
          <w:p>
            <w:pPr>
              <w:autoSpaceDE w:val="0"/>
              <w:autoSpaceDN w:val="0"/>
              <w:adjustRightInd w:val="0"/>
              <w:snapToGrid w:val="0"/>
              <w:jc w:val="center"/>
              <w:rPr>
                <w:color w:val="auto"/>
                <w:szCs w:val="21"/>
              </w:rPr>
            </w:pPr>
            <w:r>
              <w:rPr>
                <w:rFonts w:hint="eastAsia" w:hAnsi="宋体"/>
                <w:color w:val="auto"/>
                <w:sz w:val="21"/>
                <w:szCs w:val="21"/>
                <w:lang w:val="en-US" w:eastAsia="zh-CN"/>
              </w:rPr>
              <w:t>3.1</w:t>
            </w:r>
          </w:p>
        </w:tc>
        <w:tc>
          <w:tcPr>
            <w:tcW w:w="1155" w:type="dxa"/>
            <w:vAlign w:val="center"/>
          </w:tcPr>
          <w:p>
            <w:pPr>
              <w:autoSpaceDE w:val="0"/>
              <w:autoSpaceDN w:val="0"/>
              <w:adjustRightInd w:val="0"/>
              <w:snapToGrid w:val="0"/>
              <w:jc w:val="center"/>
              <w:rPr>
                <w:color w:val="auto"/>
                <w:szCs w:val="21"/>
              </w:rPr>
            </w:pPr>
            <w:r>
              <w:rPr>
                <w:rFonts w:hint="eastAsia"/>
                <w:color w:val="auto"/>
                <w:szCs w:val="21"/>
              </w:rPr>
              <w:t>24</w:t>
            </w:r>
          </w:p>
        </w:tc>
        <w:tc>
          <w:tcPr>
            <w:tcW w:w="2100" w:type="dxa"/>
            <w:vAlign w:val="center"/>
          </w:tcPr>
          <w:p>
            <w:pPr>
              <w:autoSpaceDE w:val="0"/>
              <w:autoSpaceDN w:val="0"/>
              <w:adjustRightInd w:val="0"/>
              <w:snapToGrid w:val="0"/>
              <w:jc w:val="center"/>
              <w:rPr>
                <w:color w:val="auto"/>
                <w:szCs w:val="21"/>
              </w:rPr>
            </w:pPr>
            <w:r>
              <w:rPr>
                <w:rFonts w:hint="eastAsia" w:hAnsi="宋体"/>
                <w:color w:val="auto"/>
                <w:sz w:val="21"/>
                <w:szCs w:val="21"/>
                <w:lang w:val="en-US" w:eastAsia="zh-CN"/>
              </w:rPr>
              <w:t>3.1</w:t>
            </w:r>
          </w:p>
        </w:tc>
      </w:tr>
      <w:bookmarkEnd w:id="33"/>
    </w:tbl>
    <w:p>
      <w:pPr>
        <w:spacing w:line="360" w:lineRule="auto"/>
        <w:ind w:firstLine="480" w:firstLineChars="200"/>
        <w:rPr>
          <w:color w:val="auto"/>
          <w:sz w:val="24"/>
        </w:rPr>
      </w:pPr>
      <w:r>
        <w:rPr>
          <w:rFonts w:hint="eastAsia"/>
          <w:color w:val="auto"/>
          <w:sz w:val="24"/>
        </w:rPr>
        <w:t>本项目事故应急池依托集控中心已埋设的事故池，各类废水分别通过单独的管线排至集控中心事故应急池，集控中心事故池的设计采用分质分流的收集系统，本项目一旦发生事故废水泄漏，事故废水通过车间各股废水管道直接进入集控中心事故池。</w:t>
      </w:r>
    </w:p>
    <w:p>
      <w:pPr>
        <w:spacing w:line="360" w:lineRule="auto"/>
        <w:ind w:firstLine="480" w:firstLineChars="200"/>
        <w:rPr>
          <w:rFonts w:ascii="宋体" w:hAnsi="宋体"/>
          <w:color w:val="auto"/>
          <w:sz w:val="24"/>
        </w:rPr>
      </w:pPr>
      <w:r>
        <w:rPr>
          <w:rFonts w:hint="eastAsia" w:hAnsi="宋体"/>
          <w:color w:val="auto"/>
          <w:sz w:val="24"/>
        </w:rPr>
        <w:t>（</w:t>
      </w:r>
      <w:r>
        <w:rPr>
          <w:rFonts w:hAnsi="宋体"/>
          <w:color w:val="auto"/>
          <w:sz w:val="24"/>
        </w:rPr>
        <w:t>3</w:t>
      </w:r>
      <w:r>
        <w:rPr>
          <w:rFonts w:hint="eastAsia" w:hAnsi="宋体"/>
          <w:color w:val="auto"/>
          <w:sz w:val="24"/>
        </w:rPr>
        <w:t>）生产场所事故防范措施</w:t>
      </w:r>
    </w:p>
    <w:p>
      <w:pPr>
        <w:spacing w:line="360" w:lineRule="auto"/>
        <w:ind w:firstLine="480" w:firstLineChars="200"/>
        <w:rPr>
          <w:rFonts w:ascii="宋体" w:hAnsi="宋体"/>
          <w:color w:val="auto"/>
          <w:sz w:val="24"/>
        </w:rPr>
      </w:pPr>
      <w:r>
        <w:rPr>
          <w:rFonts w:hint="eastAsia" w:ascii="宋体" w:hAnsi="宋体"/>
          <w:color w:val="auto"/>
          <w:sz w:val="24"/>
        </w:rPr>
        <w:t>①</w:t>
      </w:r>
      <w:r>
        <w:rPr>
          <w:rFonts w:hint="eastAsia" w:hAnsi="宋体"/>
          <w:color w:val="auto"/>
          <w:sz w:val="24"/>
        </w:rPr>
        <w:t>制定完善的安全操作规程，做好操作人员的培训教育。</w:t>
      </w:r>
    </w:p>
    <w:p>
      <w:pPr>
        <w:spacing w:line="360" w:lineRule="auto"/>
        <w:ind w:firstLine="480" w:firstLineChars="200"/>
        <w:rPr>
          <w:rFonts w:ascii="宋体" w:hAnsi="宋体"/>
          <w:color w:val="auto"/>
          <w:sz w:val="24"/>
        </w:rPr>
      </w:pPr>
      <w:r>
        <w:rPr>
          <w:rFonts w:hint="eastAsia" w:ascii="宋体" w:hAnsi="宋体"/>
          <w:color w:val="auto"/>
          <w:sz w:val="24"/>
        </w:rPr>
        <w:t>②</w:t>
      </w:r>
      <w:r>
        <w:rPr>
          <w:rFonts w:hint="eastAsia" w:hAnsi="宋体"/>
          <w:color w:val="auto"/>
          <w:sz w:val="24"/>
        </w:rPr>
        <w:t>生产场所配备防酸防碱工作服和防腐鞋、自给式呼吸器以及相应的清理工具。</w:t>
      </w:r>
    </w:p>
    <w:p>
      <w:pPr>
        <w:spacing w:line="360" w:lineRule="auto"/>
        <w:ind w:firstLine="480" w:firstLineChars="200"/>
        <w:rPr>
          <w:rFonts w:ascii="宋体" w:hAnsi="宋体"/>
          <w:color w:val="auto"/>
          <w:sz w:val="24"/>
        </w:rPr>
      </w:pPr>
      <w:r>
        <w:rPr>
          <w:rFonts w:hint="eastAsia" w:ascii="宋体" w:hAnsi="宋体"/>
          <w:color w:val="auto"/>
          <w:sz w:val="24"/>
        </w:rPr>
        <w:t>③</w:t>
      </w:r>
      <w:r>
        <w:rPr>
          <w:rFonts w:hint="eastAsia" w:hAnsi="宋体"/>
          <w:color w:val="auto"/>
          <w:sz w:val="24"/>
        </w:rPr>
        <w:t>工人上岗前，须进行相关危险品常识及操作规程的考核，考核合格后方能上岗。</w:t>
      </w:r>
    </w:p>
    <w:p>
      <w:pPr>
        <w:spacing w:line="360" w:lineRule="auto"/>
        <w:ind w:firstLine="480" w:firstLineChars="200"/>
        <w:rPr>
          <w:rFonts w:ascii="宋体" w:hAnsi="宋体"/>
          <w:color w:val="auto"/>
          <w:sz w:val="24"/>
        </w:rPr>
      </w:pPr>
      <w:r>
        <w:rPr>
          <w:rFonts w:hint="eastAsia" w:ascii="宋体" w:hAnsi="宋体"/>
          <w:color w:val="auto"/>
          <w:sz w:val="24"/>
        </w:rPr>
        <w:t>④</w:t>
      </w:r>
      <w:r>
        <w:rPr>
          <w:rFonts w:hint="eastAsia" w:hAnsi="宋体"/>
          <w:color w:val="auto"/>
          <w:sz w:val="24"/>
        </w:rPr>
        <w:t>在生产车间内镀槽边设置镀槽槽液泄漏隔堤。</w:t>
      </w:r>
    </w:p>
    <w:p>
      <w:pPr>
        <w:spacing w:line="360" w:lineRule="auto"/>
        <w:ind w:firstLine="480" w:firstLineChars="200"/>
        <w:rPr>
          <w:rFonts w:hAnsi="宋体"/>
          <w:color w:val="auto"/>
          <w:sz w:val="24"/>
        </w:rPr>
      </w:pPr>
      <w:r>
        <w:rPr>
          <w:rFonts w:hint="eastAsia" w:ascii="宋体" w:hAnsi="宋体"/>
          <w:color w:val="auto"/>
          <w:sz w:val="24"/>
        </w:rPr>
        <w:t>⑤</w:t>
      </w:r>
      <w:r>
        <w:rPr>
          <w:rFonts w:hint="eastAsia" w:hAnsi="宋体"/>
          <w:color w:val="auto"/>
          <w:sz w:val="24"/>
        </w:rPr>
        <w:t>针对可能出现的现场事故，如镀槽或管道破裂，废水泄漏、飞溅，液体原料桶倾倒，化学品泄漏等，进行必要的防范演练。</w:t>
      </w:r>
    </w:p>
    <w:p>
      <w:pPr>
        <w:spacing w:line="360" w:lineRule="auto"/>
        <w:ind w:firstLine="480" w:firstLineChars="200"/>
        <w:rPr>
          <w:rFonts w:ascii="宋体" w:hAnsi="宋体"/>
          <w:color w:val="auto"/>
          <w:sz w:val="24"/>
        </w:rPr>
      </w:pPr>
      <w:r>
        <w:rPr>
          <w:rFonts w:hint="eastAsia" w:hAnsi="宋体"/>
          <w:color w:val="auto"/>
          <w:sz w:val="24"/>
        </w:rPr>
        <w:t>（</w:t>
      </w:r>
      <w:r>
        <w:rPr>
          <w:rFonts w:hAnsi="宋体"/>
          <w:color w:val="auto"/>
          <w:sz w:val="24"/>
        </w:rPr>
        <w:t>4</w:t>
      </w:r>
      <w:r>
        <w:rPr>
          <w:rFonts w:hint="eastAsia" w:hAnsi="宋体"/>
          <w:color w:val="auto"/>
          <w:sz w:val="24"/>
        </w:rPr>
        <w:t>）其他事故防范措施</w:t>
      </w:r>
    </w:p>
    <w:p>
      <w:pPr>
        <w:spacing w:line="360" w:lineRule="auto"/>
        <w:ind w:firstLine="480" w:firstLineChars="200"/>
        <w:rPr>
          <w:rFonts w:hAnsi="宋体"/>
          <w:color w:val="auto"/>
          <w:sz w:val="24"/>
        </w:rPr>
      </w:pPr>
      <w:r>
        <w:rPr>
          <w:rFonts w:hint="eastAsia" w:ascii="宋体" w:hAnsi="宋体"/>
          <w:color w:val="auto"/>
          <w:sz w:val="24"/>
        </w:rPr>
        <w:t>①</w:t>
      </w:r>
      <w:r>
        <w:rPr>
          <w:rFonts w:hint="eastAsia" w:hAnsi="宋体"/>
          <w:color w:val="auto"/>
          <w:sz w:val="24"/>
        </w:rPr>
        <w:t>危险品的管理</w:t>
      </w:r>
    </w:p>
    <w:p>
      <w:pPr>
        <w:spacing w:line="360" w:lineRule="auto"/>
        <w:ind w:firstLine="480" w:firstLineChars="200"/>
        <w:rPr>
          <w:rFonts w:hAnsi="宋体"/>
          <w:color w:val="auto"/>
          <w:sz w:val="24"/>
        </w:rPr>
      </w:pPr>
      <w:r>
        <w:rPr>
          <w:rFonts w:hAnsi="宋体"/>
          <w:color w:val="auto"/>
          <w:sz w:val="24"/>
        </w:rPr>
        <w:t xml:space="preserve">a </w:t>
      </w:r>
      <w:r>
        <w:rPr>
          <w:rFonts w:hint="eastAsia" w:hAnsi="宋体"/>
          <w:color w:val="auto"/>
          <w:sz w:val="24"/>
        </w:rPr>
        <w:t>企业主管领导负责本单位的危险化学品的安全管理工作，并指定专人负责危险化学品的日常安全管理工作，制定单位危险化学品安全管理制度。</w:t>
      </w:r>
    </w:p>
    <w:p>
      <w:pPr>
        <w:spacing w:line="360" w:lineRule="auto"/>
        <w:ind w:firstLine="480" w:firstLineChars="200"/>
        <w:rPr>
          <w:rFonts w:hAnsi="宋体"/>
          <w:color w:val="auto"/>
          <w:sz w:val="24"/>
        </w:rPr>
      </w:pPr>
      <w:r>
        <w:rPr>
          <w:rFonts w:hAnsi="宋体"/>
          <w:color w:val="auto"/>
          <w:sz w:val="24"/>
        </w:rPr>
        <w:t>b</w:t>
      </w:r>
      <w:r>
        <w:rPr>
          <w:rFonts w:hint="eastAsia" w:hAnsi="宋体"/>
          <w:color w:val="auto"/>
          <w:sz w:val="24"/>
        </w:rPr>
        <w:t>企业应建立危险化学品信息管理系统，加强对电镀危险化学品的管理、监控，严格规范购买、使用、流向登记报告制度。</w:t>
      </w:r>
    </w:p>
    <w:p>
      <w:pPr>
        <w:spacing w:line="360" w:lineRule="auto"/>
        <w:ind w:firstLine="480" w:firstLineChars="200"/>
        <w:rPr>
          <w:rFonts w:hAnsi="宋体"/>
          <w:color w:val="auto"/>
          <w:sz w:val="24"/>
        </w:rPr>
      </w:pPr>
      <w:r>
        <w:rPr>
          <w:rFonts w:hAnsi="宋体"/>
          <w:color w:val="auto"/>
          <w:sz w:val="24"/>
        </w:rPr>
        <w:t>c</w:t>
      </w:r>
      <w:r>
        <w:rPr>
          <w:rFonts w:hint="eastAsia" w:hAnsi="宋体"/>
          <w:color w:val="auto"/>
          <w:sz w:val="24"/>
        </w:rPr>
        <w:t>企业要切实加强储存、使用危险化学品的管理工作，明确岗位责任，做到分类储存、分类运输、安全使用。</w:t>
      </w:r>
    </w:p>
    <w:p>
      <w:pPr>
        <w:spacing w:line="360" w:lineRule="auto"/>
        <w:ind w:firstLine="480" w:firstLineChars="200"/>
        <w:rPr>
          <w:rFonts w:hAnsi="宋体"/>
          <w:color w:val="auto"/>
          <w:sz w:val="24"/>
        </w:rPr>
      </w:pPr>
      <w:r>
        <w:rPr>
          <w:rFonts w:hAnsi="宋体"/>
          <w:color w:val="auto"/>
          <w:sz w:val="24"/>
        </w:rPr>
        <w:t>d</w:t>
      </w:r>
      <w:r>
        <w:rPr>
          <w:rFonts w:hint="eastAsia" w:hAnsi="宋体"/>
          <w:color w:val="auto"/>
          <w:sz w:val="24"/>
        </w:rPr>
        <w:t>企业对危险化学品实行集中管理，危险品库负责储存、供应工作，不得超量储存危险化学品。</w:t>
      </w:r>
    </w:p>
    <w:p>
      <w:pPr>
        <w:spacing w:line="360" w:lineRule="auto"/>
        <w:ind w:firstLine="480" w:firstLineChars="200"/>
        <w:rPr>
          <w:rFonts w:ascii="宋体" w:hAnsi="宋体"/>
          <w:color w:val="auto"/>
          <w:sz w:val="24"/>
        </w:rPr>
      </w:pPr>
      <w:r>
        <w:rPr>
          <w:rFonts w:hAnsi="宋体"/>
          <w:color w:val="auto"/>
          <w:sz w:val="24"/>
        </w:rPr>
        <w:t>e</w:t>
      </w:r>
      <w:r>
        <w:rPr>
          <w:rFonts w:hint="eastAsia" w:hAnsi="宋体"/>
          <w:color w:val="auto"/>
          <w:sz w:val="24"/>
        </w:rPr>
        <w:t>液体原料仓库设置围堰，最大程度控制液体原料泄漏影响。</w:t>
      </w:r>
    </w:p>
    <w:p>
      <w:pPr>
        <w:spacing w:line="360" w:lineRule="auto"/>
        <w:ind w:firstLine="480" w:firstLineChars="200"/>
        <w:rPr>
          <w:rFonts w:hAnsi="宋体"/>
          <w:color w:val="auto"/>
          <w:sz w:val="24"/>
        </w:rPr>
      </w:pPr>
      <w:r>
        <w:rPr>
          <w:rFonts w:hint="eastAsia" w:ascii="宋体" w:hAnsi="宋体"/>
          <w:color w:val="auto"/>
          <w:sz w:val="24"/>
        </w:rPr>
        <w:t>②</w:t>
      </w:r>
      <w:r>
        <w:rPr>
          <w:rFonts w:hint="eastAsia" w:hAnsi="宋体"/>
          <w:color w:val="auto"/>
          <w:sz w:val="24"/>
        </w:rPr>
        <w:t>危险品贮存</w:t>
      </w:r>
    </w:p>
    <w:p>
      <w:pPr>
        <w:spacing w:line="360" w:lineRule="auto"/>
        <w:ind w:firstLine="480" w:firstLineChars="200"/>
        <w:rPr>
          <w:rFonts w:hAnsi="宋体"/>
          <w:color w:val="auto"/>
          <w:sz w:val="24"/>
        </w:rPr>
      </w:pPr>
      <w:r>
        <w:rPr>
          <w:rFonts w:hAnsi="宋体"/>
          <w:color w:val="auto"/>
          <w:sz w:val="24"/>
        </w:rPr>
        <w:t>a</w:t>
      </w:r>
      <w:r>
        <w:rPr>
          <w:rFonts w:hint="eastAsia" w:hAnsi="宋体"/>
          <w:color w:val="auto"/>
          <w:sz w:val="24"/>
        </w:rPr>
        <w:t>危险化学品必须贮存在专用的仓库内。危险品仓库应根据物品性质，按规范要求设置相应的防爆、泄压、防火、防雷、报警、防晒、降温、消除静电、环境保护等安全装置和设施。</w:t>
      </w:r>
    </w:p>
    <w:p>
      <w:pPr>
        <w:spacing w:line="360" w:lineRule="auto"/>
        <w:ind w:firstLine="480" w:firstLineChars="200"/>
        <w:rPr>
          <w:rFonts w:hAnsi="宋体"/>
          <w:color w:val="auto"/>
          <w:sz w:val="24"/>
        </w:rPr>
      </w:pPr>
      <w:r>
        <w:rPr>
          <w:rFonts w:hAnsi="宋体"/>
          <w:color w:val="auto"/>
          <w:sz w:val="24"/>
        </w:rPr>
        <w:t>b</w:t>
      </w:r>
      <w:r>
        <w:rPr>
          <w:rFonts w:hint="eastAsia" w:hAnsi="宋体"/>
          <w:color w:val="auto"/>
          <w:sz w:val="24"/>
        </w:rPr>
        <w:t>危险化学品仓库的管理人员（包括库工）必须接受三级安全教育，经考试合格后，进入仓库培训实习；再经考试合格后，由主管部门发给安全作业证，才能上岗操作。</w:t>
      </w:r>
    </w:p>
    <w:p>
      <w:pPr>
        <w:spacing w:line="360" w:lineRule="auto"/>
        <w:ind w:firstLine="480" w:firstLineChars="200"/>
        <w:rPr>
          <w:rFonts w:hAnsi="宋体"/>
          <w:color w:val="auto"/>
          <w:sz w:val="24"/>
        </w:rPr>
      </w:pPr>
      <w:r>
        <w:rPr>
          <w:rFonts w:hAnsi="宋体"/>
          <w:color w:val="auto"/>
          <w:sz w:val="24"/>
        </w:rPr>
        <w:t>c</w:t>
      </w:r>
      <w:r>
        <w:rPr>
          <w:rFonts w:hint="eastAsia" w:hAnsi="宋体"/>
          <w:color w:val="auto"/>
          <w:sz w:val="24"/>
        </w:rPr>
        <w:t>危险品存放方式、方法与储存数量必须符合国家标准，由专人管理。危险品仓库应当符合国家标准对安全、消防的相关要求。要设置明显的警示标志，储存设备和安全设施应当定期检查。</w:t>
      </w:r>
    </w:p>
    <w:p>
      <w:pPr>
        <w:spacing w:line="360" w:lineRule="auto"/>
        <w:ind w:firstLine="480" w:firstLineChars="200"/>
        <w:rPr>
          <w:rFonts w:hAnsi="宋体"/>
          <w:color w:val="auto"/>
          <w:sz w:val="24"/>
        </w:rPr>
      </w:pPr>
      <w:r>
        <w:rPr>
          <w:rFonts w:hAnsi="宋体"/>
          <w:color w:val="auto"/>
          <w:sz w:val="24"/>
        </w:rPr>
        <w:t>d</w:t>
      </w:r>
      <w:r>
        <w:rPr>
          <w:rFonts w:hint="eastAsia" w:hAnsi="宋体"/>
          <w:color w:val="auto"/>
          <w:sz w:val="24"/>
        </w:rPr>
        <w:t>严禁在危险化学品仓库内吸烟和使用明火。如果必须动用明火时，危险化学品必须全部转移到安全地点，同时对仓库内进行必要的通风或清洗。经主管部门审查，报保卫部门签发《动火证》后方后实施。</w:t>
      </w:r>
    </w:p>
    <w:p>
      <w:pPr>
        <w:spacing w:line="360" w:lineRule="auto"/>
        <w:ind w:firstLine="480" w:firstLineChars="200"/>
        <w:rPr>
          <w:rFonts w:hAnsi="宋体"/>
          <w:color w:val="auto"/>
          <w:sz w:val="24"/>
        </w:rPr>
      </w:pPr>
      <w:r>
        <w:rPr>
          <w:rFonts w:hAnsi="宋体"/>
          <w:color w:val="auto"/>
          <w:sz w:val="24"/>
        </w:rPr>
        <w:t>e</w:t>
      </w:r>
      <w:r>
        <w:rPr>
          <w:rFonts w:hint="eastAsia" w:hAnsi="宋体"/>
          <w:color w:val="auto"/>
          <w:sz w:val="24"/>
        </w:rPr>
        <w:t>危险化学品贮存场所安装视频监控装置和报警装置，防止无关人员随意进入。</w:t>
      </w:r>
    </w:p>
    <w:p>
      <w:pPr>
        <w:spacing w:line="360" w:lineRule="auto"/>
        <w:ind w:firstLine="480" w:firstLineChars="200"/>
        <w:rPr>
          <w:rFonts w:hAnsi="宋体"/>
          <w:color w:val="auto"/>
          <w:sz w:val="24"/>
        </w:rPr>
      </w:pPr>
      <w:r>
        <w:rPr>
          <w:rFonts w:hAnsi="宋体"/>
          <w:color w:val="auto"/>
          <w:sz w:val="24"/>
        </w:rPr>
        <w:t>f</w:t>
      </w:r>
      <w:r>
        <w:rPr>
          <w:rFonts w:hint="eastAsia" w:hAnsi="宋体"/>
          <w:color w:val="auto"/>
          <w:sz w:val="24"/>
        </w:rPr>
        <w:t>危险化学品贮存场所配备与储存的化学品相适合的灭火装置或器材，如干粉灭火器、泡沫灭火器、沙袋等。</w:t>
      </w:r>
    </w:p>
    <w:p>
      <w:pPr>
        <w:pStyle w:val="79"/>
        <w:ind w:firstLine="480"/>
        <w:rPr>
          <w:color w:val="auto"/>
        </w:rPr>
      </w:pPr>
      <w:r>
        <w:rPr>
          <w:rFonts w:hint="eastAsia"/>
          <w:color w:val="auto"/>
        </w:rPr>
        <w:t>③风险三级防控</w:t>
      </w:r>
    </w:p>
    <w:p>
      <w:pPr>
        <w:pStyle w:val="79"/>
        <w:ind w:firstLine="480"/>
        <w:rPr>
          <w:rFonts w:cs="Times New Roman"/>
          <w:color w:val="auto"/>
        </w:rPr>
      </w:pPr>
      <w:r>
        <w:rPr>
          <w:rFonts w:hint="eastAsia"/>
          <w:color w:val="auto"/>
        </w:rPr>
        <w:t>本次环境影响评价针对企业事故废水排放采取三级防控措施来杜绝环境风险事故废水排放对外环境造成的污染事件，将环境风险事故排水及污染物控制在危化品仓储区、电镀区，环境风险事故排水及污染物控制在排水系统事故池；以及事故废水分类纳入集</w:t>
      </w:r>
      <w:r>
        <w:rPr>
          <w:rFonts w:cs="Times New Roman"/>
          <w:color w:val="auto"/>
        </w:rPr>
        <w:t>控中心污水处理站，避免冲击集控中心污水处理站。三级防控措施具体如下：</w:t>
      </w:r>
    </w:p>
    <w:p>
      <w:pPr>
        <w:pStyle w:val="79"/>
        <w:ind w:firstLine="480"/>
        <w:rPr>
          <w:rFonts w:cs="Times New Roman"/>
          <w:color w:val="auto"/>
        </w:rPr>
      </w:pPr>
      <w:r>
        <w:rPr>
          <w:rFonts w:cs="Times New Roman"/>
          <w:color w:val="auto"/>
        </w:rPr>
        <w:t>（1）第一级防控措施：对镀槽设置防渗措施。防渗措施环境安全的第一层防控网。</w:t>
      </w:r>
    </w:p>
    <w:p>
      <w:pPr>
        <w:pStyle w:val="79"/>
        <w:ind w:firstLine="480"/>
        <w:rPr>
          <w:rFonts w:cs="Times New Roman"/>
          <w:color w:val="auto"/>
        </w:rPr>
      </w:pPr>
      <w:r>
        <w:rPr>
          <w:rFonts w:cs="Times New Roman"/>
          <w:color w:val="auto"/>
        </w:rPr>
        <w:t>（2）第二级防控措施：企业必须在镀槽外设置专用事故收集桶，</w:t>
      </w:r>
      <w:r>
        <w:rPr>
          <w:rFonts w:hint="eastAsia" w:cs="Times New Roman"/>
          <w:color w:val="auto"/>
        </w:rPr>
        <w:t>本项目将车间内设置的备用槽体作为事故状态下应急槽</w:t>
      </w:r>
      <w:r>
        <w:rPr>
          <w:rFonts w:cs="Times New Roman"/>
          <w:color w:val="auto"/>
        </w:rPr>
        <w:t>，</w:t>
      </w:r>
      <w:r>
        <w:rPr>
          <w:rFonts w:hint="eastAsia" w:cs="Times New Roman"/>
          <w:color w:val="auto"/>
        </w:rPr>
        <w:t>用泵通过软管将槽液引自备用槽体中暂存，</w:t>
      </w:r>
      <w:r>
        <w:rPr>
          <w:rFonts w:cs="Times New Roman"/>
          <w:color w:val="auto"/>
        </w:rPr>
        <w:t>将污染控制在企业内，防止较大生产事故泄漏物造成的环境污染。</w:t>
      </w:r>
    </w:p>
    <w:p>
      <w:pPr>
        <w:pStyle w:val="79"/>
        <w:ind w:firstLine="480"/>
        <w:rPr>
          <w:color w:val="auto"/>
        </w:rPr>
      </w:pPr>
      <w:r>
        <w:rPr>
          <w:rFonts w:cs="Times New Roman"/>
          <w:color w:val="auto"/>
        </w:rPr>
        <w:t>（3）第三级防控措施：</w:t>
      </w:r>
      <w:r>
        <w:rPr>
          <w:rFonts w:hint="eastAsia" w:cs="Times New Roman"/>
          <w:color w:val="auto"/>
        </w:rPr>
        <w:t>三级防控依托集控中心已建事故池，由集控中心负责管控</w:t>
      </w:r>
      <w:r>
        <w:rPr>
          <w:rFonts w:hint="eastAsia"/>
          <w:color w:val="auto"/>
        </w:rPr>
        <w:t>。</w:t>
      </w:r>
    </w:p>
    <w:p>
      <w:pPr>
        <w:spacing w:line="360" w:lineRule="auto"/>
        <w:outlineLvl w:val="3"/>
        <w:rPr>
          <w:b/>
          <w:color w:val="auto"/>
          <w:sz w:val="24"/>
        </w:rPr>
      </w:pPr>
      <w:bookmarkStart w:id="34" w:name="_Toc361910684"/>
      <w:bookmarkStart w:id="35" w:name="_Toc360189509"/>
      <w:r>
        <w:rPr>
          <w:rFonts w:hint="eastAsia"/>
          <w:b/>
          <w:color w:val="auto"/>
          <w:sz w:val="24"/>
        </w:rPr>
        <w:t>7.6.9</w:t>
      </w:r>
      <w:r>
        <w:rPr>
          <w:b/>
          <w:color w:val="auto"/>
          <w:sz w:val="24"/>
        </w:rPr>
        <w:t xml:space="preserve"> </w:t>
      </w:r>
      <w:r>
        <w:rPr>
          <w:rFonts w:hint="eastAsia"/>
          <w:b/>
          <w:color w:val="auto"/>
          <w:sz w:val="24"/>
        </w:rPr>
        <w:t>应急预案</w:t>
      </w:r>
      <w:bookmarkEnd w:id="34"/>
      <w:bookmarkEnd w:id="35"/>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1</w:t>
      </w:r>
      <w:r>
        <w:rPr>
          <w:rFonts w:hint="eastAsia" w:hAnsi="宋体"/>
          <w:color w:val="auto"/>
          <w:sz w:val="24"/>
        </w:rPr>
        <w:t>）建立联防联控应急预案体系</w:t>
      </w:r>
    </w:p>
    <w:p>
      <w:pPr>
        <w:spacing w:line="360" w:lineRule="auto"/>
        <w:ind w:firstLine="480" w:firstLineChars="200"/>
        <w:rPr>
          <w:rFonts w:hAnsi="宋体"/>
          <w:color w:val="auto"/>
          <w:sz w:val="24"/>
        </w:rPr>
      </w:pPr>
      <w:r>
        <w:rPr>
          <w:rFonts w:hint="eastAsia" w:hAnsi="宋体"/>
          <w:color w:val="auto"/>
          <w:sz w:val="24"/>
        </w:rPr>
        <w:t>福鼎市文渡金属表面处理集控中心已建立风险组织管理体系，编制风险应急预案，并编制周围区域社会应急救援预案。电镀中心与各入驻企业、工业园区管委会及福鼎市环保局之间建立应急联动机制。本公司为入驻企业其中一家，包括应急联动机制之内。</w:t>
      </w:r>
    </w:p>
    <w:p>
      <w:pPr>
        <w:spacing w:line="360" w:lineRule="auto"/>
        <w:ind w:firstLine="480" w:firstLineChars="200"/>
        <w:rPr>
          <w:rFonts w:hAnsi="宋体"/>
          <w:color w:val="auto"/>
          <w:sz w:val="24"/>
        </w:rPr>
      </w:pPr>
      <w:r>
        <w:rPr>
          <w:rFonts w:hint="eastAsia" w:hAnsi="宋体"/>
          <w:color w:val="auto"/>
          <w:sz w:val="24"/>
        </w:rPr>
        <w:t>在项目发生了突发环境事件，公司应急领导小组在采取措施的同时根据制定的报警程序马上向集控区管委会报告，报告的内容包括事故发生的时间、事故的起因、事故的污染源、已造成的损失和污染情况、已采取的应急措施等；如果污染事故超出项目的污染应急能力时，项目应向集控区其他企业和集控区管委会发出救援请求，统筹配置应急救援组织机构、队伍、装备和物资，共享区域应急资源。</w:t>
      </w:r>
    </w:p>
    <w:p>
      <w:pPr>
        <w:spacing w:line="360" w:lineRule="auto"/>
        <w:ind w:firstLine="480" w:firstLineChars="200"/>
        <w:rPr>
          <w:rFonts w:hAnsi="宋体"/>
          <w:color w:val="auto"/>
          <w:sz w:val="24"/>
        </w:rPr>
      </w:pPr>
      <w:r>
        <w:rPr>
          <w:rFonts w:hint="eastAsia" w:hAnsi="宋体"/>
          <w:color w:val="auto"/>
          <w:sz w:val="24"/>
        </w:rPr>
        <w:t>如果污染事故超出项目和集控中心管委会应急能力时，本项目和集控中心应急救援总指挥可请求福鼎市环保局帮助救援，必要时申请福鼎市政府启动《宁德市突发环境事件应急预案》，公司应急预案中的应急组织归宁德市突发环境事件应急救援总指挥部调度和指挥。</w:t>
      </w:r>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）环境风险预案的主要内容</w:t>
      </w:r>
    </w:p>
    <w:p>
      <w:pPr>
        <w:spacing w:line="360" w:lineRule="auto"/>
        <w:ind w:firstLine="480" w:firstLineChars="200"/>
        <w:rPr>
          <w:rFonts w:hAnsi="宋体"/>
          <w:color w:val="auto"/>
          <w:sz w:val="24"/>
        </w:rPr>
      </w:pPr>
      <w:r>
        <w:rPr>
          <w:rFonts w:hint="eastAsia" w:hAnsi="宋体"/>
          <w:color w:val="auto"/>
          <w:sz w:val="24"/>
        </w:rPr>
        <w:t>根据集控中心风险应急预案内容，企业事业单位的环境应急预案应包括综合环境应急预案和重点岗位现场处置预案，根据应急预案的侧重内容和复杂程度，可增加专项环境应急预案。综合环境应急预案应当包括本单位的应急组织机构及其职责、预防和预警工作机制、应急响应程序、应急保障措施和应急培训及演练等内容。重点岗位现场处置预案是针对具体的装置、场所或设施、岗位制定的具体应急处置措施，主要内容包括：岗位事件情景假设和特征、应急处置程序、每一步的应急措施、责任人员以及注意事项等，应急措施应明确，具有很的操作性。专项环境应急预案主要从水污染、大气污染等方面分别制定应对方案。</w:t>
      </w:r>
    </w:p>
    <w:p>
      <w:pPr>
        <w:spacing w:line="360" w:lineRule="auto"/>
        <w:ind w:firstLine="480" w:firstLineChars="200"/>
        <w:rPr>
          <w:rFonts w:hAnsi="宋体"/>
          <w:color w:val="auto"/>
          <w:sz w:val="24"/>
        </w:rPr>
      </w:pPr>
      <w:r>
        <w:rPr>
          <w:rFonts w:hint="eastAsia" w:hAnsi="宋体"/>
          <w:color w:val="auto"/>
          <w:sz w:val="24"/>
        </w:rPr>
        <w:t>应急预案主要应包括以下方面内容：建立应急救援及响应组织机构，对事故风险及保护目标识别，制定事故现场应急措施，制定应急通讯联络方式和确定相关人员，明确应急安全保卫措施，组织实施应急监测，明确应急状态的终止与恢复措施，并实现与区域应急预案的对接与联动，制定应急预案的演习计划等。</w:t>
      </w:r>
    </w:p>
    <w:p>
      <w:pPr>
        <w:spacing w:line="360" w:lineRule="auto"/>
        <w:outlineLvl w:val="3"/>
        <w:rPr>
          <w:b/>
          <w:color w:val="auto"/>
          <w:sz w:val="24"/>
        </w:rPr>
      </w:pPr>
      <w:bookmarkStart w:id="36" w:name="_Toc358301869"/>
      <w:bookmarkStart w:id="37" w:name="_Toc361910685"/>
      <w:bookmarkStart w:id="38" w:name="_Toc216843876"/>
      <w:bookmarkStart w:id="39" w:name="_Toc360189519"/>
      <w:bookmarkStart w:id="40" w:name="_Toc349376025"/>
      <w:bookmarkStart w:id="41" w:name="_Toc288849590"/>
      <w:bookmarkStart w:id="42" w:name="_Toc218507398"/>
      <w:bookmarkStart w:id="43" w:name="_Toc216844373"/>
      <w:bookmarkStart w:id="44" w:name="_Toc300153918"/>
      <w:bookmarkStart w:id="45" w:name="_Toc288849560"/>
      <w:r>
        <w:rPr>
          <w:rFonts w:hint="eastAsia"/>
          <w:b/>
          <w:color w:val="auto"/>
          <w:sz w:val="24"/>
        </w:rPr>
        <w:t>7.6.10小结</w:t>
      </w:r>
      <w:bookmarkEnd w:id="36"/>
      <w:bookmarkEnd w:id="37"/>
      <w:bookmarkEnd w:id="38"/>
      <w:bookmarkEnd w:id="39"/>
      <w:bookmarkEnd w:id="40"/>
      <w:bookmarkEnd w:id="41"/>
      <w:bookmarkEnd w:id="42"/>
      <w:bookmarkEnd w:id="43"/>
      <w:bookmarkEnd w:id="44"/>
      <w:bookmarkEnd w:id="45"/>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1</w:t>
      </w:r>
      <w:r>
        <w:rPr>
          <w:rFonts w:hint="eastAsia" w:hAnsi="宋体"/>
          <w:color w:val="auto"/>
          <w:sz w:val="24"/>
        </w:rPr>
        <w:t>）本项目生产运营过程主要有毒有害物质包括氢氟酸、硝酸等，由于储存量、使用量未超过临界量，不构成重大危险源。</w:t>
      </w:r>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）本项目潜在的危害较大的环境风险事故为：危险化学品运输泄漏事故、硝酸等酸类泄漏事故、本项目电镀废水事故排放。</w:t>
      </w:r>
    </w:p>
    <w:p>
      <w:pPr>
        <w:spacing w:line="360" w:lineRule="auto"/>
        <w:ind w:firstLine="480" w:firstLineChars="200"/>
        <w:rPr>
          <w:rFonts w:hAnsi="宋体"/>
          <w:color w:val="auto"/>
          <w:sz w:val="24"/>
        </w:rPr>
      </w:pPr>
      <w:r>
        <w:rPr>
          <w:rFonts w:hint="eastAsia" w:hAnsi="宋体"/>
          <w:color w:val="auto"/>
          <w:sz w:val="24"/>
        </w:rPr>
        <w:t>（</w:t>
      </w:r>
      <w:r>
        <w:rPr>
          <w:rFonts w:hAnsi="宋体"/>
          <w:color w:val="auto"/>
          <w:sz w:val="24"/>
        </w:rPr>
        <w:t>3</w:t>
      </w:r>
      <w:r>
        <w:rPr>
          <w:rFonts w:hint="eastAsia" w:hAnsi="宋体"/>
          <w:color w:val="auto"/>
          <w:sz w:val="24"/>
        </w:rPr>
        <w:t>）根据风险识别结果，选取项目镀槽泄漏事故、污水收集管道泄漏事故、集控中心污水处理站故障排放进行了环境影响分析，对该项目可能发生的泄漏后果进行了预测。预测结果表明，项目发生事故的最大风险值处于可接受水平。</w:t>
      </w:r>
    </w:p>
    <w:p>
      <w:pPr>
        <w:spacing w:line="360" w:lineRule="auto"/>
        <w:ind w:firstLine="480" w:firstLineChars="200"/>
        <w:rPr>
          <w:rFonts w:hint="eastAsia" w:hAnsi="宋体"/>
          <w:color w:val="auto"/>
          <w:sz w:val="24"/>
        </w:rPr>
        <w:sectPr>
          <w:pgSz w:w="11906" w:h="16838"/>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r>
        <w:rPr>
          <w:rFonts w:hint="eastAsia" w:hAnsi="宋体"/>
          <w:color w:val="auto"/>
          <w:sz w:val="24"/>
        </w:rPr>
        <w:t>（</w:t>
      </w:r>
      <w:r>
        <w:rPr>
          <w:rFonts w:hAnsi="宋体"/>
          <w:color w:val="auto"/>
          <w:sz w:val="24"/>
        </w:rPr>
        <w:t>4</w:t>
      </w:r>
      <w:r>
        <w:rPr>
          <w:rFonts w:hint="eastAsia" w:hAnsi="宋体"/>
          <w:color w:val="auto"/>
          <w:sz w:val="24"/>
        </w:rPr>
        <w:t>）该项目应加强风险防范管理，按照本评价提出风险防范措施进行完善，制定完善、有效的应急预案，该项目的风险防范措施有效、可行，能够有效的降低事故风险的发生和影响后果。</w:t>
      </w:r>
    </w:p>
    <w:p>
      <w:pPr>
        <w:pStyle w:val="4"/>
        <w:numPr>
          <w:ilvl w:val="0"/>
          <w:numId w:val="0"/>
        </w:numPr>
        <w:spacing w:before="0" w:after="0"/>
        <w:ind w:leftChars="0"/>
        <w:jc w:val="center"/>
        <w:rPr>
          <w:color w:val="auto"/>
          <w:sz w:val="24"/>
          <w:szCs w:val="24"/>
        </w:rPr>
      </w:pPr>
      <w:bookmarkStart w:id="46" w:name="_Toc12501"/>
      <w:r>
        <w:rPr>
          <w:rFonts w:hint="eastAsia"/>
          <w:color w:val="auto"/>
          <w:sz w:val="24"/>
          <w:szCs w:val="24"/>
          <w:lang w:val="en-US" w:eastAsia="zh-CN"/>
        </w:rPr>
        <w:t xml:space="preserve">表7.6-5 </w:t>
      </w:r>
      <w:r>
        <w:rPr>
          <w:color w:val="auto"/>
          <w:sz w:val="24"/>
          <w:szCs w:val="24"/>
        </w:rPr>
        <w:t xml:space="preserve"> 环境风险评价自查表</w:t>
      </w:r>
      <w:bookmarkEnd w:id="46"/>
    </w:p>
    <w:tbl>
      <w:tblPr>
        <w:tblStyle w:val="22"/>
        <w:tblW w:w="92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1285"/>
        <w:gridCol w:w="1343"/>
        <w:gridCol w:w="615"/>
        <w:gridCol w:w="812"/>
        <w:gridCol w:w="49"/>
        <w:gridCol w:w="763"/>
        <w:gridCol w:w="149"/>
        <w:gridCol w:w="662"/>
        <w:gridCol w:w="40"/>
        <w:gridCol w:w="772"/>
        <w:gridCol w:w="802"/>
        <w:gridCol w:w="822"/>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87"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工作内容</w:t>
            </w:r>
          </w:p>
        </w:tc>
        <w:tc>
          <w:tcPr>
            <w:tcW w:w="6303" w:type="dxa"/>
            <w:gridSpan w:val="11"/>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风险调查</w:t>
            </w:r>
          </w:p>
        </w:tc>
        <w:tc>
          <w:tcPr>
            <w:tcW w:w="1285"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危险物质</w:t>
            </w: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615" w:type="dxa"/>
            <w:noWrap w:val="0"/>
            <w:vAlign w:val="center"/>
          </w:tcPr>
          <w:p>
            <w:pPr>
              <w:pStyle w:val="6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铬酸</w:t>
            </w:r>
          </w:p>
        </w:tc>
        <w:tc>
          <w:tcPr>
            <w:tcW w:w="812" w:type="dxa"/>
            <w:noWrap w:val="0"/>
            <w:vAlign w:val="center"/>
          </w:tcPr>
          <w:p>
            <w:pPr>
              <w:pStyle w:val="6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氢氟酸</w:t>
            </w:r>
          </w:p>
        </w:tc>
        <w:tc>
          <w:tcPr>
            <w:tcW w:w="812" w:type="dxa"/>
            <w:gridSpan w:val="2"/>
            <w:noWrap w:val="0"/>
            <w:vAlign w:val="center"/>
          </w:tcPr>
          <w:p>
            <w:pPr>
              <w:pStyle w:val="6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硝酸</w:t>
            </w:r>
          </w:p>
        </w:tc>
        <w:tc>
          <w:tcPr>
            <w:tcW w:w="811" w:type="dxa"/>
            <w:gridSpan w:val="2"/>
            <w:noWrap w:val="0"/>
            <w:vAlign w:val="center"/>
          </w:tcPr>
          <w:p>
            <w:pPr>
              <w:pStyle w:val="6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氰化钠</w:t>
            </w:r>
          </w:p>
        </w:tc>
        <w:tc>
          <w:tcPr>
            <w:tcW w:w="812" w:type="dxa"/>
            <w:gridSpan w:val="2"/>
            <w:noWrap w:val="0"/>
            <w:vAlign w:val="center"/>
          </w:tcPr>
          <w:p>
            <w:pPr>
              <w:pStyle w:val="6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氯化镍</w:t>
            </w:r>
          </w:p>
        </w:tc>
        <w:tc>
          <w:tcPr>
            <w:tcW w:w="802" w:type="dxa"/>
            <w:noWrap w:val="0"/>
            <w:vAlign w:val="center"/>
          </w:tcPr>
          <w:p>
            <w:pPr>
              <w:pStyle w:val="6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硫酸镍</w:t>
            </w:r>
          </w:p>
        </w:tc>
        <w:tc>
          <w:tcPr>
            <w:tcW w:w="822" w:type="dxa"/>
            <w:noWrap w:val="0"/>
            <w:vAlign w:val="center"/>
          </w:tcPr>
          <w:p>
            <w:pPr>
              <w:pStyle w:val="63"/>
              <w:rPr>
                <w:rFonts w:hint="default" w:ascii="Times New Roman" w:hAnsi="Times New Roman" w:eastAsia="宋体" w:cs="Times New Roman"/>
                <w:color w:val="auto"/>
                <w:sz w:val="18"/>
                <w:szCs w:val="18"/>
              </w:rPr>
            </w:pPr>
          </w:p>
        </w:tc>
        <w:tc>
          <w:tcPr>
            <w:tcW w:w="817" w:type="dxa"/>
            <w:noWrap w:val="0"/>
            <w:vAlign w:val="center"/>
          </w:tcPr>
          <w:p>
            <w:pPr>
              <w:pStyle w:val="63"/>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存在总量/t</w:t>
            </w:r>
          </w:p>
        </w:tc>
        <w:tc>
          <w:tcPr>
            <w:tcW w:w="615" w:type="dxa"/>
            <w:noWrap w:val="0"/>
            <w:vAlign w:val="center"/>
          </w:tcPr>
          <w:p>
            <w:pPr>
              <w:pStyle w:val="63"/>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w:t>
            </w:r>
          </w:p>
        </w:tc>
        <w:tc>
          <w:tcPr>
            <w:tcW w:w="812" w:type="dxa"/>
            <w:noWrap w:val="0"/>
            <w:vAlign w:val="center"/>
          </w:tcPr>
          <w:p>
            <w:pPr>
              <w:pStyle w:val="63"/>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w:t>
            </w:r>
          </w:p>
        </w:tc>
        <w:tc>
          <w:tcPr>
            <w:tcW w:w="812" w:type="dxa"/>
            <w:gridSpan w:val="2"/>
            <w:noWrap w:val="0"/>
            <w:vAlign w:val="center"/>
          </w:tcPr>
          <w:p>
            <w:pPr>
              <w:pStyle w:val="63"/>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w:t>
            </w:r>
          </w:p>
        </w:tc>
        <w:tc>
          <w:tcPr>
            <w:tcW w:w="811" w:type="dxa"/>
            <w:gridSpan w:val="2"/>
            <w:noWrap w:val="0"/>
            <w:vAlign w:val="center"/>
          </w:tcPr>
          <w:p>
            <w:pPr>
              <w:pStyle w:val="63"/>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w:t>
            </w:r>
          </w:p>
        </w:tc>
        <w:tc>
          <w:tcPr>
            <w:tcW w:w="812" w:type="dxa"/>
            <w:gridSpan w:val="2"/>
            <w:noWrap w:val="0"/>
            <w:vAlign w:val="center"/>
          </w:tcPr>
          <w:p>
            <w:pPr>
              <w:pStyle w:val="63"/>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w:t>
            </w:r>
          </w:p>
        </w:tc>
        <w:tc>
          <w:tcPr>
            <w:tcW w:w="802" w:type="dxa"/>
            <w:noWrap w:val="0"/>
            <w:vAlign w:val="center"/>
          </w:tcPr>
          <w:p>
            <w:pPr>
              <w:pStyle w:val="63"/>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w:t>
            </w:r>
          </w:p>
        </w:tc>
        <w:tc>
          <w:tcPr>
            <w:tcW w:w="822" w:type="dxa"/>
            <w:noWrap w:val="0"/>
            <w:vAlign w:val="center"/>
          </w:tcPr>
          <w:p>
            <w:pPr>
              <w:pStyle w:val="63"/>
              <w:rPr>
                <w:rFonts w:hint="default" w:ascii="Times New Roman" w:hAnsi="Times New Roman" w:eastAsia="宋体" w:cs="Times New Roman"/>
                <w:color w:val="auto"/>
                <w:sz w:val="18"/>
                <w:szCs w:val="18"/>
              </w:rPr>
            </w:pPr>
          </w:p>
        </w:tc>
        <w:tc>
          <w:tcPr>
            <w:tcW w:w="817" w:type="dxa"/>
            <w:noWrap w:val="0"/>
            <w:vAlign w:val="center"/>
          </w:tcPr>
          <w:p>
            <w:pPr>
              <w:pStyle w:val="63"/>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环境敏感性</w:t>
            </w:r>
          </w:p>
        </w:tc>
        <w:tc>
          <w:tcPr>
            <w:tcW w:w="1343"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3050" w:type="dxa"/>
            <w:gridSpan w:val="6"/>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500m范围内人口数 0 人</w:t>
            </w:r>
          </w:p>
        </w:tc>
        <w:tc>
          <w:tcPr>
            <w:tcW w:w="3253"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5km范围内人口数 </w:t>
            </w:r>
            <w:r>
              <w:rPr>
                <w:rFonts w:hint="default" w:ascii="Times New Roman" w:hAnsi="Times New Roman" w:eastAsia="宋体" w:cs="Times New Roman"/>
                <w:color w:val="auto"/>
                <w:sz w:val="18"/>
                <w:szCs w:val="18"/>
                <w:lang w:val="en-US" w:eastAsia="zh-CN"/>
              </w:rPr>
              <w:t>11757</w:t>
            </w:r>
            <w:r>
              <w:rPr>
                <w:rFonts w:hint="default" w:ascii="Times New Roman" w:hAnsi="Times New Roman" w:eastAsia="宋体" w:cs="Times New Roman"/>
                <w:color w:val="auto"/>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continue"/>
            <w:noWrap w:val="0"/>
            <w:vAlign w:val="center"/>
          </w:tcPr>
          <w:p>
            <w:pPr>
              <w:pStyle w:val="63"/>
              <w:rPr>
                <w:rFonts w:hint="default" w:ascii="Times New Roman" w:hAnsi="Times New Roman" w:eastAsia="宋体" w:cs="Times New Roman"/>
                <w:color w:val="auto"/>
                <w:sz w:val="18"/>
                <w:szCs w:val="18"/>
              </w:rPr>
            </w:pPr>
          </w:p>
        </w:tc>
        <w:tc>
          <w:tcPr>
            <w:tcW w:w="4664" w:type="dxa"/>
            <w:gridSpan w:val="9"/>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每公里管段周边200m范围内人口数（最大）</w:t>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地表水功能敏感性</w:t>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F1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F2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F3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continue"/>
            <w:noWrap w:val="0"/>
            <w:vAlign w:val="center"/>
          </w:tcPr>
          <w:p>
            <w:pPr>
              <w:pStyle w:val="63"/>
              <w:rPr>
                <w:rFonts w:hint="default" w:ascii="Times New Roman" w:hAnsi="Times New Roman" w:eastAsia="宋体" w:cs="Times New Roman"/>
                <w:color w:val="auto"/>
                <w:sz w:val="18"/>
                <w:szCs w:val="18"/>
              </w:rPr>
            </w:pP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环境敏感目标分级</w:t>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S1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S2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地下水功能敏感性</w:t>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G1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G2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G3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continue"/>
            <w:noWrap w:val="0"/>
            <w:vAlign w:val="center"/>
          </w:tcPr>
          <w:p>
            <w:pPr>
              <w:pStyle w:val="63"/>
              <w:rPr>
                <w:rFonts w:hint="default" w:ascii="Times New Roman" w:hAnsi="Times New Roman" w:eastAsia="宋体" w:cs="Times New Roman"/>
                <w:color w:val="auto"/>
                <w:sz w:val="18"/>
                <w:szCs w:val="18"/>
              </w:rPr>
            </w:pP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包气带防污性能</w:t>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D1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D2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D3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物质及工艺系统危险性</w:t>
            </w: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Q值</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Q&lt;1 </w:t>
            </w:r>
            <w:r>
              <w:rPr>
                <w:rFonts w:hint="default" w:ascii="Times New Roman" w:hAnsi="Times New Roman" w:eastAsia="宋体" w:cs="Times New Roman"/>
                <w:color w:val="auto"/>
                <w:sz w:val="18"/>
                <w:szCs w:val="18"/>
              </w:rPr>
              <w:sym w:font="Wingdings 2" w:char="0052"/>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1≤Q&lt;10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10≤Q&lt;100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Q&gt;100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vMerge w:val="continue"/>
            <w:noWrap w:val="0"/>
            <w:vAlign w:val="center"/>
          </w:tcPr>
          <w:p>
            <w:pPr>
              <w:pStyle w:val="63"/>
              <w:rPr>
                <w:rFonts w:hint="default" w:ascii="Times New Roman" w:hAnsi="Times New Roman" w:eastAsia="宋体" w:cs="Times New Roman"/>
                <w:color w:val="auto"/>
                <w:sz w:val="18"/>
                <w:szCs w:val="18"/>
              </w:rPr>
            </w:pP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M值</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M1 </w:t>
            </w:r>
            <w:r>
              <w:rPr>
                <w:rFonts w:hint="default" w:ascii="Times New Roman" w:hAnsi="Times New Roman" w:eastAsia="宋体" w:cs="Times New Roman"/>
                <w:color w:val="auto"/>
                <w:sz w:val="18"/>
                <w:szCs w:val="18"/>
              </w:rPr>
              <w:sym w:font="Wingdings 2" w:char="00A3"/>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M2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M3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M4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vMerge w:val="continue"/>
            <w:noWrap w:val="0"/>
            <w:vAlign w:val="center"/>
          </w:tcPr>
          <w:p>
            <w:pPr>
              <w:pStyle w:val="63"/>
              <w:rPr>
                <w:rFonts w:hint="default" w:ascii="Times New Roman" w:hAnsi="Times New Roman" w:eastAsia="宋体" w:cs="Times New Roman"/>
                <w:color w:val="auto"/>
                <w:sz w:val="18"/>
                <w:szCs w:val="18"/>
              </w:rPr>
            </w:pP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P值</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P1 </w:t>
            </w:r>
            <w:r>
              <w:rPr>
                <w:rFonts w:hint="default" w:ascii="Times New Roman" w:hAnsi="Times New Roman" w:eastAsia="宋体" w:cs="Times New Roman"/>
                <w:color w:val="auto"/>
                <w:sz w:val="18"/>
                <w:szCs w:val="18"/>
              </w:rPr>
              <w:sym w:font="Wingdings 2" w:char="00A3"/>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P2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P3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P4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环境敏感</w:t>
            </w:r>
          </w:p>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程度</w:t>
            </w: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E1 </w:t>
            </w:r>
            <w:r>
              <w:rPr>
                <w:rFonts w:hint="default" w:ascii="Times New Roman" w:hAnsi="Times New Roman" w:eastAsia="宋体" w:cs="Times New Roman"/>
                <w:color w:val="auto"/>
                <w:sz w:val="18"/>
                <w:szCs w:val="18"/>
              </w:rPr>
              <w:sym w:font="Wingdings 2" w:char="00A3"/>
            </w:r>
          </w:p>
        </w:tc>
        <w:tc>
          <w:tcPr>
            <w:tcW w:w="2386"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E2 </w:t>
            </w:r>
            <w:r>
              <w:rPr>
                <w:rFonts w:hint="default" w:ascii="Times New Roman" w:hAnsi="Times New Roman" w:eastAsia="宋体" w:cs="Times New Roman"/>
                <w:color w:val="auto"/>
                <w:sz w:val="18"/>
                <w:szCs w:val="18"/>
              </w:rPr>
              <w:sym w:font="Wingdings 2" w:char="00A3"/>
            </w:r>
          </w:p>
        </w:tc>
        <w:tc>
          <w:tcPr>
            <w:tcW w:w="2441"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vMerge w:val="continue"/>
            <w:noWrap w:val="0"/>
            <w:vAlign w:val="center"/>
          </w:tcPr>
          <w:p>
            <w:pPr>
              <w:pStyle w:val="63"/>
              <w:rPr>
                <w:rFonts w:hint="default" w:ascii="Times New Roman" w:hAnsi="Times New Roman" w:eastAsia="宋体" w:cs="Times New Roman"/>
                <w:color w:val="auto"/>
                <w:sz w:val="18"/>
                <w:szCs w:val="18"/>
              </w:rPr>
            </w:pP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E1 </w:t>
            </w:r>
            <w:r>
              <w:rPr>
                <w:rFonts w:hint="default" w:ascii="Times New Roman" w:hAnsi="Times New Roman" w:eastAsia="宋体" w:cs="Times New Roman"/>
                <w:color w:val="auto"/>
                <w:sz w:val="18"/>
                <w:szCs w:val="18"/>
              </w:rPr>
              <w:sym w:font="Wingdings 2" w:char="00A3"/>
            </w:r>
          </w:p>
        </w:tc>
        <w:tc>
          <w:tcPr>
            <w:tcW w:w="2386"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E2 </w:t>
            </w:r>
            <w:r>
              <w:rPr>
                <w:rFonts w:hint="default" w:ascii="Times New Roman" w:hAnsi="Times New Roman" w:eastAsia="宋体" w:cs="Times New Roman"/>
                <w:color w:val="auto"/>
                <w:sz w:val="18"/>
                <w:szCs w:val="18"/>
              </w:rPr>
              <w:sym w:font="Wingdings 2" w:char="00A3"/>
            </w:r>
          </w:p>
        </w:tc>
        <w:tc>
          <w:tcPr>
            <w:tcW w:w="2441"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vMerge w:val="continue"/>
            <w:noWrap w:val="0"/>
            <w:vAlign w:val="center"/>
          </w:tcPr>
          <w:p>
            <w:pPr>
              <w:pStyle w:val="63"/>
              <w:rPr>
                <w:rFonts w:hint="default" w:ascii="Times New Roman" w:hAnsi="Times New Roman" w:eastAsia="宋体" w:cs="Times New Roman"/>
                <w:color w:val="auto"/>
                <w:sz w:val="18"/>
                <w:szCs w:val="18"/>
              </w:rPr>
            </w:pP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E1 </w:t>
            </w:r>
            <w:r>
              <w:rPr>
                <w:rFonts w:hint="default" w:ascii="Times New Roman" w:hAnsi="Times New Roman" w:eastAsia="宋体" w:cs="Times New Roman"/>
                <w:color w:val="auto"/>
                <w:sz w:val="18"/>
                <w:szCs w:val="18"/>
              </w:rPr>
              <w:sym w:font="Wingdings 2" w:char="00A3"/>
            </w:r>
          </w:p>
        </w:tc>
        <w:tc>
          <w:tcPr>
            <w:tcW w:w="2386"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E2 </w:t>
            </w:r>
            <w:r>
              <w:rPr>
                <w:rFonts w:hint="default" w:ascii="Times New Roman" w:hAnsi="Times New Roman" w:eastAsia="宋体" w:cs="Times New Roman"/>
                <w:color w:val="auto"/>
                <w:sz w:val="18"/>
                <w:szCs w:val="18"/>
              </w:rPr>
              <w:sym w:font="Wingdings 2" w:char="00A3"/>
            </w:r>
          </w:p>
        </w:tc>
        <w:tc>
          <w:tcPr>
            <w:tcW w:w="2441"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环境风险潜势</w:t>
            </w: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Ⅳ+ </w:t>
            </w:r>
            <w:r>
              <w:rPr>
                <w:rFonts w:hint="default" w:ascii="Times New Roman" w:hAnsi="Times New Roman" w:eastAsia="宋体" w:cs="Times New Roman"/>
                <w:color w:val="auto"/>
                <w:sz w:val="18"/>
                <w:szCs w:val="18"/>
              </w:rPr>
              <w:sym w:font="Wingdings 2" w:char="00A3"/>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Ⅳ </w:t>
            </w:r>
            <w:r>
              <w:rPr>
                <w:rFonts w:hint="default" w:ascii="Times New Roman" w:hAnsi="Times New Roman" w:eastAsia="宋体" w:cs="Times New Roman"/>
                <w:color w:val="auto"/>
                <w:sz w:val="18"/>
                <w:szCs w:val="18"/>
              </w:rPr>
              <w:sym w:font="Wingdings 2" w:char="00A3"/>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Ⅲ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Ⅱ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Ⅰ </w:t>
            </w:r>
            <w:r>
              <w:rPr>
                <w:rFonts w:hint="default" w:ascii="Times New Roman" w:hAnsi="Times New Roman" w:eastAsia="宋体" w:cs="Times New Roman"/>
                <w:color w:val="auto"/>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评价等级</w:t>
            </w:r>
          </w:p>
        </w:tc>
        <w:tc>
          <w:tcPr>
            <w:tcW w:w="2819"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一级 </w:t>
            </w:r>
            <w:r>
              <w:rPr>
                <w:rFonts w:hint="default" w:ascii="Times New Roman" w:hAnsi="Times New Roman" w:eastAsia="宋体" w:cs="Times New Roman"/>
                <w:color w:val="auto"/>
                <w:sz w:val="18"/>
                <w:szCs w:val="18"/>
              </w:rPr>
              <w:sym w:font="Wingdings 2" w:char="00A3"/>
            </w:r>
          </w:p>
        </w:tc>
        <w:tc>
          <w:tcPr>
            <w:tcW w:w="1614"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二级 </w:t>
            </w:r>
            <w:r>
              <w:rPr>
                <w:rFonts w:hint="default" w:ascii="Times New Roman" w:hAnsi="Times New Roman" w:eastAsia="宋体" w:cs="Times New Roman"/>
                <w:color w:val="auto"/>
                <w:sz w:val="18"/>
                <w:szCs w:val="18"/>
              </w:rPr>
              <w:sym w:font="Wingdings 2" w:char="00A3"/>
            </w:r>
          </w:p>
        </w:tc>
        <w:tc>
          <w:tcPr>
            <w:tcW w:w="157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三级 </w:t>
            </w:r>
            <w:r>
              <w:rPr>
                <w:rFonts w:hint="default" w:ascii="Times New Roman" w:hAnsi="Times New Roman" w:eastAsia="宋体" w:cs="Times New Roman"/>
                <w:color w:val="auto"/>
                <w:sz w:val="18"/>
                <w:szCs w:val="18"/>
              </w:rPr>
              <w:sym w:font="Wingdings 2" w:char="00A3"/>
            </w:r>
          </w:p>
        </w:tc>
        <w:tc>
          <w:tcPr>
            <w:tcW w:w="1639"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简单分析 </w:t>
            </w:r>
            <w:r>
              <w:rPr>
                <w:rFonts w:hint="default" w:ascii="Times New Roman" w:hAnsi="Times New Roman" w:eastAsia="宋体" w:cs="Times New Roman"/>
                <w:color w:val="auto"/>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风险识别</w:t>
            </w:r>
          </w:p>
        </w:tc>
        <w:tc>
          <w:tcPr>
            <w:tcW w:w="1285"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物质危险性</w:t>
            </w:r>
          </w:p>
        </w:tc>
        <w:tc>
          <w:tcPr>
            <w:tcW w:w="3731" w:type="dxa"/>
            <w:gridSpan w:val="6"/>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有毒有害 </w:t>
            </w:r>
            <w:r>
              <w:rPr>
                <w:rFonts w:hint="default" w:ascii="Times New Roman" w:hAnsi="Times New Roman" w:eastAsia="宋体" w:cs="Times New Roman"/>
                <w:color w:val="auto"/>
                <w:sz w:val="18"/>
                <w:szCs w:val="18"/>
              </w:rPr>
              <w:sym w:font="Wingdings 2" w:char="0052"/>
            </w:r>
          </w:p>
        </w:tc>
        <w:tc>
          <w:tcPr>
            <w:tcW w:w="3915" w:type="dxa"/>
            <w:gridSpan w:val="6"/>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易燃易爆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w:t>
            </w:r>
          </w:p>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类型</w:t>
            </w:r>
          </w:p>
        </w:tc>
        <w:tc>
          <w:tcPr>
            <w:tcW w:w="2819"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泄露 </w:t>
            </w:r>
            <w:r>
              <w:rPr>
                <w:rFonts w:hint="default" w:ascii="Times New Roman" w:hAnsi="Times New Roman" w:eastAsia="宋体" w:cs="Times New Roman"/>
                <w:color w:val="auto"/>
                <w:sz w:val="18"/>
                <w:szCs w:val="18"/>
              </w:rPr>
              <w:sym w:font="Wingdings 2" w:char="0052"/>
            </w:r>
          </w:p>
        </w:tc>
        <w:tc>
          <w:tcPr>
            <w:tcW w:w="4827" w:type="dxa"/>
            <w:gridSpan w:val="8"/>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火灾、爆炸引发伴生/次生污染物排放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影响途径</w:t>
            </w:r>
          </w:p>
        </w:tc>
        <w:tc>
          <w:tcPr>
            <w:tcW w:w="2819" w:type="dxa"/>
            <w:gridSpan w:val="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大气 </w:t>
            </w:r>
            <w:r>
              <w:rPr>
                <w:rFonts w:hint="default" w:ascii="Times New Roman" w:hAnsi="Times New Roman" w:eastAsia="宋体" w:cs="Times New Roman"/>
                <w:color w:val="auto"/>
                <w:sz w:val="18"/>
                <w:szCs w:val="18"/>
              </w:rPr>
              <w:sym w:font="Wingdings 2" w:char="00A3"/>
            </w:r>
          </w:p>
        </w:tc>
        <w:tc>
          <w:tcPr>
            <w:tcW w:w="2386"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地表水 </w:t>
            </w:r>
            <w:r>
              <w:rPr>
                <w:rFonts w:hint="default" w:ascii="Times New Roman" w:hAnsi="Times New Roman" w:eastAsia="宋体" w:cs="Times New Roman"/>
                <w:color w:val="auto"/>
                <w:sz w:val="18"/>
                <w:szCs w:val="18"/>
              </w:rPr>
              <w:sym w:font="Wingdings 2" w:char="0052"/>
            </w:r>
          </w:p>
        </w:tc>
        <w:tc>
          <w:tcPr>
            <w:tcW w:w="2441"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地下水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事故情形分析</w:t>
            </w: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源强设定方法</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计算法 </w:t>
            </w:r>
            <w:r>
              <w:rPr>
                <w:rFonts w:hint="default" w:ascii="Times New Roman" w:hAnsi="Times New Roman" w:eastAsia="宋体" w:cs="Times New Roman"/>
                <w:color w:val="auto"/>
                <w:sz w:val="18"/>
                <w:szCs w:val="18"/>
              </w:rPr>
              <w:sym w:font="Wingdings 2" w:char="0052"/>
            </w:r>
          </w:p>
        </w:tc>
        <w:tc>
          <w:tcPr>
            <w:tcW w:w="2386"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经验估算法 </w:t>
            </w:r>
            <w:r>
              <w:rPr>
                <w:rFonts w:hint="default" w:ascii="Times New Roman" w:hAnsi="Times New Roman" w:eastAsia="宋体" w:cs="Times New Roman"/>
                <w:color w:val="auto"/>
                <w:sz w:val="18"/>
                <w:szCs w:val="18"/>
              </w:rPr>
              <w:sym w:font="Wingdings 2" w:char="00A3"/>
            </w:r>
          </w:p>
        </w:tc>
        <w:tc>
          <w:tcPr>
            <w:tcW w:w="2441"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其他估算法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风险预测与评价</w:t>
            </w:r>
          </w:p>
        </w:tc>
        <w:tc>
          <w:tcPr>
            <w:tcW w:w="1285"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1343"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预测模型</w:t>
            </w:r>
          </w:p>
        </w:tc>
        <w:tc>
          <w:tcPr>
            <w:tcW w:w="1476"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SLAB </w:t>
            </w:r>
            <w:r>
              <w:rPr>
                <w:rFonts w:hint="default" w:ascii="Times New Roman" w:hAnsi="Times New Roman" w:eastAsia="宋体" w:cs="Times New Roman"/>
                <w:color w:val="auto"/>
                <w:sz w:val="18"/>
                <w:szCs w:val="18"/>
              </w:rPr>
              <w:sym w:font="Wingdings 2" w:char="00A3"/>
            </w:r>
          </w:p>
        </w:tc>
        <w:tc>
          <w:tcPr>
            <w:tcW w:w="2386" w:type="dxa"/>
            <w:gridSpan w:val="5"/>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AFTOX </w:t>
            </w:r>
            <w:r>
              <w:rPr>
                <w:rFonts w:hint="default" w:ascii="Times New Roman" w:hAnsi="Times New Roman" w:eastAsia="宋体" w:cs="Times New Roman"/>
                <w:color w:val="auto"/>
                <w:sz w:val="18"/>
                <w:szCs w:val="18"/>
              </w:rPr>
              <w:sym w:font="Wingdings 2" w:char="00A3"/>
            </w:r>
          </w:p>
        </w:tc>
        <w:tc>
          <w:tcPr>
            <w:tcW w:w="2441" w:type="dxa"/>
            <w:gridSpan w:val="3"/>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其他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预测结果</w:t>
            </w:r>
          </w:p>
        </w:tc>
        <w:tc>
          <w:tcPr>
            <w:tcW w:w="6303" w:type="dxa"/>
            <w:gridSpan w:val="11"/>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1343" w:type="dxa"/>
            <w:vMerge w:val="continue"/>
            <w:noWrap w:val="0"/>
            <w:vAlign w:val="center"/>
          </w:tcPr>
          <w:p>
            <w:pPr>
              <w:pStyle w:val="63"/>
              <w:rPr>
                <w:rFonts w:hint="default" w:ascii="Times New Roman" w:hAnsi="Times New Roman" w:eastAsia="宋体" w:cs="Times New Roman"/>
                <w:color w:val="auto"/>
                <w:sz w:val="18"/>
                <w:szCs w:val="18"/>
              </w:rPr>
            </w:pPr>
          </w:p>
        </w:tc>
        <w:tc>
          <w:tcPr>
            <w:tcW w:w="6303" w:type="dxa"/>
            <w:gridSpan w:val="11"/>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7646" w:type="dxa"/>
            <w:gridSpan w:val="1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restart"/>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w:t>
            </w:r>
          </w:p>
        </w:tc>
        <w:tc>
          <w:tcPr>
            <w:tcW w:w="7646" w:type="dxa"/>
            <w:gridSpan w:val="1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9" w:type="dxa"/>
            <w:vMerge w:val="continue"/>
            <w:noWrap w:val="0"/>
            <w:vAlign w:val="center"/>
          </w:tcPr>
          <w:p>
            <w:pPr>
              <w:pStyle w:val="63"/>
              <w:rPr>
                <w:rFonts w:hint="default" w:ascii="Times New Roman" w:hAnsi="Times New Roman" w:eastAsia="宋体" w:cs="Times New Roman"/>
                <w:color w:val="auto"/>
                <w:sz w:val="18"/>
                <w:szCs w:val="18"/>
              </w:rPr>
            </w:pPr>
          </w:p>
        </w:tc>
        <w:tc>
          <w:tcPr>
            <w:tcW w:w="1285" w:type="dxa"/>
            <w:vMerge w:val="continue"/>
            <w:noWrap w:val="0"/>
            <w:vAlign w:val="center"/>
          </w:tcPr>
          <w:p>
            <w:pPr>
              <w:pStyle w:val="63"/>
              <w:rPr>
                <w:rFonts w:hint="default" w:ascii="Times New Roman" w:hAnsi="Times New Roman" w:eastAsia="宋体" w:cs="Times New Roman"/>
                <w:color w:val="auto"/>
                <w:sz w:val="18"/>
                <w:szCs w:val="18"/>
              </w:rPr>
            </w:pPr>
          </w:p>
        </w:tc>
        <w:tc>
          <w:tcPr>
            <w:tcW w:w="7646" w:type="dxa"/>
            <w:gridSpan w:val="1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最近环境敏感目标              ，到达时间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重点风险防范</w:t>
            </w:r>
          </w:p>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措施</w:t>
            </w:r>
          </w:p>
        </w:tc>
        <w:tc>
          <w:tcPr>
            <w:tcW w:w="7646" w:type="dxa"/>
            <w:gridSpan w:val="1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应设置合理的</w:t>
            </w:r>
            <w:r>
              <w:rPr>
                <w:rFonts w:hint="default" w:ascii="Times New Roman" w:hAnsi="Times New Roman" w:eastAsia="宋体" w:cs="Times New Roman"/>
                <w:color w:val="auto"/>
                <w:sz w:val="18"/>
                <w:szCs w:val="18"/>
                <w:lang w:eastAsia="zh-CN"/>
              </w:rPr>
              <w:t>事故废水收集池</w:t>
            </w:r>
            <w:r>
              <w:rPr>
                <w:rFonts w:hint="default" w:ascii="Times New Roman" w:hAnsi="Times New Roman" w:eastAsia="宋体" w:cs="Times New Roman"/>
                <w:color w:val="auto"/>
                <w:sz w:val="18"/>
                <w:szCs w:val="18"/>
              </w:rPr>
              <w:t>，储存危险</w:t>
            </w:r>
            <w:r>
              <w:rPr>
                <w:rFonts w:hint="default" w:ascii="Times New Roman" w:hAnsi="Times New Roman" w:eastAsia="宋体" w:cs="Times New Roman"/>
                <w:color w:val="auto"/>
                <w:sz w:val="18"/>
                <w:szCs w:val="18"/>
                <w:lang w:eastAsia="zh-CN"/>
              </w:rPr>
              <w:t>化学品</w:t>
            </w:r>
            <w:r>
              <w:rPr>
                <w:rFonts w:hint="default" w:ascii="Times New Roman" w:hAnsi="Times New Roman" w:eastAsia="宋体" w:cs="Times New Roman"/>
                <w:color w:val="auto"/>
                <w:sz w:val="18"/>
                <w:szCs w:val="18"/>
              </w:rPr>
              <w:t>场所做好相关的安全防范工作，要求设置围堰，并配备必要的防护设备。制订应急操作规程，提供员工操作水平。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4" w:type="dxa"/>
            <w:gridSpan w:val="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评价结论与建议</w:t>
            </w:r>
          </w:p>
        </w:tc>
        <w:tc>
          <w:tcPr>
            <w:tcW w:w="7646" w:type="dxa"/>
            <w:gridSpan w:val="12"/>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本项目Q＜1，环境风险潜势为Ⅰ，环境风险不大。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90" w:type="dxa"/>
            <w:gridSpan w:val="14"/>
            <w:noWrap w:val="0"/>
            <w:vAlign w:val="center"/>
          </w:tcPr>
          <w:p>
            <w:pPr>
              <w:pStyle w:val="63"/>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w:t>
            </w:r>
            <w:r>
              <w:rPr>
                <w:rFonts w:hint="default" w:ascii="Times New Roman" w:hAnsi="Times New Roman" w:eastAsia="宋体" w:cs="Times New Roman"/>
                <w:color w:val="auto"/>
                <w:sz w:val="18"/>
                <w:szCs w:val="18"/>
              </w:rPr>
              <w:sym w:font="Wingdings 2" w:char="00A3"/>
            </w:r>
            <w:r>
              <w:rPr>
                <w:rFonts w:hint="default" w:ascii="Times New Roman" w:hAnsi="Times New Roman" w:eastAsia="宋体" w:cs="Times New Roman"/>
                <w:color w:val="auto"/>
                <w:sz w:val="18"/>
                <w:szCs w:val="18"/>
              </w:rPr>
              <w:t>”为勾选项，“       ”为填写项。</w:t>
            </w:r>
          </w:p>
        </w:tc>
      </w:tr>
    </w:tbl>
    <w:p>
      <w:pPr>
        <w:pStyle w:val="2"/>
        <w:ind w:firstLine="0" w:firstLineChars="0"/>
        <w:rPr>
          <w:rFonts w:hint="eastAsia"/>
          <w:color w:val="auto"/>
        </w:rPr>
        <w:sectPr>
          <w:pgSz w:w="11906" w:h="16838"/>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pStyle w:val="31"/>
        <w:snapToGrid w:val="0"/>
        <w:spacing w:line="360" w:lineRule="auto"/>
        <w:rPr>
          <w:rFonts w:ascii="Times New Roman" w:hAnsi="Times New Roman"/>
          <w:color w:val="auto"/>
        </w:rPr>
      </w:pPr>
      <w:r>
        <w:rPr>
          <w:rFonts w:hint="eastAsia" w:ascii="Times New Roman" w:hAnsi="Times New Roman"/>
          <w:color w:val="auto"/>
        </w:rPr>
        <w:t>八、退役期环境影响评价</w:t>
      </w:r>
    </w:p>
    <w:p>
      <w:pPr>
        <w:snapToGrid w:val="0"/>
        <w:spacing w:line="360" w:lineRule="auto"/>
        <w:ind w:firstLine="480" w:firstLineChars="200"/>
        <w:rPr>
          <w:color w:val="auto"/>
          <w:sz w:val="24"/>
        </w:rPr>
      </w:pPr>
      <w:r>
        <w:rPr>
          <w:rFonts w:hint="eastAsia"/>
          <w:color w:val="auto"/>
          <w:sz w:val="24"/>
        </w:rPr>
        <w:t>该项目退役期停止生产后，不再产生噪声、污水、粉尘等对环境的不利影响因子；退役时其剩余产品可出售；剩余原材料可转让到其他同类厂家而得到利用；废旧设备科卖给其他厂家回收利用或作废品处理；厂房即可转让作其他利用。该项目不会遗留对环境明显不利影响的潜在污染物。</w:t>
      </w:r>
    </w:p>
    <w:p>
      <w:pPr>
        <w:pStyle w:val="31"/>
        <w:snapToGrid w:val="0"/>
        <w:spacing w:line="360" w:lineRule="auto"/>
        <w:rPr>
          <w:rFonts w:ascii="Times New Roman" w:hAnsi="Times New Roman"/>
          <w:color w:val="auto"/>
        </w:rPr>
      </w:pPr>
      <w:r>
        <w:rPr>
          <w:rFonts w:hint="eastAsia" w:ascii="Times New Roman" w:hAnsi="Times New Roman"/>
          <w:color w:val="auto"/>
        </w:rPr>
        <w:t>九、污染治理措施评述</w:t>
      </w:r>
    </w:p>
    <w:p>
      <w:pPr>
        <w:snapToGrid w:val="0"/>
        <w:spacing w:line="360" w:lineRule="auto"/>
        <w:outlineLvl w:val="1"/>
        <w:rPr>
          <w:b/>
          <w:color w:val="auto"/>
          <w:sz w:val="28"/>
          <w:szCs w:val="28"/>
        </w:rPr>
      </w:pPr>
      <w:r>
        <w:rPr>
          <w:b/>
          <w:color w:val="auto"/>
          <w:sz w:val="28"/>
          <w:szCs w:val="28"/>
        </w:rPr>
        <w:t>9.1</w:t>
      </w:r>
      <w:r>
        <w:rPr>
          <w:rFonts w:hint="eastAsia"/>
          <w:b/>
          <w:color w:val="auto"/>
          <w:sz w:val="28"/>
          <w:szCs w:val="28"/>
        </w:rPr>
        <w:t>废水治理措施</w:t>
      </w:r>
    </w:p>
    <w:p>
      <w:pPr>
        <w:spacing w:line="360" w:lineRule="auto"/>
        <w:ind w:firstLine="480"/>
        <w:rPr>
          <w:color w:val="auto"/>
          <w:sz w:val="24"/>
        </w:rPr>
      </w:pPr>
      <w:r>
        <w:rPr>
          <w:rFonts w:hAnsi="宋体"/>
          <w:color w:val="auto"/>
          <w:sz w:val="24"/>
        </w:rPr>
        <w:t>项目生产废水主要来自各工序清洗产生的清洗废水、废气处理过程中产生的废水</w:t>
      </w:r>
      <w:r>
        <w:rPr>
          <w:rFonts w:hint="eastAsia" w:hAnsi="宋体"/>
          <w:color w:val="auto"/>
          <w:sz w:val="24"/>
        </w:rPr>
        <w:t>等</w:t>
      </w:r>
      <w:r>
        <w:rPr>
          <w:rFonts w:hAnsi="宋体"/>
          <w:color w:val="auto"/>
          <w:sz w:val="24"/>
        </w:rPr>
        <w:t>。</w:t>
      </w:r>
    </w:p>
    <w:p>
      <w:pPr>
        <w:spacing w:line="360" w:lineRule="auto"/>
        <w:ind w:firstLine="480"/>
        <w:rPr>
          <w:color w:val="auto"/>
          <w:sz w:val="24"/>
        </w:rPr>
      </w:pPr>
      <w:r>
        <w:rPr>
          <w:rFonts w:hAnsi="宋体"/>
          <w:color w:val="auto"/>
          <w:sz w:val="24"/>
        </w:rPr>
        <w:t>根据本项目废水产生以及电镀集控中心的要求，项目电镀废水共分为</w:t>
      </w:r>
      <w:r>
        <w:rPr>
          <w:color w:val="auto"/>
          <w:sz w:val="24"/>
        </w:rPr>
        <w:t>5</w:t>
      </w:r>
      <w:r>
        <w:rPr>
          <w:rFonts w:hAnsi="宋体"/>
          <w:color w:val="auto"/>
          <w:sz w:val="24"/>
        </w:rPr>
        <w:t>股废水，分别为含铬废水、含镍废水、含氰废水、含油废水及综合废水。清洗工序中的含铬废水含铬废水接入含铬废水收集管；含镍废水、滤芯清洗中含镍废水接入含镍废水收集管道；含氰废水、滤芯清洗中含氰废水接入含镍废水收集管道；含油废水、综合老化液接入含油废水收集管道；其余废水接入混合废水收集管道。</w:t>
      </w:r>
    </w:p>
    <w:p>
      <w:pPr>
        <w:adjustRightInd w:val="0"/>
        <w:snapToGrid w:val="0"/>
        <w:spacing w:line="360" w:lineRule="auto"/>
        <w:ind w:firstLine="480"/>
        <w:rPr>
          <w:rFonts w:hAnsi="宋体"/>
          <w:color w:val="auto"/>
          <w:sz w:val="24"/>
        </w:rPr>
      </w:pPr>
      <w:r>
        <w:rPr>
          <w:rFonts w:hAnsi="宋体"/>
          <w:color w:val="auto"/>
          <w:sz w:val="24"/>
        </w:rPr>
        <w:t>在车间内建设五水分流的生产废水收集管网，不同的废水收集管道标识为不同颜色，以免造成不同的废水混排，项目各股废水的产生浓度达到集控中心污水站的进水水质。故应在各股废水出口预留监测口，保证车间水质达到集控中污水站进水水质要求。</w:t>
      </w:r>
    </w:p>
    <w:p>
      <w:pPr>
        <w:adjustRightInd w:val="0"/>
        <w:snapToGrid w:val="0"/>
        <w:spacing w:line="360" w:lineRule="auto"/>
        <w:ind w:firstLine="480"/>
        <w:rPr>
          <w:color w:val="auto"/>
          <w:sz w:val="24"/>
        </w:rPr>
      </w:pPr>
      <w:r>
        <w:rPr>
          <w:rFonts w:hint="eastAsia" w:hAnsi="宋体"/>
          <w:color w:val="auto"/>
          <w:sz w:val="24"/>
        </w:rPr>
        <w:t>为确保本项目</w:t>
      </w:r>
      <w:r>
        <w:rPr>
          <w:rFonts w:hint="eastAsia"/>
          <w:color w:val="auto"/>
          <w:sz w:val="24"/>
        </w:rPr>
        <w:t>钝化产生的六价铬废水能够满园区污水处理站的进水标准，在厂区的出水口设置监控装置及预处理水池，当实际排水超标时，启动这套设施，其处理工艺采用加入焦亚硫酸钠对超标的含铬废水进行反应，将废水中的六价铬还原为3价铬，而后经集控中心的污水管网排入集控中心的污水处理站。</w:t>
      </w:r>
    </w:p>
    <w:p>
      <w:pPr>
        <w:spacing w:line="360" w:lineRule="auto"/>
        <w:ind w:firstLine="480"/>
        <w:rPr>
          <w:rFonts w:hAnsi="宋体"/>
          <w:color w:val="auto"/>
          <w:sz w:val="24"/>
        </w:rPr>
      </w:pPr>
      <w:r>
        <w:rPr>
          <w:rFonts w:hAnsi="宋体"/>
          <w:color w:val="auto"/>
          <w:sz w:val="24"/>
        </w:rPr>
        <w:t>集控中心</w:t>
      </w:r>
      <w:r>
        <w:rPr>
          <w:rFonts w:hint="eastAsia" w:hAnsi="宋体"/>
          <w:color w:val="auto"/>
          <w:sz w:val="24"/>
        </w:rPr>
        <w:t>分两期</w:t>
      </w:r>
      <w:r>
        <w:rPr>
          <w:rFonts w:hAnsi="宋体"/>
          <w:color w:val="auto"/>
          <w:sz w:val="24"/>
        </w:rPr>
        <w:t>建设污水站，一期工程建设含铬废水预处理设施处理能力为</w:t>
      </w:r>
      <w:r>
        <w:rPr>
          <w:color w:val="auto"/>
          <w:sz w:val="24"/>
        </w:rPr>
        <w:t>400m</w:t>
      </w:r>
      <w:r>
        <w:rPr>
          <w:color w:val="auto"/>
          <w:sz w:val="24"/>
          <w:vertAlign w:val="superscript"/>
        </w:rPr>
        <w:t>3</w:t>
      </w:r>
      <w:r>
        <w:rPr>
          <w:color w:val="auto"/>
          <w:sz w:val="24"/>
        </w:rPr>
        <w:t>/d</w:t>
      </w:r>
      <w:r>
        <w:rPr>
          <w:rFonts w:hAnsi="宋体"/>
          <w:color w:val="auto"/>
          <w:sz w:val="24"/>
        </w:rPr>
        <w:t>，含镍废水处理规模为</w:t>
      </w:r>
      <w:r>
        <w:rPr>
          <w:color w:val="auto"/>
          <w:sz w:val="24"/>
        </w:rPr>
        <w:t>200m</w:t>
      </w:r>
      <w:r>
        <w:rPr>
          <w:color w:val="auto"/>
          <w:sz w:val="24"/>
          <w:vertAlign w:val="superscript"/>
        </w:rPr>
        <w:t>3</w:t>
      </w:r>
      <w:r>
        <w:rPr>
          <w:color w:val="auto"/>
          <w:sz w:val="24"/>
        </w:rPr>
        <w:t>/d</w:t>
      </w:r>
      <w:r>
        <w:rPr>
          <w:rFonts w:hAnsi="宋体"/>
          <w:color w:val="auto"/>
          <w:sz w:val="24"/>
        </w:rPr>
        <w:t>，含氰废水处理规模为</w:t>
      </w:r>
      <w:r>
        <w:rPr>
          <w:color w:val="auto"/>
          <w:sz w:val="24"/>
        </w:rPr>
        <w:t>200m</w:t>
      </w:r>
      <w:r>
        <w:rPr>
          <w:color w:val="auto"/>
          <w:sz w:val="24"/>
          <w:vertAlign w:val="superscript"/>
        </w:rPr>
        <w:t>3</w:t>
      </w:r>
      <w:r>
        <w:rPr>
          <w:color w:val="auto"/>
          <w:sz w:val="24"/>
        </w:rPr>
        <w:t>/d</w:t>
      </w:r>
      <w:r>
        <w:rPr>
          <w:rFonts w:hAnsi="宋体"/>
          <w:color w:val="auto"/>
          <w:sz w:val="24"/>
        </w:rPr>
        <w:t>，含油废水处理规模为</w:t>
      </w:r>
      <w:r>
        <w:rPr>
          <w:color w:val="auto"/>
          <w:sz w:val="24"/>
        </w:rPr>
        <w:t>200m</w:t>
      </w:r>
      <w:r>
        <w:rPr>
          <w:color w:val="auto"/>
          <w:sz w:val="24"/>
          <w:vertAlign w:val="superscript"/>
        </w:rPr>
        <w:t>3</w:t>
      </w:r>
      <w:r>
        <w:rPr>
          <w:color w:val="auto"/>
          <w:sz w:val="24"/>
        </w:rPr>
        <w:t>/d</w:t>
      </w:r>
      <w:r>
        <w:rPr>
          <w:rFonts w:hAnsi="宋体"/>
          <w:color w:val="auto"/>
          <w:sz w:val="24"/>
        </w:rPr>
        <w:t>，综合废水处理规模为</w:t>
      </w:r>
      <w:r>
        <w:rPr>
          <w:color w:val="auto"/>
          <w:sz w:val="24"/>
        </w:rPr>
        <w:t>800m</w:t>
      </w:r>
      <w:r>
        <w:rPr>
          <w:color w:val="auto"/>
          <w:sz w:val="24"/>
          <w:vertAlign w:val="superscript"/>
        </w:rPr>
        <w:t>3</w:t>
      </w:r>
      <w:r>
        <w:rPr>
          <w:color w:val="auto"/>
          <w:sz w:val="24"/>
        </w:rPr>
        <w:t>/d</w:t>
      </w:r>
      <w:r>
        <w:rPr>
          <w:rFonts w:hAnsi="宋体"/>
          <w:color w:val="auto"/>
          <w:sz w:val="24"/>
        </w:rPr>
        <w:t>，尾水排放执行</w:t>
      </w:r>
      <w:r>
        <w:rPr>
          <w:color w:val="auto"/>
          <w:sz w:val="24"/>
        </w:rPr>
        <w:t>GB21900-2008</w:t>
      </w:r>
      <w:r>
        <w:rPr>
          <w:rFonts w:hAnsi="宋体"/>
          <w:color w:val="auto"/>
          <w:sz w:val="24"/>
        </w:rPr>
        <w:t>《电镀污染物排放标准》表</w:t>
      </w:r>
      <w:r>
        <w:rPr>
          <w:color w:val="auto"/>
          <w:sz w:val="24"/>
        </w:rPr>
        <w:t>2</w:t>
      </w:r>
      <w:r>
        <w:rPr>
          <w:rFonts w:hAnsi="宋体"/>
          <w:color w:val="auto"/>
          <w:sz w:val="24"/>
        </w:rPr>
        <w:t>标准。本项目产生的含铬废水</w:t>
      </w:r>
      <w:r>
        <w:rPr>
          <w:rFonts w:hint="eastAsia" w:hAnsi="宋体"/>
          <w:color w:val="auto"/>
          <w:sz w:val="24"/>
        </w:rPr>
        <w:t>24.22</w:t>
      </w:r>
      <w:r>
        <w:rPr>
          <w:color w:val="auto"/>
          <w:sz w:val="24"/>
        </w:rPr>
        <w:t>t/d</w:t>
      </w:r>
      <w:r>
        <w:rPr>
          <w:rFonts w:hAnsi="宋体"/>
          <w:color w:val="auto"/>
          <w:sz w:val="24"/>
        </w:rPr>
        <w:t>，含镍废水</w:t>
      </w:r>
      <w:r>
        <w:rPr>
          <w:rFonts w:hint="eastAsia"/>
          <w:color w:val="auto"/>
          <w:sz w:val="24"/>
        </w:rPr>
        <w:t>0.67</w:t>
      </w:r>
      <w:r>
        <w:rPr>
          <w:color w:val="auto"/>
          <w:sz w:val="24"/>
        </w:rPr>
        <w:t>t/d</w:t>
      </w:r>
      <w:r>
        <w:rPr>
          <w:rFonts w:hAnsi="宋体"/>
          <w:color w:val="auto"/>
          <w:sz w:val="24"/>
        </w:rPr>
        <w:t>，含氰废水</w:t>
      </w:r>
      <w:r>
        <w:rPr>
          <w:rFonts w:hint="eastAsia"/>
          <w:color w:val="auto"/>
          <w:sz w:val="24"/>
        </w:rPr>
        <w:t>0.38</w:t>
      </w:r>
      <w:r>
        <w:rPr>
          <w:color w:val="auto"/>
          <w:sz w:val="24"/>
        </w:rPr>
        <w:t>t/d</w:t>
      </w:r>
      <w:r>
        <w:rPr>
          <w:rFonts w:hAnsi="宋体"/>
          <w:color w:val="auto"/>
          <w:sz w:val="24"/>
        </w:rPr>
        <w:t>，含油废水</w:t>
      </w:r>
      <w:r>
        <w:rPr>
          <w:rFonts w:hint="eastAsia"/>
          <w:color w:val="auto"/>
          <w:sz w:val="24"/>
        </w:rPr>
        <w:t>7.08</w:t>
      </w:r>
      <w:r>
        <w:rPr>
          <w:color w:val="auto"/>
          <w:sz w:val="24"/>
        </w:rPr>
        <w:t>t/d</w:t>
      </w:r>
      <w:r>
        <w:rPr>
          <w:rFonts w:hAnsi="宋体"/>
          <w:color w:val="auto"/>
          <w:sz w:val="24"/>
        </w:rPr>
        <w:t>，混合废水</w:t>
      </w:r>
      <w:r>
        <w:rPr>
          <w:rFonts w:hint="eastAsia"/>
          <w:color w:val="auto"/>
          <w:sz w:val="24"/>
        </w:rPr>
        <w:t>12.59</w:t>
      </w:r>
      <w:r>
        <w:rPr>
          <w:color w:val="auto"/>
          <w:sz w:val="24"/>
        </w:rPr>
        <w:t>t/d</w:t>
      </w:r>
      <w:r>
        <w:rPr>
          <w:rFonts w:hAnsi="宋体"/>
          <w:color w:val="auto"/>
          <w:sz w:val="24"/>
        </w:rPr>
        <w:t>，</w:t>
      </w:r>
      <w:r>
        <w:rPr>
          <w:rFonts w:hint="eastAsia"/>
          <w:color w:val="auto"/>
          <w:sz w:val="24"/>
        </w:rPr>
        <w:t>拟建项目各废水排入集控中心污水处理站的排放量由原有工程等量替换，</w:t>
      </w:r>
      <w:r>
        <w:rPr>
          <w:rFonts w:hAnsi="宋体"/>
          <w:color w:val="auto"/>
          <w:sz w:val="24"/>
        </w:rPr>
        <w:t>生产废水在水量上</w:t>
      </w:r>
      <w:r>
        <w:rPr>
          <w:rFonts w:hint="eastAsia" w:hAnsi="宋体"/>
          <w:color w:val="auto"/>
          <w:sz w:val="24"/>
        </w:rPr>
        <w:t>不会</w:t>
      </w:r>
      <w:r>
        <w:rPr>
          <w:rFonts w:hAnsi="宋体"/>
          <w:color w:val="auto"/>
          <w:sz w:val="24"/>
        </w:rPr>
        <w:t>对集控中心污水站的</w:t>
      </w:r>
      <w:r>
        <w:rPr>
          <w:rFonts w:hint="eastAsia" w:hAnsi="宋体"/>
          <w:color w:val="auto"/>
          <w:sz w:val="24"/>
        </w:rPr>
        <w:t>造成</w:t>
      </w:r>
      <w:r>
        <w:rPr>
          <w:rFonts w:hAnsi="宋体"/>
          <w:color w:val="auto"/>
          <w:sz w:val="24"/>
        </w:rPr>
        <w:t>冲击均。根据源强核算，本项目排水水质与集控中心污水处理站进水水质对比如下。</w:t>
      </w:r>
    </w:p>
    <w:p>
      <w:pPr>
        <w:pStyle w:val="2"/>
        <w:rPr>
          <w:color w:val="auto"/>
        </w:rPr>
      </w:pPr>
    </w:p>
    <w:p>
      <w:pPr>
        <w:adjustRightInd w:val="0"/>
        <w:snapToGrid w:val="0"/>
        <w:spacing w:before="120" w:beforeLines="50"/>
        <w:ind w:firstLine="482"/>
        <w:jc w:val="center"/>
        <w:rPr>
          <w:rFonts w:hAnsi="宋体"/>
          <w:b/>
          <w:color w:val="auto"/>
          <w:sz w:val="24"/>
        </w:rPr>
      </w:pPr>
      <w:r>
        <w:rPr>
          <w:rFonts w:hint="eastAsia" w:hAnsi="宋体"/>
          <w:b/>
          <w:color w:val="auto"/>
          <w:sz w:val="24"/>
        </w:rPr>
        <w:t>表9.1-1 本项目排水水质与集控中污水处理站水质对比</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4"/>
        <w:gridCol w:w="2548"/>
        <w:gridCol w:w="1567"/>
        <w:gridCol w:w="2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rFonts w:hAnsi="宋体"/>
                <w:color w:val="auto"/>
                <w:szCs w:val="21"/>
              </w:rPr>
              <w:t>污染物</w:t>
            </w:r>
          </w:p>
        </w:tc>
        <w:tc>
          <w:tcPr>
            <w:tcW w:w="2548" w:type="dxa"/>
            <w:vAlign w:val="center"/>
          </w:tcPr>
          <w:p>
            <w:pPr>
              <w:widowControl/>
              <w:autoSpaceDN w:val="0"/>
              <w:snapToGrid w:val="0"/>
              <w:jc w:val="center"/>
              <w:rPr>
                <w:color w:val="auto"/>
                <w:szCs w:val="21"/>
              </w:rPr>
            </w:pPr>
            <w:r>
              <w:rPr>
                <w:rFonts w:hAnsi="宋体"/>
                <w:color w:val="auto"/>
                <w:szCs w:val="21"/>
              </w:rPr>
              <w:t>集控中心进水水质</w:t>
            </w:r>
          </w:p>
        </w:tc>
        <w:tc>
          <w:tcPr>
            <w:tcW w:w="1567" w:type="dxa"/>
            <w:vAlign w:val="center"/>
          </w:tcPr>
          <w:p>
            <w:pPr>
              <w:widowControl/>
              <w:autoSpaceDN w:val="0"/>
              <w:snapToGrid w:val="0"/>
              <w:jc w:val="center"/>
              <w:rPr>
                <w:color w:val="auto"/>
                <w:szCs w:val="21"/>
              </w:rPr>
            </w:pPr>
            <w:r>
              <w:rPr>
                <w:rFonts w:hAnsi="宋体"/>
                <w:color w:val="auto"/>
                <w:szCs w:val="21"/>
              </w:rPr>
              <w:t>本项目水质</w:t>
            </w:r>
          </w:p>
        </w:tc>
        <w:tc>
          <w:tcPr>
            <w:tcW w:w="2307" w:type="dxa"/>
            <w:vAlign w:val="center"/>
          </w:tcPr>
          <w:p>
            <w:pPr>
              <w:widowControl/>
              <w:autoSpaceDN w:val="0"/>
              <w:snapToGrid w:val="0"/>
              <w:jc w:val="center"/>
              <w:rPr>
                <w:color w:val="auto"/>
                <w:szCs w:val="21"/>
              </w:rPr>
            </w:pPr>
            <w:r>
              <w:rPr>
                <w:rFonts w:hAnsi="宋体"/>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rFonts w:hAnsi="宋体"/>
                <w:color w:val="auto"/>
                <w:szCs w:val="21"/>
              </w:rPr>
              <w:t>总铬（</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≤400</w:t>
            </w:r>
          </w:p>
        </w:tc>
        <w:tc>
          <w:tcPr>
            <w:tcW w:w="1567" w:type="dxa"/>
            <w:vAlign w:val="center"/>
          </w:tcPr>
          <w:p>
            <w:pPr>
              <w:widowControl/>
              <w:autoSpaceDN w:val="0"/>
              <w:snapToGrid w:val="0"/>
              <w:jc w:val="center"/>
              <w:rPr>
                <w:color w:val="auto"/>
                <w:szCs w:val="21"/>
              </w:rPr>
            </w:pPr>
            <w:r>
              <w:rPr>
                <w:rFonts w:hint="eastAsia"/>
                <w:color w:val="auto"/>
                <w:szCs w:val="21"/>
              </w:rPr>
              <w:t>37.2</w:t>
            </w:r>
          </w:p>
        </w:tc>
        <w:tc>
          <w:tcPr>
            <w:tcW w:w="2307" w:type="dxa"/>
            <w:vAlign w:val="center"/>
          </w:tcPr>
          <w:p>
            <w:pPr>
              <w:widowControl/>
              <w:autoSpaceDN w:val="0"/>
              <w:snapToGrid w:val="0"/>
              <w:jc w:val="center"/>
              <w:rPr>
                <w:color w:val="auto"/>
                <w:szCs w:val="21"/>
              </w:rPr>
            </w:pPr>
            <w:r>
              <w:rPr>
                <w:rFonts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rFonts w:hAnsi="宋体"/>
                <w:color w:val="auto"/>
                <w:szCs w:val="21"/>
              </w:rPr>
              <w:t>六价铬（</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w:t>
            </w:r>
            <w:r>
              <w:rPr>
                <w:rFonts w:hint="eastAsia"/>
                <w:color w:val="auto"/>
                <w:szCs w:val="21"/>
              </w:rPr>
              <w:t>10</w:t>
            </w:r>
            <w:r>
              <w:rPr>
                <w:color w:val="auto"/>
                <w:szCs w:val="21"/>
              </w:rPr>
              <w:t>0</w:t>
            </w:r>
          </w:p>
        </w:tc>
        <w:tc>
          <w:tcPr>
            <w:tcW w:w="1567" w:type="dxa"/>
            <w:vAlign w:val="center"/>
          </w:tcPr>
          <w:p>
            <w:pPr>
              <w:widowControl/>
              <w:autoSpaceDN w:val="0"/>
              <w:snapToGrid w:val="0"/>
              <w:jc w:val="center"/>
              <w:rPr>
                <w:color w:val="auto"/>
                <w:szCs w:val="21"/>
              </w:rPr>
            </w:pPr>
            <w:r>
              <w:rPr>
                <w:rFonts w:hint="eastAsia"/>
                <w:color w:val="auto"/>
                <w:szCs w:val="21"/>
              </w:rPr>
              <w:t>0.041</w:t>
            </w:r>
          </w:p>
        </w:tc>
        <w:tc>
          <w:tcPr>
            <w:tcW w:w="2307" w:type="dxa"/>
            <w:vAlign w:val="center"/>
          </w:tcPr>
          <w:p>
            <w:pPr>
              <w:widowControl/>
              <w:autoSpaceDN w:val="0"/>
              <w:snapToGrid w:val="0"/>
              <w:jc w:val="center"/>
              <w:rPr>
                <w:color w:val="auto"/>
                <w:szCs w:val="21"/>
              </w:rPr>
            </w:pPr>
            <w:r>
              <w:rPr>
                <w:rFonts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rFonts w:hAnsi="宋体"/>
                <w:color w:val="auto"/>
                <w:szCs w:val="21"/>
              </w:rPr>
              <w:t>总镍（</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≤100</w:t>
            </w:r>
          </w:p>
        </w:tc>
        <w:tc>
          <w:tcPr>
            <w:tcW w:w="1567" w:type="dxa"/>
            <w:vAlign w:val="center"/>
          </w:tcPr>
          <w:p>
            <w:pPr>
              <w:widowControl/>
              <w:autoSpaceDN w:val="0"/>
              <w:snapToGrid w:val="0"/>
              <w:jc w:val="center"/>
              <w:rPr>
                <w:color w:val="auto"/>
                <w:szCs w:val="21"/>
              </w:rPr>
            </w:pPr>
            <w:r>
              <w:rPr>
                <w:rFonts w:hint="eastAsia"/>
                <w:color w:val="auto"/>
                <w:szCs w:val="21"/>
              </w:rPr>
              <w:t>75.6</w:t>
            </w:r>
          </w:p>
        </w:tc>
        <w:tc>
          <w:tcPr>
            <w:tcW w:w="2307" w:type="dxa"/>
            <w:vAlign w:val="center"/>
          </w:tcPr>
          <w:p>
            <w:pPr>
              <w:widowControl/>
              <w:autoSpaceDN w:val="0"/>
              <w:snapToGrid w:val="0"/>
              <w:jc w:val="center"/>
              <w:rPr>
                <w:color w:val="auto"/>
                <w:szCs w:val="21"/>
              </w:rPr>
            </w:pPr>
            <w:r>
              <w:rPr>
                <w:rFonts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rFonts w:hAnsi="宋体"/>
                <w:color w:val="auto"/>
                <w:szCs w:val="21"/>
              </w:rPr>
              <w:t>总氰化物（</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≤50</w:t>
            </w:r>
          </w:p>
        </w:tc>
        <w:tc>
          <w:tcPr>
            <w:tcW w:w="1567" w:type="dxa"/>
            <w:vAlign w:val="center"/>
          </w:tcPr>
          <w:p>
            <w:pPr>
              <w:widowControl/>
              <w:autoSpaceDN w:val="0"/>
              <w:snapToGrid w:val="0"/>
              <w:jc w:val="center"/>
              <w:rPr>
                <w:color w:val="auto"/>
                <w:szCs w:val="21"/>
              </w:rPr>
            </w:pPr>
            <w:r>
              <w:rPr>
                <w:rFonts w:hint="eastAsia"/>
                <w:color w:val="auto"/>
                <w:szCs w:val="21"/>
              </w:rPr>
              <w:t>0.004</w:t>
            </w:r>
          </w:p>
        </w:tc>
        <w:tc>
          <w:tcPr>
            <w:tcW w:w="2307" w:type="dxa"/>
            <w:vAlign w:val="center"/>
          </w:tcPr>
          <w:p>
            <w:pPr>
              <w:widowControl/>
              <w:autoSpaceDN w:val="0"/>
              <w:snapToGrid w:val="0"/>
              <w:jc w:val="center"/>
              <w:rPr>
                <w:color w:val="auto"/>
                <w:szCs w:val="21"/>
              </w:rPr>
            </w:pPr>
            <w:r>
              <w:rPr>
                <w:rFonts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color w:val="auto"/>
                <w:szCs w:val="21"/>
              </w:rPr>
              <w:t>COD</w:t>
            </w:r>
            <w:r>
              <w:rPr>
                <w:rFonts w:hAnsi="宋体"/>
                <w:color w:val="auto"/>
                <w:szCs w:val="21"/>
              </w:rPr>
              <w:t>（</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≤300</w:t>
            </w:r>
          </w:p>
        </w:tc>
        <w:tc>
          <w:tcPr>
            <w:tcW w:w="1567" w:type="dxa"/>
            <w:vAlign w:val="center"/>
          </w:tcPr>
          <w:p>
            <w:pPr>
              <w:widowControl/>
              <w:autoSpaceDN w:val="0"/>
              <w:snapToGrid w:val="0"/>
              <w:jc w:val="center"/>
              <w:rPr>
                <w:color w:val="auto"/>
                <w:szCs w:val="21"/>
              </w:rPr>
            </w:pPr>
            <w:r>
              <w:rPr>
                <w:rFonts w:hint="eastAsia"/>
                <w:color w:val="auto"/>
                <w:szCs w:val="21"/>
              </w:rPr>
              <w:t>156</w:t>
            </w:r>
          </w:p>
        </w:tc>
        <w:tc>
          <w:tcPr>
            <w:tcW w:w="2307" w:type="dxa"/>
            <w:vAlign w:val="center"/>
          </w:tcPr>
          <w:p>
            <w:pPr>
              <w:widowControl/>
              <w:autoSpaceDN w:val="0"/>
              <w:snapToGrid w:val="0"/>
              <w:jc w:val="center"/>
              <w:rPr>
                <w:color w:val="auto"/>
                <w:szCs w:val="21"/>
              </w:rPr>
            </w:pPr>
            <w:r>
              <w:rPr>
                <w:rFonts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rFonts w:hAnsi="宋体"/>
                <w:color w:val="auto"/>
                <w:szCs w:val="21"/>
              </w:rPr>
              <w:t>氨氮（</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≤50</w:t>
            </w:r>
          </w:p>
        </w:tc>
        <w:tc>
          <w:tcPr>
            <w:tcW w:w="1567" w:type="dxa"/>
            <w:vAlign w:val="center"/>
          </w:tcPr>
          <w:p>
            <w:pPr>
              <w:widowControl/>
              <w:autoSpaceDN w:val="0"/>
              <w:snapToGrid w:val="0"/>
              <w:jc w:val="center"/>
              <w:rPr>
                <w:color w:val="auto"/>
                <w:szCs w:val="21"/>
              </w:rPr>
            </w:pPr>
            <w:r>
              <w:rPr>
                <w:rFonts w:hint="eastAsia"/>
                <w:color w:val="auto"/>
                <w:szCs w:val="21"/>
              </w:rPr>
              <w:t>16.9</w:t>
            </w:r>
          </w:p>
        </w:tc>
        <w:tc>
          <w:tcPr>
            <w:tcW w:w="2307" w:type="dxa"/>
            <w:vAlign w:val="center"/>
          </w:tcPr>
          <w:p>
            <w:pPr>
              <w:widowControl/>
              <w:autoSpaceDN w:val="0"/>
              <w:snapToGrid w:val="0"/>
              <w:jc w:val="center"/>
              <w:rPr>
                <w:color w:val="auto"/>
                <w:szCs w:val="21"/>
              </w:rPr>
            </w:pPr>
            <w:r>
              <w:rPr>
                <w:rFonts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64" w:type="dxa"/>
            <w:vAlign w:val="center"/>
          </w:tcPr>
          <w:p>
            <w:pPr>
              <w:widowControl/>
              <w:autoSpaceDN w:val="0"/>
              <w:snapToGrid w:val="0"/>
              <w:jc w:val="center"/>
              <w:rPr>
                <w:color w:val="auto"/>
                <w:szCs w:val="21"/>
              </w:rPr>
            </w:pPr>
            <w:r>
              <w:rPr>
                <w:color w:val="auto"/>
                <w:szCs w:val="21"/>
              </w:rPr>
              <w:t>SS</w:t>
            </w:r>
            <w:r>
              <w:rPr>
                <w:rFonts w:hAnsi="宋体"/>
                <w:color w:val="auto"/>
                <w:szCs w:val="21"/>
              </w:rPr>
              <w:t>（</w:t>
            </w:r>
            <w:r>
              <w:rPr>
                <w:color w:val="auto"/>
                <w:szCs w:val="21"/>
              </w:rPr>
              <w:t>mg/L</w:t>
            </w:r>
            <w:r>
              <w:rPr>
                <w:rFonts w:hAnsi="宋体"/>
                <w:color w:val="auto"/>
                <w:szCs w:val="21"/>
              </w:rPr>
              <w:t>）</w:t>
            </w:r>
          </w:p>
        </w:tc>
        <w:tc>
          <w:tcPr>
            <w:tcW w:w="2548" w:type="dxa"/>
            <w:vAlign w:val="center"/>
          </w:tcPr>
          <w:p>
            <w:pPr>
              <w:widowControl/>
              <w:autoSpaceDN w:val="0"/>
              <w:snapToGrid w:val="0"/>
              <w:jc w:val="center"/>
              <w:rPr>
                <w:color w:val="auto"/>
                <w:szCs w:val="21"/>
              </w:rPr>
            </w:pPr>
            <w:r>
              <w:rPr>
                <w:color w:val="auto"/>
                <w:szCs w:val="21"/>
              </w:rPr>
              <w:t>≤200</w:t>
            </w:r>
          </w:p>
        </w:tc>
        <w:tc>
          <w:tcPr>
            <w:tcW w:w="1567" w:type="dxa"/>
            <w:vAlign w:val="center"/>
          </w:tcPr>
          <w:p>
            <w:pPr>
              <w:widowControl/>
              <w:autoSpaceDN w:val="0"/>
              <w:snapToGrid w:val="0"/>
              <w:jc w:val="center"/>
              <w:rPr>
                <w:color w:val="auto"/>
                <w:szCs w:val="21"/>
              </w:rPr>
            </w:pPr>
            <w:r>
              <w:rPr>
                <w:rFonts w:hint="eastAsia"/>
                <w:color w:val="auto"/>
                <w:szCs w:val="21"/>
              </w:rPr>
              <w:t>200</w:t>
            </w:r>
          </w:p>
        </w:tc>
        <w:tc>
          <w:tcPr>
            <w:tcW w:w="2307" w:type="dxa"/>
            <w:vAlign w:val="center"/>
          </w:tcPr>
          <w:p>
            <w:pPr>
              <w:widowControl/>
              <w:autoSpaceDN w:val="0"/>
              <w:snapToGrid w:val="0"/>
              <w:jc w:val="center"/>
              <w:rPr>
                <w:color w:val="auto"/>
                <w:szCs w:val="21"/>
              </w:rPr>
            </w:pPr>
            <w:r>
              <w:rPr>
                <w:rFonts w:hAnsi="宋体"/>
                <w:color w:val="auto"/>
                <w:szCs w:val="21"/>
              </w:rPr>
              <w:t>符合</w:t>
            </w:r>
          </w:p>
        </w:tc>
      </w:tr>
    </w:tbl>
    <w:p>
      <w:pPr>
        <w:spacing w:line="360" w:lineRule="auto"/>
        <w:ind w:firstLine="480"/>
        <w:rPr>
          <w:color w:val="auto"/>
          <w:sz w:val="24"/>
        </w:rPr>
      </w:pPr>
      <w:r>
        <w:rPr>
          <w:rFonts w:hAnsi="宋体"/>
          <w:color w:val="auto"/>
          <w:sz w:val="24"/>
        </w:rPr>
        <w:t>根据表</w:t>
      </w:r>
      <w:r>
        <w:rPr>
          <w:rFonts w:hint="eastAsia"/>
          <w:color w:val="auto"/>
          <w:sz w:val="24"/>
        </w:rPr>
        <w:t>9</w:t>
      </w:r>
      <w:r>
        <w:rPr>
          <w:color w:val="auto"/>
          <w:sz w:val="24"/>
        </w:rPr>
        <w:t xml:space="preserve">.1-1 </w:t>
      </w:r>
      <w:r>
        <w:rPr>
          <w:rFonts w:hAnsi="宋体"/>
          <w:color w:val="auto"/>
          <w:sz w:val="24"/>
        </w:rPr>
        <w:t>可知，本项目排水水质符合集控中心污水处理站进水水质。综上所述，本项目生产废水在水质水量上均符合集控中心污水处理站进水水质要求，项目生产废水接管可行。</w:t>
      </w:r>
    </w:p>
    <w:p>
      <w:pPr>
        <w:spacing w:line="360" w:lineRule="auto"/>
        <w:ind w:firstLine="480"/>
        <w:rPr>
          <w:color w:val="auto"/>
          <w:sz w:val="24"/>
        </w:rPr>
      </w:pPr>
      <w:r>
        <w:rPr>
          <w:rFonts w:hAnsi="宋体"/>
          <w:color w:val="auto"/>
          <w:sz w:val="24"/>
        </w:rPr>
        <w:t>生活污水经化粪池处理后达到《污水综合排放标准》</w:t>
      </w:r>
      <w:r>
        <w:rPr>
          <w:rFonts w:hint="eastAsia" w:hAnsi="宋体"/>
          <w:color w:val="auto"/>
          <w:sz w:val="24"/>
          <w:lang w:eastAsia="zh-CN"/>
        </w:rPr>
        <w:t>（</w:t>
      </w:r>
      <w:r>
        <w:rPr>
          <w:color w:val="auto"/>
          <w:sz w:val="24"/>
        </w:rPr>
        <w:t>GB8978-96</w:t>
      </w:r>
      <w:r>
        <w:rPr>
          <w:rFonts w:hint="eastAsia" w:hAnsi="宋体"/>
          <w:color w:val="auto"/>
          <w:sz w:val="24"/>
          <w:lang w:eastAsia="zh-CN"/>
        </w:rPr>
        <w:t>）</w:t>
      </w:r>
      <w:r>
        <w:rPr>
          <w:rFonts w:hAnsi="宋体"/>
          <w:color w:val="auto"/>
          <w:sz w:val="24"/>
        </w:rPr>
        <w:t>表</w:t>
      </w:r>
      <w:r>
        <w:rPr>
          <w:color w:val="auto"/>
          <w:sz w:val="24"/>
        </w:rPr>
        <w:t>4</w:t>
      </w:r>
      <w:r>
        <w:rPr>
          <w:rFonts w:hAnsi="宋体"/>
          <w:color w:val="auto"/>
          <w:sz w:val="24"/>
        </w:rPr>
        <w:t>中三级标准排入市政管网，最终纳入工业园区污水处理厂处理。因此，项目污水处理工艺在技术上是可行的。</w:t>
      </w:r>
    </w:p>
    <w:p>
      <w:pPr>
        <w:snapToGrid w:val="0"/>
        <w:spacing w:line="360" w:lineRule="auto"/>
        <w:outlineLvl w:val="1"/>
        <w:rPr>
          <w:b/>
          <w:color w:val="auto"/>
          <w:sz w:val="28"/>
          <w:szCs w:val="28"/>
        </w:rPr>
      </w:pPr>
      <w:r>
        <w:rPr>
          <w:b/>
          <w:color w:val="auto"/>
          <w:sz w:val="28"/>
          <w:szCs w:val="28"/>
        </w:rPr>
        <w:t>9.2</w:t>
      </w:r>
      <w:r>
        <w:rPr>
          <w:rFonts w:hint="eastAsia"/>
          <w:b/>
          <w:color w:val="auto"/>
          <w:sz w:val="28"/>
          <w:szCs w:val="28"/>
        </w:rPr>
        <w:t>废气治理措施</w:t>
      </w:r>
    </w:p>
    <w:p>
      <w:pPr>
        <w:spacing w:line="360" w:lineRule="auto"/>
        <w:ind w:firstLine="482"/>
        <w:rPr>
          <w:color w:val="auto"/>
          <w:sz w:val="24"/>
          <w:szCs w:val="21"/>
        </w:rPr>
      </w:pPr>
      <w:r>
        <w:rPr>
          <w:rFonts w:hint="eastAsia"/>
          <w:color w:val="auto"/>
          <w:sz w:val="24"/>
          <w:szCs w:val="21"/>
        </w:rPr>
        <w:t>项目的各项废气污染物经处理后可实现达标排放，其污染防治措施可行。详见附录：大气环境影响专题评价。</w:t>
      </w:r>
    </w:p>
    <w:p>
      <w:pPr>
        <w:snapToGrid w:val="0"/>
        <w:spacing w:line="360" w:lineRule="auto"/>
        <w:outlineLvl w:val="1"/>
        <w:rPr>
          <w:b/>
          <w:color w:val="auto"/>
          <w:sz w:val="28"/>
          <w:szCs w:val="28"/>
        </w:rPr>
      </w:pPr>
      <w:r>
        <w:rPr>
          <w:b/>
          <w:color w:val="auto"/>
          <w:sz w:val="28"/>
          <w:szCs w:val="28"/>
        </w:rPr>
        <w:t>9.3</w:t>
      </w:r>
      <w:r>
        <w:rPr>
          <w:rFonts w:hint="eastAsia"/>
          <w:b/>
          <w:color w:val="auto"/>
          <w:sz w:val="28"/>
          <w:szCs w:val="28"/>
        </w:rPr>
        <w:t>噪声治理措施</w:t>
      </w:r>
    </w:p>
    <w:p>
      <w:pPr>
        <w:spacing w:line="360" w:lineRule="auto"/>
        <w:ind w:firstLine="480" w:firstLineChars="200"/>
        <w:rPr>
          <w:color w:val="auto"/>
          <w:sz w:val="24"/>
          <w:szCs w:val="21"/>
        </w:rPr>
      </w:pPr>
      <w:r>
        <w:rPr>
          <w:rFonts w:hint="eastAsia"/>
          <w:color w:val="auto"/>
          <w:sz w:val="24"/>
          <w:szCs w:val="21"/>
        </w:rPr>
        <w:t>为确保噪声达标排放，可采取以下措施：</w:t>
      </w:r>
    </w:p>
    <w:p>
      <w:pPr>
        <w:spacing w:line="360" w:lineRule="auto"/>
        <w:ind w:firstLine="480" w:firstLineChars="200"/>
        <w:rPr>
          <w:color w:val="auto"/>
          <w:sz w:val="24"/>
          <w:szCs w:val="21"/>
        </w:rPr>
      </w:pPr>
      <w:r>
        <w:rPr>
          <w:rFonts w:hint="eastAsia"/>
          <w:color w:val="auto"/>
          <w:sz w:val="24"/>
          <w:szCs w:val="21"/>
        </w:rPr>
        <w:t>（</w:t>
      </w:r>
      <w:r>
        <w:rPr>
          <w:color w:val="auto"/>
          <w:sz w:val="24"/>
          <w:szCs w:val="21"/>
        </w:rPr>
        <w:t>1</w:t>
      </w:r>
      <w:r>
        <w:rPr>
          <w:rFonts w:hint="eastAsia"/>
          <w:color w:val="auto"/>
          <w:sz w:val="24"/>
          <w:szCs w:val="21"/>
        </w:rPr>
        <w:t>）在设计上选用技术先进的低噪声设备和对噪声设备实施合理布设；</w:t>
      </w:r>
    </w:p>
    <w:p>
      <w:pPr>
        <w:spacing w:line="360" w:lineRule="auto"/>
        <w:ind w:firstLine="480" w:firstLineChars="200"/>
        <w:rPr>
          <w:color w:val="auto"/>
          <w:sz w:val="24"/>
          <w:szCs w:val="21"/>
        </w:rPr>
      </w:pPr>
      <w:r>
        <w:rPr>
          <w:rFonts w:hint="eastAsia"/>
          <w:color w:val="auto"/>
          <w:sz w:val="24"/>
          <w:szCs w:val="21"/>
        </w:rPr>
        <w:t>（</w:t>
      </w:r>
      <w:r>
        <w:rPr>
          <w:color w:val="auto"/>
          <w:sz w:val="24"/>
          <w:szCs w:val="21"/>
        </w:rPr>
        <w:t>2</w:t>
      </w:r>
      <w:r>
        <w:rPr>
          <w:rFonts w:hint="eastAsia"/>
          <w:color w:val="auto"/>
          <w:sz w:val="24"/>
          <w:szCs w:val="21"/>
        </w:rPr>
        <w:t>）风机安装防振底座，风机与管道连接处采用柔性连接，减少振动造成的噪声。</w:t>
      </w:r>
    </w:p>
    <w:p>
      <w:pPr>
        <w:spacing w:line="360" w:lineRule="auto"/>
        <w:ind w:firstLine="480" w:firstLineChars="200"/>
        <w:rPr>
          <w:color w:val="auto"/>
          <w:sz w:val="24"/>
          <w:szCs w:val="21"/>
        </w:rPr>
      </w:pPr>
      <w:r>
        <w:rPr>
          <w:rFonts w:hint="eastAsia"/>
          <w:color w:val="auto"/>
          <w:sz w:val="24"/>
          <w:szCs w:val="21"/>
        </w:rPr>
        <w:t>（</w:t>
      </w:r>
      <w:r>
        <w:rPr>
          <w:color w:val="auto"/>
          <w:sz w:val="24"/>
          <w:szCs w:val="21"/>
        </w:rPr>
        <w:t>3</w:t>
      </w:r>
      <w:r>
        <w:rPr>
          <w:rFonts w:hint="eastAsia"/>
          <w:color w:val="auto"/>
          <w:sz w:val="24"/>
          <w:szCs w:val="21"/>
        </w:rPr>
        <w:t>）加强设备的使用和日常维护管理，维持设备处于良好的运转状态，避免因设备运转不正常时噪声的增高。</w:t>
      </w:r>
    </w:p>
    <w:p>
      <w:pPr>
        <w:snapToGrid w:val="0"/>
        <w:spacing w:line="360" w:lineRule="auto"/>
        <w:outlineLvl w:val="1"/>
        <w:rPr>
          <w:b/>
          <w:color w:val="auto"/>
          <w:sz w:val="28"/>
          <w:szCs w:val="28"/>
        </w:rPr>
      </w:pPr>
      <w:r>
        <w:rPr>
          <w:b/>
          <w:color w:val="auto"/>
          <w:sz w:val="28"/>
          <w:szCs w:val="28"/>
        </w:rPr>
        <w:t>9.4</w:t>
      </w:r>
      <w:r>
        <w:rPr>
          <w:rFonts w:hint="eastAsia"/>
          <w:b/>
          <w:color w:val="auto"/>
          <w:sz w:val="28"/>
          <w:szCs w:val="28"/>
        </w:rPr>
        <w:t>固体废物治理措施</w:t>
      </w:r>
    </w:p>
    <w:p>
      <w:pPr>
        <w:spacing w:line="360" w:lineRule="auto"/>
        <w:outlineLvl w:val="2"/>
        <w:rPr>
          <w:b/>
          <w:color w:val="auto"/>
          <w:sz w:val="24"/>
        </w:rPr>
      </w:pPr>
      <w:r>
        <w:rPr>
          <w:rFonts w:hint="eastAsia"/>
          <w:b/>
          <w:color w:val="auto"/>
          <w:sz w:val="24"/>
        </w:rPr>
        <w:t>9</w:t>
      </w:r>
      <w:r>
        <w:rPr>
          <w:b/>
          <w:color w:val="auto"/>
          <w:sz w:val="24"/>
        </w:rPr>
        <w:t>.4.1</w:t>
      </w:r>
      <w:r>
        <w:rPr>
          <w:rFonts w:hint="eastAsia"/>
          <w:b/>
          <w:color w:val="auto"/>
          <w:sz w:val="24"/>
        </w:rPr>
        <w:t>固废的处置措施</w:t>
      </w:r>
    </w:p>
    <w:p>
      <w:pPr>
        <w:spacing w:line="360" w:lineRule="auto"/>
        <w:ind w:firstLine="480" w:firstLineChars="200"/>
        <w:rPr>
          <w:color w:val="auto"/>
          <w:sz w:val="24"/>
        </w:rPr>
      </w:pPr>
      <w:r>
        <w:rPr>
          <w:rFonts w:hint="eastAsia"/>
          <w:color w:val="auto"/>
          <w:sz w:val="24"/>
        </w:rPr>
        <w:t>固体废物的收集方式强调采用分类收集，即各种垃圾按不同性质，分别收集处置。</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）生活垃圾处置措施分析</w:t>
      </w:r>
    </w:p>
    <w:p>
      <w:pPr>
        <w:spacing w:line="360" w:lineRule="auto"/>
        <w:ind w:firstLine="480" w:firstLineChars="200"/>
        <w:rPr>
          <w:color w:val="auto"/>
          <w:sz w:val="24"/>
        </w:rPr>
      </w:pPr>
      <w:r>
        <w:rPr>
          <w:rFonts w:hint="eastAsia"/>
          <w:color w:val="auto"/>
          <w:sz w:val="24"/>
        </w:rPr>
        <w:t>生活垃圾极易腐败发臭，必须定点收集，及时清运或处理。可在厂区生产区和办公生活区设置一些垃圾收集桶。厂区应配备专职的清洁人员和必要的工具，负责清扫厂区，维持清洁卫生，外运处置可委托环卫部门处理。</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）危险废物处理措施分析</w:t>
      </w:r>
    </w:p>
    <w:p>
      <w:pPr>
        <w:spacing w:line="360" w:lineRule="auto"/>
        <w:ind w:firstLine="480" w:firstLineChars="200"/>
        <w:rPr>
          <w:color w:val="auto"/>
          <w:sz w:val="24"/>
          <w:szCs w:val="21"/>
        </w:rPr>
      </w:pPr>
      <w:r>
        <w:rPr>
          <w:rFonts w:hint="eastAsia"/>
          <w:color w:val="auto"/>
          <w:sz w:val="24"/>
          <w:szCs w:val="21"/>
        </w:rPr>
        <w:t>项目产生的固废主要为废老化液、</w:t>
      </w:r>
      <w:r>
        <w:rPr>
          <w:rFonts w:hint="eastAsia"/>
          <w:color w:val="auto"/>
          <w:sz w:val="24"/>
          <w:szCs w:val="21"/>
          <w:lang w:eastAsia="zh-CN"/>
        </w:rPr>
        <w:t>废槽渣、</w:t>
      </w:r>
      <w:r>
        <w:rPr>
          <w:rFonts w:hint="eastAsia"/>
          <w:color w:val="auto"/>
          <w:sz w:val="24"/>
          <w:szCs w:val="21"/>
        </w:rPr>
        <w:t>废包装材料、废过滤芯</w:t>
      </w:r>
      <w:r>
        <w:rPr>
          <w:rFonts w:hint="eastAsia"/>
          <w:color w:val="auto"/>
          <w:sz w:val="24"/>
          <w:szCs w:val="21"/>
          <w:lang w:eastAsia="zh-CN"/>
        </w:rPr>
        <w:t>等</w:t>
      </w:r>
      <w:r>
        <w:rPr>
          <w:rFonts w:hint="eastAsia"/>
          <w:color w:val="auto"/>
          <w:sz w:val="24"/>
          <w:szCs w:val="21"/>
        </w:rPr>
        <w:t>。</w:t>
      </w:r>
    </w:p>
    <w:p>
      <w:pPr>
        <w:pStyle w:val="91"/>
        <w:rPr>
          <w:rFonts w:hAnsi="Times New Roman"/>
          <w:color w:val="auto"/>
        </w:rPr>
      </w:pPr>
      <w:r>
        <w:rPr>
          <w:rFonts w:hint="eastAsia" w:hAnsi="Times New Roman"/>
          <w:color w:val="auto"/>
          <w:szCs w:val="21"/>
        </w:rPr>
        <w:t>废老化液、</w:t>
      </w:r>
      <w:r>
        <w:rPr>
          <w:rFonts w:hint="eastAsia"/>
          <w:color w:val="auto"/>
          <w:sz w:val="24"/>
          <w:szCs w:val="21"/>
          <w:lang w:eastAsia="zh-CN"/>
        </w:rPr>
        <w:t>废槽渣、</w:t>
      </w:r>
      <w:r>
        <w:rPr>
          <w:rFonts w:hint="eastAsia" w:hAnsi="Times New Roman"/>
          <w:color w:val="auto"/>
          <w:szCs w:val="21"/>
        </w:rPr>
        <w:t>废过滤芯</w:t>
      </w:r>
      <w:r>
        <w:rPr>
          <w:rFonts w:hint="eastAsia" w:hAnsi="Times New Roman"/>
          <w:color w:val="auto"/>
          <w:szCs w:val="21"/>
          <w:lang w:eastAsia="zh-CN"/>
        </w:rPr>
        <w:t>等</w:t>
      </w:r>
      <w:r>
        <w:rPr>
          <w:rFonts w:hint="eastAsia" w:hAnsi="Times New Roman"/>
          <w:color w:val="auto"/>
          <w:szCs w:val="21"/>
        </w:rPr>
        <w:t>属于危废，经收集后暂存于集控中心危废暂存间由集控中心统一委托有资质单位收集处置；</w:t>
      </w:r>
      <w:r>
        <w:rPr>
          <w:rFonts w:hint="eastAsia" w:hAnsi="Times New Roman"/>
          <w:color w:val="auto"/>
        </w:rPr>
        <w:t>废包装材料（废包装桶）等具备原始用途的定期由厂家回收。</w:t>
      </w:r>
    </w:p>
    <w:p>
      <w:pPr>
        <w:spacing w:line="360" w:lineRule="auto"/>
        <w:outlineLvl w:val="2"/>
        <w:rPr>
          <w:b/>
          <w:color w:val="auto"/>
          <w:sz w:val="24"/>
        </w:rPr>
      </w:pPr>
      <w:r>
        <w:rPr>
          <w:rFonts w:hint="eastAsia"/>
          <w:b/>
          <w:color w:val="auto"/>
          <w:sz w:val="24"/>
        </w:rPr>
        <w:t>9</w:t>
      </w:r>
      <w:r>
        <w:rPr>
          <w:b/>
          <w:color w:val="auto"/>
          <w:sz w:val="24"/>
        </w:rPr>
        <w:t>.4.2</w:t>
      </w:r>
      <w:r>
        <w:rPr>
          <w:rFonts w:hint="eastAsia"/>
          <w:b/>
          <w:color w:val="auto"/>
          <w:sz w:val="24"/>
        </w:rPr>
        <w:t>危险废物收集污染防治措施分析</w:t>
      </w:r>
    </w:p>
    <w:p>
      <w:pPr>
        <w:pStyle w:val="79"/>
        <w:ind w:firstLine="480"/>
        <w:rPr>
          <w:rFonts w:cs="Times New Roman"/>
          <w:color w:val="auto"/>
        </w:rPr>
      </w:pPr>
      <w:r>
        <w:rPr>
          <w:rFonts w:cs="Times New Roman"/>
          <w:color w:val="auto"/>
        </w:rPr>
        <w:t>根据《危废收集、贮存、运输控制技术规范》（HJ2025-2012）第5条的规定做好危废的收集工作。</w:t>
      </w:r>
    </w:p>
    <w:p>
      <w:pPr>
        <w:pStyle w:val="79"/>
        <w:ind w:firstLine="480"/>
        <w:rPr>
          <w:rFonts w:cs="Times New Roman"/>
          <w:color w:val="auto"/>
        </w:rPr>
      </w:pPr>
      <w:r>
        <w:rPr>
          <w:rFonts w:cs="Times New Roman"/>
          <w:color w:val="auto"/>
        </w:rPr>
        <w:t>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79"/>
        <w:ind w:firstLine="480"/>
        <w:rPr>
          <w:rFonts w:cs="Times New Roman"/>
          <w:color w:val="auto"/>
        </w:rPr>
      </w:pPr>
      <w:r>
        <w:rPr>
          <w:rFonts w:cs="Times New Roman"/>
          <w:color w:val="auto"/>
        </w:rPr>
        <w:t>危险废物收集作业应满足如下要求：</w:t>
      </w:r>
    </w:p>
    <w:p>
      <w:pPr>
        <w:pStyle w:val="79"/>
        <w:ind w:firstLine="480"/>
        <w:rPr>
          <w:rFonts w:cs="Times New Roman"/>
          <w:color w:val="auto"/>
        </w:rPr>
      </w:pPr>
      <w:r>
        <w:rPr>
          <w:rFonts w:cs="Times New Roman"/>
          <w:color w:val="auto"/>
        </w:rPr>
        <w:t>（1）应根据收集设备以及现场人员等实际情况确定相应的作业区域，同时要设置作业界限标志和警示牌。</w:t>
      </w:r>
    </w:p>
    <w:p>
      <w:pPr>
        <w:pStyle w:val="79"/>
        <w:ind w:firstLine="480"/>
        <w:rPr>
          <w:rFonts w:cs="Times New Roman"/>
          <w:color w:val="auto"/>
        </w:rPr>
      </w:pPr>
      <w:r>
        <w:rPr>
          <w:rFonts w:cs="Times New Roman"/>
          <w:color w:val="auto"/>
        </w:rPr>
        <w:t>（2）作业区域内应设置危险废物收集专用通道和人员避险通道。</w:t>
      </w:r>
    </w:p>
    <w:p>
      <w:pPr>
        <w:pStyle w:val="79"/>
        <w:ind w:firstLine="480"/>
        <w:rPr>
          <w:rFonts w:cs="Times New Roman"/>
          <w:color w:val="auto"/>
        </w:rPr>
      </w:pPr>
      <w:r>
        <w:rPr>
          <w:rFonts w:cs="Times New Roman"/>
          <w:color w:val="auto"/>
        </w:rPr>
        <w:t>（3）收集时应配备必要的收集工具和包装物，以及必要的应急监测设备及应急装备。</w:t>
      </w:r>
    </w:p>
    <w:p>
      <w:pPr>
        <w:pStyle w:val="79"/>
        <w:ind w:firstLine="480"/>
        <w:rPr>
          <w:rFonts w:cs="Times New Roman"/>
          <w:color w:val="auto"/>
        </w:rPr>
      </w:pPr>
      <w:r>
        <w:rPr>
          <w:rFonts w:cs="Times New Roman"/>
          <w:color w:val="auto"/>
        </w:rPr>
        <w:t>（4）危险废物收集应参照HJ2025-2012附录A填写记录表，并将记录表作为危废管理的重要档案妥善保存。</w:t>
      </w:r>
    </w:p>
    <w:p>
      <w:pPr>
        <w:pStyle w:val="79"/>
        <w:ind w:firstLine="480"/>
        <w:rPr>
          <w:rFonts w:cs="Times New Roman"/>
          <w:color w:val="auto"/>
        </w:rPr>
      </w:pPr>
      <w:r>
        <w:rPr>
          <w:rFonts w:cs="Times New Roman"/>
          <w:color w:val="auto"/>
        </w:rPr>
        <w:t>（5）收集结束后应清理和恢复收集作业区域，确保作业区域环境整洁安全。</w:t>
      </w:r>
    </w:p>
    <w:p>
      <w:pPr>
        <w:pStyle w:val="79"/>
        <w:ind w:firstLine="480"/>
        <w:rPr>
          <w:rFonts w:cs="Times New Roman"/>
          <w:color w:val="auto"/>
        </w:rPr>
      </w:pPr>
      <w:r>
        <w:rPr>
          <w:rFonts w:cs="Times New Roman"/>
          <w:color w:val="auto"/>
        </w:rPr>
        <w:t>（6）收集过危险废物的容器、设备、设施、场所及其他物品转作它用时，应消除污染，确保其使用安全。</w:t>
      </w:r>
    </w:p>
    <w:p>
      <w:pPr>
        <w:pStyle w:val="79"/>
        <w:ind w:firstLine="480"/>
        <w:rPr>
          <w:rFonts w:cs="Times New Roman"/>
          <w:color w:val="auto"/>
        </w:rPr>
      </w:pPr>
      <w:r>
        <w:rPr>
          <w:rFonts w:cs="Times New Roman"/>
          <w:color w:val="auto"/>
        </w:rPr>
        <w:t>危险废物内部转运作业应满足如下要求：</w:t>
      </w:r>
    </w:p>
    <w:p>
      <w:pPr>
        <w:pStyle w:val="79"/>
        <w:ind w:firstLine="480"/>
        <w:rPr>
          <w:rFonts w:cs="Times New Roman"/>
          <w:color w:val="auto"/>
        </w:rPr>
      </w:pPr>
      <w:r>
        <w:rPr>
          <w:rFonts w:cs="Times New Roman"/>
          <w:color w:val="auto"/>
        </w:rPr>
        <w:t>（1）危险废物内部转运应综合考虑厂区的实际情况确定转运路线，尽量避开办公区。</w:t>
      </w:r>
    </w:p>
    <w:p>
      <w:pPr>
        <w:pStyle w:val="79"/>
        <w:ind w:firstLine="480"/>
        <w:rPr>
          <w:rFonts w:hint="eastAsia" w:eastAsia="宋体" w:cs="Times New Roman"/>
          <w:color w:val="auto"/>
          <w:lang w:eastAsia="zh-CN"/>
        </w:rPr>
      </w:pPr>
      <w:r>
        <w:rPr>
          <w:rFonts w:cs="Times New Roman"/>
          <w:color w:val="auto"/>
        </w:rPr>
        <w:t>（2）危险废物内部转运作业应采用专用的工具，危险废物内部转运应参照HJ2025-2012附录B填写《危险废物厂内转运记录表》</w:t>
      </w:r>
      <w:r>
        <w:rPr>
          <w:rFonts w:hint="eastAsia" w:cs="Times New Roman"/>
          <w:color w:val="auto"/>
          <w:lang w:eastAsia="zh-CN"/>
        </w:rPr>
        <w:t>。</w:t>
      </w:r>
    </w:p>
    <w:p>
      <w:pPr>
        <w:pStyle w:val="79"/>
        <w:ind w:firstLine="480"/>
        <w:rPr>
          <w:rFonts w:cs="Times New Roman"/>
          <w:color w:val="auto"/>
        </w:rPr>
      </w:pPr>
      <w:r>
        <w:rPr>
          <w:rFonts w:cs="Times New Roman"/>
          <w:color w:val="auto"/>
        </w:rPr>
        <w:t>（3）危险废物内部转运结束后，应对转运路线进行检查和清理，确保无危险废物遗失在转运路线上，并对转运工具时行清洗。</w:t>
      </w:r>
    </w:p>
    <w:p>
      <w:pPr>
        <w:spacing w:line="360" w:lineRule="auto"/>
        <w:outlineLvl w:val="2"/>
        <w:rPr>
          <w:b/>
          <w:color w:val="auto"/>
          <w:sz w:val="24"/>
        </w:rPr>
      </w:pPr>
      <w:r>
        <w:rPr>
          <w:rFonts w:hint="eastAsia"/>
          <w:b/>
          <w:color w:val="auto"/>
          <w:sz w:val="24"/>
        </w:rPr>
        <w:t>9</w:t>
      </w:r>
      <w:r>
        <w:rPr>
          <w:b/>
          <w:color w:val="auto"/>
          <w:sz w:val="24"/>
        </w:rPr>
        <w:t>.</w:t>
      </w:r>
      <w:r>
        <w:rPr>
          <w:rFonts w:hint="eastAsia"/>
          <w:b/>
          <w:color w:val="auto"/>
          <w:sz w:val="24"/>
        </w:rPr>
        <w:t>4</w:t>
      </w:r>
      <w:r>
        <w:rPr>
          <w:b/>
          <w:color w:val="auto"/>
          <w:sz w:val="24"/>
        </w:rPr>
        <w:t>.</w:t>
      </w:r>
      <w:r>
        <w:rPr>
          <w:rFonts w:hint="eastAsia"/>
          <w:b/>
          <w:color w:val="auto"/>
          <w:sz w:val="24"/>
        </w:rPr>
        <w:t>3</w:t>
      </w:r>
      <w:r>
        <w:rPr>
          <w:b/>
          <w:color w:val="auto"/>
          <w:sz w:val="24"/>
        </w:rPr>
        <w:t>危险废物贮存措施防治措施分析</w:t>
      </w:r>
    </w:p>
    <w:p>
      <w:pPr>
        <w:spacing w:line="360" w:lineRule="auto"/>
        <w:ind w:firstLine="480" w:firstLineChars="200"/>
        <w:rPr>
          <w:color w:val="auto"/>
          <w:sz w:val="24"/>
        </w:rPr>
      </w:pPr>
      <w:r>
        <w:rPr>
          <w:rFonts w:hint="eastAsia"/>
          <w:color w:val="auto"/>
          <w:sz w:val="24"/>
        </w:rPr>
        <w:t>本项目产生的危险废物依托集控中心统一管理。集控中心入驻企业危废仓库现场照片见图9</w:t>
      </w:r>
      <w:r>
        <w:rPr>
          <w:color w:val="auto"/>
          <w:sz w:val="24"/>
        </w:rPr>
        <w:t>.</w:t>
      </w:r>
      <w:r>
        <w:rPr>
          <w:rFonts w:hint="eastAsia"/>
          <w:color w:val="auto"/>
          <w:sz w:val="24"/>
        </w:rPr>
        <w:t>4-1。</w:t>
      </w:r>
    </w:p>
    <w:p>
      <w:pPr>
        <w:spacing w:line="360" w:lineRule="auto"/>
        <w:ind w:firstLine="480" w:firstLineChars="200"/>
        <w:rPr>
          <w:color w:val="auto"/>
          <w:sz w:val="24"/>
        </w:rPr>
      </w:pPr>
      <w:r>
        <w:rPr>
          <w:color w:val="auto"/>
          <w:sz w:val="24"/>
        </w:rPr>
        <w:drawing>
          <wp:inline distT="0" distB="0" distL="0" distR="0">
            <wp:extent cx="5154295" cy="3855720"/>
            <wp:effectExtent l="19050" t="0" r="8255" b="0"/>
            <wp:docPr id="42" name="图片 1" descr="入驻企业危废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入驻企业危废库.JPG"/>
                    <pic:cNvPicPr>
                      <a:picLocks noChangeAspect="1" noChangeArrowheads="1"/>
                    </pic:cNvPicPr>
                  </pic:nvPicPr>
                  <pic:blipFill>
                    <a:blip r:embed="rId50" cstate="print"/>
                    <a:srcRect/>
                    <a:stretch>
                      <a:fillRect/>
                    </a:stretch>
                  </pic:blipFill>
                  <pic:spPr>
                    <a:xfrm>
                      <a:off x="0" y="0"/>
                      <a:ext cx="5154295" cy="3855720"/>
                    </a:xfrm>
                    <a:prstGeom prst="rect">
                      <a:avLst/>
                    </a:prstGeom>
                    <a:noFill/>
                    <a:ln w="9525">
                      <a:noFill/>
                      <a:miter lim="800000"/>
                      <a:headEnd/>
                      <a:tailEnd/>
                    </a:ln>
                  </pic:spPr>
                </pic:pic>
              </a:graphicData>
            </a:graphic>
          </wp:inline>
        </w:drawing>
      </w:r>
    </w:p>
    <w:p>
      <w:pPr>
        <w:spacing w:line="360" w:lineRule="auto"/>
        <w:ind w:firstLine="482" w:firstLineChars="200"/>
        <w:jc w:val="center"/>
        <w:rPr>
          <w:b/>
          <w:color w:val="auto"/>
          <w:sz w:val="24"/>
        </w:rPr>
      </w:pPr>
      <w:r>
        <w:rPr>
          <w:rFonts w:hint="eastAsia"/>
          <w:b/>
          <w:color w:val="auto"/>
          <w:sz w:val="24"/>
        </w:rPr>
        <w:t>图9.4-1</w:t>
      </w:r>
      <w:r>
        <w:rPr>
          <w:b/>
          <w:color w:val="auto"/>
          <w:sz w:val="24"/>
        </w:rPr>
        <w:t xml:space="preserve">  </w:t>
      </w:r>
      <w:r>
        <w:rPr>
          <w:rFonts w:hint="eastAsia"/>
          <w:b/>
          <w:color w:val="auto"/>
          <w:sz w:val="24"/>
        </w:rPr>
        <w:t>集控中心入驻企业危废库照片</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）贮放场所要求</w:t>
      </w:r>
    </w:p>
    <w:p>
      <w:pPr>
        <w:pStyle w:val="42"/>
        <w:rPr>
          <w:rFonts w:hAnsi="Times New Roman"/>
          <w:color w:val="auto"/>
          <w:lang w:eastAsia="zh-CN"/>
        </w:rPr>
      </w:pPr>
      <w:r>
        <w:rPr>
          <w:color w:val="auto"/>
          <w:lang w:eastAsia="zh-CN"/>
        </w:rPr>
        <w:t>在</w:t>
      </w:r>
      <w:r>
        <w:rPr>
          <w:rFonts w:hint="eastAsia"/>
          <w:color w:val="auto"/>
          <w:lang w:eastAsia="zh-CN"/>
        </w:rPr>
        <w:t>集控中心已建</w:t>
      </w:r>
      <w:r>
        <w:rPr>
          <w:rFonts w:hAnsi="Times New Roman"/>
          <w:color w:val="auto"/>
          <w:lang w:eastAsia="zh-CN"/>
        </w:rPr>
        <w:t>150m</w:t>
      </w:r>
      <w:r>
        <w:rPr>
          <w:rFonts w:hAnsi="Times New Roman"/>
          <w:color w:val="auto"/>
          <w:vertAlign w:val="superscript"/>
          <w:lang w:eastAsia="zh-CN"/>
        </w:rPr>
        <w:t>2</w:t>
      </w:r>
      <w:r>
        <w:rPr>
          <w:color w:val="auto"/>
          <w:lang w:eastAsia="zh-CN"/>
        </w:rPr>
        <w:t>的危险废物暂存间，危险固废暂存间已按照《危险废物贮存污染控制标准》进行防渗设计与建设。危险废物暂存场所有耐腐蚀的硬化地面，且表面无裂痕。设施底部必须高于地下水最高水位。暂存场所应设计堵截泄漏的裙脚。危险废物暂存场所满足防风、防雨、防晒，并设立明显的危险废物识别标志。设置了隔离设施。</w:t>
      </w:r>
    </w:p>
    <w:p>
      <w:pPr>
        <w:spacing w:line="360" w:lineRule="auto"/>
        <w:ind w:firstLine="480" w:firstLineChars="200"/>
        <w:rPr>
          <w:color w:val="auto"/>
          <w:sz w:val="24"/>
        </w:rPr>
      </w:pPr>
      <w:r>
        <w:rPr>
          <w:color w:val="auto"/>
          <w:sz w:val="24"/>
        </w:rPr>
        <w:t>（2）危废贮放容器要求</w:t>
      </w:r>
    </w:p>
    <w:p>
      <w:pPr>
        <w:spacing w:line="360" w:lineRule="auto"/>
        <w:ind w:firstLine="480" w:firstLineChars="200"/>
        <w:rPr>
          <w:color w:val="auto"/>
          <w:sz w:val="24"/>
        </w:rPr>
      </w:pPr>
      <w:r>
        <w:rPr>
          <w:rFonts w:hAnsi="宋体"/>
          <w:color w:val="auto"/>
          <w:sz w:val="24"/>
        </w:rPr>
        <w:t>①</w:t>
      </w:r>
      <w:r>
        <w:rPr>
          <w:color w:val="auto"/>
          <w:sz w:val="24"/>
        </w:rPr>
        <w:t>应使用符合标准的容器盛装危险废物，容器及其材质应满足相应的强度要求。液</w:t>
      </w:r>
      <w:r>
        <w:rPr>
          <w:rFonts w:hint="eastAsia"/>
          <w:color w:val="auto"/>
          <w:sz w:val="24"/>
        </w:rPr>
        <w:t>体危险废物可注入开孔直径不超过</w:t>
      </w:r>
      <w:r>
        <w:rPr>
          <w:color w:val="auto"/>
          <w:sz w:val="24"/>
        </w:rPr>
        <w:t>70mm</w:t>
      </w:r>
      <w:r>
        <w:rPr>
          <w:rFonts w:hint="eastAsia"/>
          <w:color w:val="auto"/>
          <w:sz w:val="24"/>
        </w:rPr>
        <w:t>并有放气孔的桶中；</w:t>
      </w:r>
    </w:p>
    <w:p>
      <w:pPr>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装载危险废物的容器，其材质和衬里要与危险废物相容，并且保留足够的空间，本项目危险废物贮存容器采用高密度聚乙烯桶。</w:t>
      </w:r>
    </w:p>
    <w:p>
      <w:pPr>
        <w:spacing w:line="360" w:lineRule="auto"/>
        <w:ind w:firstLine="480" w:firstLineChars="200"/>
        <w:rPr>
          <w:color w:val="auto"/>
          <w:sz w:val="24"/>
        </w:rPr>
      </w:pPr>
      <w:r>
        <w:rPr>
          <w:rFonts w:hint="eastAsia" w:ascii="宋体" w:hAnsi="宋体" w:cs="宋体"/>
          <w:color w:val="auto"/>
          <w:sz w:val="24"/>
        </w:rPr>
        <w:t>③</w:t>
      </w:r>
      <w:r>
        <w:rPr>
          <w:rFonts w:hint="eastAsia"/>
          <w:color w:val="auto"/>
          <w:sz w:val="24"/>
        </w:rPr>
        <w:t>容器表面必须粘贴符合标准的标签（见《危险废物贮存污染控制标准》（</w:t>
      </w:r>
      <w:r>
        <w:rPr>
          <w:color w:val="auto"/>
          <w:sz w:val="24"/>
        </w:rPr>
        <w:t>GB18597-2001</w:t>
      </w:r>
      <w:r>
        <w:rPr>
          <w:rFonts w:hint="eastAsia"/>
          <w:color w:val="auto"/>
          <w:sz w:val="24"/>
        </w:rPr>
        <w:t>）附录</w:t>
      </w:r>
      <w:r>
        <w:rPr>
          <w:color w:val="auto"/>
          <w:sz w:val="24"/>
        </w:rPr>
        <w:t>A</w:t>
      </w:r>
      <w:r>
        <w:rPr>
          <w:rFonts w:hint="eastAsia"/>
          <w:color w:val="auto"/>
          <w:sz w:val="24"/>
        </w:rPr>
        <w:t>）；</w:t>
      </w:r>
    </w:p>
    <w:p>
      <w:pPr>
        <w:spacing w:line="360" w:lineRule="auto"/>
        <w:ind w:firstLine="480" w:firstLineChars="200"/>
        <w:rPr>
          <w:color w:val="auto"/>
          <w:sz w:val="24"/>
        </w:rPr>
      </w:pPr>
      <w:r>
        <w:rPr>
          <w:rFonts w:hint="eastAsia" w:ascii="宋体" w:hAnsi="宋体" w:cs="宋体"/>
          <w:color w:val="auto"/>
          <w:sz w:val="24"/>
        </w:rPr>
        <w:t>④</w:t>
      </w:r>
      <w:r>
        <w:rPr>
          <w:rFonts w:hint="eastAsia"/>
          <w:color w:val="auto"/>
          <w:sz w:val="24"/>
        </w:rPr>
        <w:t>危险废物标签应标明以下信息：主要化学成分或危险废物名称、数量、物理形态、危险类别、安全措施以及危废产生单位名称、地址、联系人及电话。</w:t>
      </w:r>
    </w:p>
    <w:p>
      <w:pPr>
        <w:spacing w:line="360" w:lineRule="auto"/>
        <w:outlineLvl w:val="2"/>
        <w:rPr>
          <w:b/>
          <w:color w:val="auto"/>
          <w:sz w:val="24"/>
        </w:rPr>
      </w:pPr>
      <w:r>
        <w:rPr>
          <w:rFonts w:hint="eastAsia"/>
          <w:b/>
          <w:color w:val="auto"/>
          <w:sz w:val="24"/>
        </w:rPr>
        <w:t>9</w:t>
      </w:r>
      <w:r>
        <w:rPr>
          <w:b/>
          <w:color w:val="auto"/>
          <w:sz w:val="24"/>
        </w:rPr>
        <w:t>.</w:t>
      </w:r>
      <w:r>
        <w:rPr>
          <w:rFonts w:hint="eastAsia"/>
          <w:b/>
          <w:color w:val="auto"/>
          <w:sz w:val="24"/>
        </w:rPr>
        <w:t>4.4危废管理措施</w:t>
      </w:r>
    </w:p>
    <w:p>
      <w:pPr>
        <w:spacing w:line="360" w:lineRule="auto"/>
        <w:ind w:firstLine="480" w:firstLineChars="200"/>
        <w:rPr>
          <w:color w:val="auto"/>
          <w:sz w:val="24"/>
        </w:rPr>
      </w:pPr>
      <w:r>
        <w:rPr>
          <w:rFonts w:hint="eastAsia"/>
          <w:color w:val="auto"/>
          <w:sz w:val="24"/>
        </w:rPr>
        <w:t>由专门人员负责危废的日常收集和管理，对任何进出临时贮存场所的危废都要记录在案，做好台账；</w:t>
      </w:r>
    </w:p>
    <w:p>
      <w:pPr>
        <w:spacing w:line="360" w:lineRule="auto"/>
        <w:ind w:firstLine="480" w:firstLineChars="200"/>
        <w:rPr>
          <w:color w:val="auto"/>
          <w:sz w:val="24"/>
        </w:rPr>
      </w:pPr>
      <w:r>
        <w:rPr>
          <w:rFonts w:hint="eastAsia"/>
          <w:color w:val="auto"/>
          <w:sz w:val="24"/>
        </w:rPr>
        <w:t>危废临时贮存场所周围要设置防护栅栏，并设置警示标志。贮存所内配备通讯设备、照明设备、安全防护服装及工具，并有应急防护措施；</w:t>
      </w:r>
    </w:p>
    <w:p>
      <w:pPr>
        <w:spacing w:line="360" w:lineRule="auto"/>
        <w:ind w:firstLine="480" w:firstLineChars="200"/>
        <w:rPr>
          <w:color w:val="auto"/>
          <w:sz w:val="24"/>
        </w:rPr>
      </w:pPr>
      <w:r>
        <w:rPr>
          <w:rFonts w:hint="eastAsia"/>
          <w:color w:val="auto"/>
          <w:sz w:val="24"/>
        </w:rPr>
        <w:t>危险废物的贮存和转运应严格按照《危险废物贮存污染控制标准》（</w:t>
      </w:r>
      <w:r>
        <w:rPr>
          <w:color w:val="auto"/>
          <w:sz w:val="24"/>
        </w:rPr>
        <w:t>GB18597-2001</w:t>
      </w:r>
      <w:r>
        <w:rPr>
          <w:rFonts w:hint="eastAsia"/>
          <w:color w:val="auto"/>
          <w:sz w:val="24"/>
        </w:rPr>
        <w:t>）和《危险废物转移联单管理办法》要求执行。建设单位应强化废物产生、收集、贮放各环节的管理，各种固废按照类别分类存放，杜绝固废在厂区内散失、渗漏，达到无害化的目的，避免产生二次污染。</w:t>
      </w:r>
    </w:p>
    <w:p>
      <w:pPr>
        <w:widowControl/>
        <w:autoSpaceDE w:val="0"/>
        <w:autoSpaceDN w:val="0"/>
        <w:spacing w:line="360" w:lineRule="auto"/>
        <w:ind w:firstLine="480" w:firstLineChars="200"/>
        <w:textAlignment w:val="bottom"/>
        <w:rPr>
          <w:color w:val="auto"/>
          <w:sz w:val="24"/>
        </w:rPr>
      </w:pPr>
      <w:r>
        <w:rPr>
          <w:rFonts w:hint="eastAsia"/>
          <w:color w:val="auto"/>
          <w:sz w:val="24"/>
        </w:rPr>
        <w:t>危险废物的运输应采取危险废物转移</w:t>
      </w:r>
      <w:r>
        <w:rPr>
          <w:color w:val="auto"/>
          <w:sz w:val="24"/>
        </w:rPr>
        <w:t>“</w:t>
      </w:r>
      <w:r>
        <w:rPr>
          <w:rFonts w:hint="eastAsia"/>
          <w:color w:val="auto"/>
          <w:sz w:val="24"/>
        </w:rPr>
        <w:t>五联单</w:t>
      </w:r>
      <w:r>
        <w:rPr>
          <w:color w:val="auto"/>
          <w:sz w:val="24"/>
        </w:rPr>
        <w:t>”</w:t>
      </w:r>
      <w:r>
        <w:rPr>
          <w:rFonts w:hint="eastAsia"/>
          <w:color w:val="auto"/>
          <w:sz w:val="24"/>
        </w:rPr>
        <w:t>制度，保证运输安全，防止非法转移和非法处置，保证危险废物的安全监控，防止危险废物污染事故发生。</w:t>
      </w:r>
      <w:r>
        <w:rPr>
          <w:color w:val="auto"/>
          <w:sz w:val="24"/>
        </w:rPr>
        <w:t>“</w:t>
      </w:r>
      <w:r>
        <w:rPr>
          <w:rFonts w:hint="eastAsia"/>
          <w:color w:val="auto"/>
          <w:sz w:val="24"/>
        </w:rPr>
        <w:t>五联单</w:t>
      </w:r>
      <w:r>
        <w:rPr>
          <w:color w:val="auto"/>
          <w:sz w:val="24"/>
        </w:rPr>
        <w:t>”</w:t>
      </w:r>
      <w:r>
        <w:rPr>
          <w:rFonts w:hint="eastAsia"/>
          <w:color w:val="auto"/>
          <w:sz w:val="24"/>
        </w:rPr>
        <w:t>中第一联由废物产生者送交环保局，第二联由废物产生者保管，第三联由处置场工作人员送交环保局，第四联由处置场工作人员保存，第五联由废物运输者保存。</w:t>
      </w:r>
    </w:p>
    <w:p>
      <w:pPr>
        <w:spacing w:line="360" w:lineRule="auto"/>
        <w:ind w:firstLine="480" w:firstLineChars="200"/>
        <w:rPr>
          <w:color w:val="auto"/>
          <w:sz w:val="24"/>
        </w:rPr>
      </w:pPr>
      <w:r>
        <w:rPr>
          <w:rFonts w:hint="eastAsia"/>
          <w:color w:val="auto"/>
          <w:sz w:val="24"/>
        </w:rPr>
        <w:t>综上，本项目产生的各种危险固废均有合理的处理途径，不会产生二次环境污染。</w:t>
      </w:r>
    </w:p>
    <w:p>
      <w:pPr>
        <w:snapToGrid w:val="0"/>
        <w:spacing w:line="360" w:lineRule="auto"/>
        <w:outlineLvl w:val="0"/>
        <w:rPr>
          <w:b/>
          <w:color w:val="auto"/>
          <w:sz w:val="32"/>
          <w:szCs w:val="32"/>
        </w:rPr>
      </w:pPr>
      <w:r>
        <w:rPr>
          <w:rFonts w:hint="eastAsia"/>
          <w:b/>
          <w:color w:val="auto"/>
          <w:sz w:val="32"/>
          <w:szCs w:val="32"/>
        </w:rPr>
        <w:t>十、环保投资估算和环境经济损益分析</w:t>
      </w:r>
    </w:p>
    <w:p>
      <w:pPr>
        <w:snapToGrid w:val="0"/>
        <w:spacing w:line="360" w:lineRule="auto"/>
        <w:outlineLvl w:val="1"/>
        <w:rPr>
          <w:b/>
          <w:color w:val="auto"/>
          <w:sz w:val="32"/>
          <w:szCs w:val="32"/>
        </w:rPr>
      </w:pPr>
      <w:r>
        <w:rPr>
          <w:b/>
          <w:color w:val="auto"/>
          <w:sz w:val="28"/>
          <w:szCs w:val="28"/>
        </w:rPr>
        <w:t xml:space="preserve">10.1 </w:t>
      </w:r>
      <w:r>
        <w:rPr>
          <w:rFonts w:hint="eastAsia"/>
          <w:b/>
          <w:color w:val="auto"/>
          <w:sz w:val="28"/>
          <w:szCs w:val="28"/>
        </w:rPr>
        <w:t>环保投资估算</w:t>
      </w:r>
    </w:p>
    <w:p>
      <w:pPr>
        <w:spacing w:line="360" w:lineRule="auto"/>
        <w:ind w:firstLine="480" w:firstLineChars="200"/>
        <w:rPr>
          <w:color w:val="auto"/>
          <w:sz w:val="24"/>
        </w:rPr>
      </w:pPr>
      <w:r>
        <w:rPr>
          <w:rFonts w:hint="eastAsia"/>
          <w:color w:val="auto"/>
          <w:sz w:val="24"/>
        </w:rPr>
        <w:t>本项目主要环保投资估算见表</w:t>
      </w:r>
      <w:r>
        <w:rPr>
          <w:color w:val="auto"/>
          <w:sz w:val="24"/>
        </w:rPr>
        <w:t>10.1-1</w:t>
      </w:r>
      <w:r>
        <w:rPr>
          <w:rFonts w:hint="eastAsia"/>
          <w:color w:val="auto"/>
          <w:sz w:val="24"/>
        </w:rPr>
        <w:t>。</w:t>
      </w:r>
    </w:p>
    <w:p>
      <w:pPr>
        <w:spacing w:line="360" w:lineRule="auto"/>
        <w:jc w:val="center"/>
        <w:rPr>
          <w:b/>
          <w:color w:val="auto"/>
          <w:sz w:val="24"/>
          <w:szCs w:val="20"/>
        </w:rPr>
      </w:pPr>
      <w:r>
        <w:rPr>
          <w:rFonts w:hint="eastAsia"/>
          <w:b/>
          <w:color w:val="auto"/>
          <w:sz w:val="24"/>
          <w:szCs w:val="20"/>
        </w:rPr>
        <w:t>表</w:t>
      </w:r>
      <w:r>
        <w:rPr>
          <w:b/>
          <w:color w:val="auto"/>
          <w:sz w:val="24"/>
          <w:szCs w:val="20"/>
        </w:rPr>
        <w:t xml:space="preserve">10.1-1  </w:t>
      </w:r>
      <w:r>
        <w:rPr>
          <w:rFonts w:hint="eastAsia"/>
          <w:b/>
          <w:color w:val="auto"/>
          <w:sz w:val="24"/>
          <w:szCs w:val="20"/>
        </w:rPr>
        <w:t>环保投资估算</w:t>
      </w:r>
    </w:p>
    <w:tbl>
      <w:tblPr>
        <w:tblStyle w:val="22"/>
        <w:tblW w:w="928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1"/>
        <w:gridCol w:w="1590"/>
        <w:gridCol w:w="5145"/>
        <w:gridCol w:w="17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trPr>
        <w:tc>
          <w:tcPr>
            <w:tcW w:w="811" w:type="dxa"/>
            <w:tcBorders>
              <w:top w:val="single" w:color="auto" w:sz="12" w:space="0"/>
              <w:left w:val="nil"/>
              <w:bottom w:val="single" w:color="auto" w:sz="6" w:space="0"/>
              <w:right w:val="single" w:color="auto" w:sz="6" w:space="0"/>
            </w:tcBorders>
            <w:vAlign w:val="center"/>
          </w:tcPr>
          <w:p>
            <w:pPr>
              <w:tabs>
                <w:tab w:val="left" w:pos="625"/>
              </w:tabs>
              <w:jc w:val="center"/>
              <w:rPr>
                <w:b/>
                <w:bCs/>
                <w:color w:val="auto"/>
                <w:szCs w:val="21"/>
              </w:rPr>
            </w:pPr>
            <w:r>
              <w:rPr>
                <w:rFonts w:hint="eastAsia"/>
                <w:b/>
                <w:bCs/>
                <w:color w:val="auto"/>
                <w:szCs w:val="21"/>
              </w:rPr>
              <w:t>序号</w:t>
            </w:r>
          </w:p>
        </w:tc>
        <w:tc>
          <w:tcPr>
            <w:tcW w:w="1590" w:type="dxa"/>
            <w:tcBorders>
              <w:top w:val="single" w:color="auto" w:sz="12" w:space="0"/>
              <w:left w:val="single" w:color="auto" w:sz="6" w:space="0"/>
              <w:bottom w:val="single" w:color="auto" w:sz="6" w:space="0"/>
              <w:right w:val="single" w:color="auto" w:sz="6" w:space="0"/>
            </w:tcBorders>
            <w:vAlign w:val="center"/>
          </w:tcPr>
          <w:p>
            <w:pPr>
              <w:tabs>
                <w:tab w:val="left" w:pos="625"/>
              </w:tabs>
              <w:jc w:val="center"/>
              <w:rPr>
                <w:b/>
                <w:bCs/>
                <w:color w:val="auto"/>
                <w:szCs w:val="21"/>
              </w:rPr>
            </w:pPr>
            <w:r>
              <w:rPr>
                <w:rFonts w:hint="eastAsia"/>
                <w:b/>
                <w:bCs/>
                <w:color w:val="auto"/>
                <w:szCs w:val="21"/>
              </w:rPr>
              <w:t>工程名称</w:t>
            </w:r>
          </w:p>
        </w:tc>
        <w:tc>
          <w:tcPr>
            <w:tcW w:w="5145" w:type="dxa"/>
            <w:tcBorders>
              <w:top w:val="single" w:color="auto" w:sz="12" w:space="0"/>
              <w:left w:val="single" w:color="auto" w:sz="6" w:space="0"/>
              <w:bottom w:val="single" w:color="auto" w:sz="6" w:space="0"/>
              <w:right w:val="single" w:color="auto" w:sz="6" w:space="0"/>
            </w:tcBorders>
            <w:vAlign w:val="center"/>
          </w:tcPr>
          <w:p>
            <w:pPr>
              <w:tabs>
                <w:tab w:val="left" w:pos="625"/>
              </w:tabs>
              <w:jc w:val="center"/>
              <w:rPr>
                <w:b/>
                <w:bCs/>
                <w:color w:val="auto"/>
                <w:szCs w:val="21"/>
              </w:rPr>
            </w:pPr>
            <w:r>
              <w:rPr>
                <w:rFonts w:hint="eastAsia"/>
                <w:b/>
                <w:bCs/>
                <w:color w:val="auto"/>
                <w:szCs w:val="21"/>
              </w:rPr>
              <w:t>设计规模</w:t>
            </w:r>
          </w:p>
        </w:tc>
        <w:tc>
          <w:tcPr>
            <w:tcW w:w="1739" w:type="dxa"/>
            <w:tcBorders>
              <w:top w:val="single" w:color="auto" w:sz="12" w:space="0"/>
              <w:left w:val="single" w:color="auto" w:sz="6" w:space="0"/>
              <w:bottom w:val="single" w:color="auto" w:sz="6" w:space="0"/>
              <w:right w:val="nil"/>
            </w:tcBorders>
            <w:vAlign w:val="center"/>
          </w:tcPr>
          <w:p>
            <w:pPr>
              <w:tabs>
                <w:tab w:val="left" w:pos="625"/>
              </w:tabs>
              <w:jc w:val="center"/>
              <w:rPr>
                <w:b/>
                <w:bCs/>
                <w:color w:val="auto"/>
                <w:szCs w:val="21"/>
              </w:rPr>
            </w:pPr>
            <w:r>
              <w:rPr>
                <w:rFonts w:hint="eastAsia"/>
                <w:b/>
                <w:bCs/>
                <w:color w:val="auto"/>
                <w:szCs w:val="21"/>
              </w:rPr>
              <w:t>投资估算（万元）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restart"/>
            <w:tcBorders>
              <w:top w:val="single" w:color="auto" w:sz="6" w:space="0"/>
              <w:left w:val="nil"/>
              <w:right w:val="single" w:color="auto" w:sz="6" w:space="0"/>
            </w:tcBorders>
            <w:vAlign w:val="center"/>
          </w:tcPr>
          <w:p>
            <w:pPr>
              <w:tabs>
                <w:tab w:val="left" w:pos="625"/>
              </w:tabs>
              <w:jc w:val="center"/>
              <w:rPr>
                <w:color w:val="auto"/>
                <w:szCs w:val="21"/>
              </w:rPr>
            </w:pPr>
            <w:r>
              <w:rPr>
                <w:rFonts w:hint="eastAsia"/>
                <w:color w:val="auto"/>
                <w:szCs w:val="21"/>
              </w:rPr>
              <w:t>1</w:t>
            </w:r>
          </w:p>
        </w:tc>
        <w:tc>
          <w:tcPr>
            <w:tcW w:w="1590" w:type="dxa"/>
            <w:vMerge w:val="restart"/>
            <w:tcBorders>
              <w:top w:val="single" w:color="auto" w:sz="6" w:space="0"/>
              <w:left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废水</w:t>
            </w: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hAnsi="宋体"/>
                <w:color w:val="auto"/>
                <w:szCs w:val="21"/>
              </w:rPr>
              <w:t>六价铬预警及预处理装置</w:t>
            </w:r>
          </w:p>
        </w:tc>
        <w:tc>
          <w:tcPr>
            <w:tcW w:w="1739" w:type="dxa"/>
            <w:vMerge w:val="restart"/>
            <w:tcBorders>
              <w:top w:val="single" w:color="auto" w:sz="6" w:space="0"/>
              <w:left w:val="single" w:color="auto" w:sz="6" w:space="0"/>
              <w:right w:val="nil"/>
            </w:tcBorders>
            <w:vAlign w:val="center"/>
          </w:tcPr>
          <w:p>
            <w:pPr>
              <w:tabs>
                <w:tab w:val="left" w:pos="625"/>
              </w:tabs>
              <w:jc w:val="center"/>
              <w:rPr>
                <w:color w:val="auto"/>
                <w:szCs w:val="21"/>
              </w:rPr>
            </w:pPr>
            <w:r>
              <w:rPr>
                <w:rFonts w:hint="eastAsia"/>
                <w:color w:val="auto"/>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continue"/>
            <w:tcBorders>
              <w:left w:val="nil"/>
              <w:right w:val="single" w:color="auto" w:sz="6" w:space="0"/>
            </w:tcBorders>
            <w:vAlign w:val="center"/>
          </w:tcPr>
          <w:p>
            <w:pPr>
              <w:tabs>
                <w:tab w:val="left" w:pos="625"/>
              </w:tabs>
              <w:jc w:val="center"/>
              <w:rPr>
                <w:color w:val="auto"/>
                <w:szCs w:val="21"/>
              </w:rPr>
            </w:pPr>
          </w:p>
        </w:tc>
        <w:tc>
          <w:tcPr>
            <w:tcW w:w="1590" w:type="dxa"/>
            <w:vMerge w:val="continue"/>
            <w:tcBorders>
              <w:left w:val="single" w:color="auto" w:sz="6" w:space="0"/>
              <w:right w:val="single" w:color="auto" w:sz="6" w:space="0"/>
            </w:tcBorders>
            <w:vAlign w:val="center"/>
          </w:tcPr>
          <w:p>
            <w:pPr>
              <w:tabs>
                <w:tab w:val="left" w:pos="625"/>
              </w:tabs>
              <w:jc w:val="center"/>
              <w:rPr>
                <w:color w:val="auto"/>
                <w:szCs w:val="21"/>
              </w:rPr>
            </w:pPr>
          </w:p>
        </w:tc>
        <w:tc>
          <w:tcPr>
            <w:tcW w:w="5145" w:type="dxa"/>
            <w:tcBorders>
              <w:top w:val="single" w:color="auto" w:sz="6" w:space="0"/>
              <w:left w:val="single" w:color="auto" w:sz="6" w:space="0"/>
              <w:bottom w:val="single" w:color="auto" w:sz="6" w:space="0"/>
              <w:right w:val="single" w:color="auto" w:sz="6" w:space="0"/>
            </w:tcBorders>
            <w:vAlign w:val="center"/>
          </w:tcPr>
          <w:p>
            <w:pPr>
              <w:jc w:val="center"/>
              <w:rPr>
                <w:color w:val="auto"/>
                <w:szCs w:val="21"/>
              </w:rPr>
            </w:pPr>
            <w:r>
              <w:rPr>
                <w:rFonts w:hint="eastAsia" w:hAnsi="宋体"/>
                <w:color w:val="auto"/>
                <w:szCs w:val="21"/>
              </w:rPr>
              <w:t>流量监测设备</w:t>
            </w:r>
          </w:p>
        </w:tc>
        <w:tc>
          <w:tcPr>
            <w:tcW w:w="1739" w:type="dxa"/>
            <w:vMerge w:val="continue"/>
            <w:tcBorders>
              <w:left w:val="single" w:color="auto" w:sz="6" w:space="0"/>
              <w:right w:val="nil"/>
            </w:tcBorders>
            <w:vAlign w:val="center"/>
          </w:tcPr>
          <w:p>
            <w:pPr>
              <w:tabs>
                <w:tab w:val="left" w:pos="625"/>
              </w:tabs>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continue"/>
            <w:tcBorders>
              <w:left w:val="nil"/>
              <w:right w:val="single" w:color="auto" w:sz="6" w:space="0"/>
            </w:tcBorders>
            <w:vAlign w:val="center"/>
          </w:tcPr>
          <w:p>
            <w:pPr>
              <w:tabs>
                <w:tab w:val="left" w:pos="625"/>
              </w:tabs>
              <w:jc w:val="center"/>
              <w:rPr>
                <w:color w:val="auto"/>
                <w:szCs w:val="21"/>
              </w:rPr>
            </w:pPr>
          </w:p>
        </w:tc>
        <w:tc>
          <w:tcPr>
            <w:tcW w:w="1590" w:type="dxa"/>
            <w:vMerge w:val="continue"/>
            <w:tcBorders>
              <w:left w:val="single" w:color="auto" w:sz="6" w:space="0"/>
              <w:right w:val="single" w:color="auto" w:sz="6" w:space="0"/>
            </w:tcBorders>
            <w:vAlign w:val="center"/>
          </w:tcPr>
          <w:p>
            <w:pPr>
              <w:tabs>
                <w:tab w:val="left" w:pos="625"/>
              </w:tabs>
              <w:jc w:val="center"/>
              <w:rPr>
                <w:color w:val="auto"/>
                <w:szCs w:val="21"/>
              </w:rPr>
            </w:pPr>
          </w:p>
        </w:tc>
        <w:tc>
          <w:tcPr>
            <w:tcW w:w="5145" w:type="dxa"/>
            <w:tcBorders>
              <w:top w:val="single" w:color="auto" w:sz="6" w:space="0"/>
              <w:left w:val="single" w:color="auto" w:sz="6" w:space="0"/>
              <w:bottom w:val="single" w:color="auto" w:sz="6" w:space="0"/>
              <w:right w:val="single" w:color="auto" w:sz="6" w:space="0"/>
            </w:tcBorders>
            <w:vAlign w:val="center"/>
          </w:tcPr>
          <w:p>
            <w:pPr>
              <w:jc w:val="center"/>
              <w:rPr>
                <w:color w:val="auto"/>
                <w:szCs w:val="21"/>
              </w:rPr>
            </w:pPr>
            <w:r>
              <w:rPr>
                <w:rFonts w:hint="eastAsia" w:hAnsi="宋体"/>
                <w:color w:val="auto"/>
                <w:szCs w:val="21"/>
              </w:rPr>
              <w:t>废水收集管线</w:t>
            </w:r>
          </w:p>
        </w:tc>
        <w:tc>
          <w:tcPr>
            <w:tcW w:w="1739" w:type="dxa"/>
            <w:vMerge w:val="continue"/>
            <w:tcBorders>
              <w:left w:val="single" w:color="auto" w:sz="6" w:space="0"/>
              <w:right w:val="nil"/>
            </w:tcBorders>
            <w:vAlign w:val="center"/>
          </w:tcPr>
          <w:p>
            <w:pPr>
              <w:tabs>
                <w:tab w:val="left" w:pos="625"/>
              </w:tabs>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continue"/>
            <w:tcBorders>
              <w:left w:val="nil"/>
              <w:bottom w:val="single" w:color="auto" w:sz="6" w:space="0"/>
              <w:right w:val="single" w:color="auto" w:sz="6" w:space="0"/>
            </w:tcBorders>
            <w:vAlign w:val="center"/>
          </w:tcPr>
          <w:p>
            <w:pPr>
              <w:tabs>
                <w:tab w:val="left" w:pos="625"/>
              </w:tabs>
              <w:jc w:val="center"/>
              <w:rPr>
                <w:color w:val="auto"/>
                <w:szCs w:val="21"/>
              </w:rPr>
            </w:pPr>
          </w:p>
        </w:tc>
        <w:tc>
          <w:tcPr>
            <w:tcW w:w="1590" w:type="dxa"/>
            <w:vMerge w:val="continue"/>
            <w:tcBorders>
              <w:left w:val="single" w:color="auto" w:sz="6" w:space="0"/>
              <w:bottom w:val="single" w:color="auto" w:sz="6" w:space="0"/>
              <w:right w:val="single" w:color="auto" w:sz="6" w:space="0"/>
            </w:tcBorders>
            <w:vAlign w:val="center"/>
          </w:tcPr>
          <w:p>
            <w:pPr>
              <w:tabs>
                <w:tab w:val="left" w:pos="625"/>
              </w:tabs>
              <w:jc w:val="center"/>
              <w:rPr>
                <w:color w:val="auto"/>
                <w:szCs w:val="21"/>
              </w:rPr>
            </w:pPr>
          </w:p>
        </w:tc>
        <w:tc>
          <w:tcPr>
            <w:tcW w:w="5145" w:type="dxa"/>
            <w:tcBorders>
              <w:top w:val="single" w:color="auto" w:sz="6" w:space="0"/>
              <w:left w:val="single" w:color="auto" w:sz="6" w:space="0"/>
              <w:bottom w:val="single" w:color="auto" w:sz="6" w:space="0"/>
              <w:right w:val="single" w:color="auto" w:sz="6" w:space="0"/>
            </w:tcBorders>
            <w:vAlign w:val="center"/>
          </w:tcPr>
          <w:p>
            <w:pPr>
              <w:jc w:val="center"/>
              <w:rPr>
                <w:rFonts w:hint="eastAsia" w:hAnsi="宋体" w:eastAsia="宋体"/>
                <w:color w:val="auto"/>
                <w:szCs w:val="21"/>
                <w:lang w:eastAsia="zh-CN"/>
              </w:rPr>
            </w:pPr>
            <w:r>
              <w:rPr>
                <w:rFonts w:hint="eastAsia" w:hAnsi="宋体"/>
                <w:color w:val="auto"/>
                <w:szCs w:val="21"/>
                <w:lang w:eastAsia="zh-CN"/>
              </w:rPr>
              <w:t>各股废水事故池</w:t>
            </w:r>
          </w:p>
        </w:tc>
        <w:tc>
          <w:tcPr>
            <w:tcW w:w="1739" w:type="dxa"/>
            <w:vMerge w:val="continue"/>
            <w:tcBorders>
              <w:left w:val="single" w:color="auto" w:sz="6" w:space="0"/>
              <w:bottom w:val="single" w:color="auto" w:sz="6" w:space="0"/>
              <w:right w:val="nil"/>
            </w:tcBorders>
            <w:vAlign w:val="center"/>
          </w:tcPr>
          <w:p>
            <w:pPr>
              <w:tabs>
                <w:tab w:val="left" w:pos="625"/>
              </w:tabs>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restart"/>
            <w:tcBorders>
              <w:top w:val="single" w:color="auto" w:sz="6" w:space="0"/>
              <w:left w:val="nil"/>
              <w:right w:val="single" w:color="auto" w:sz="6" w:space="0"/>
            </w:tcBorders>
            <w:vAlign w:val="center"/>
          </w:tcPr>
          <w:p>
            <w:pPr>
              <w:tabs>
                <w:tab w:val="left" w:pos="625"/>
              </w:tabs>
              <w:jc w:val="center"/>
              <w:rPr>
                <w:color w:val="auto"/>
                <w:szCs w:val="21"/>
              </w:rPr>
            </w:pPr>
            <w:r>
              <w:rPr>
                <w:rFonts w:hint="eastAsia"/>
                <w:color w:val="auto"/>
                <w:szCs w:val="21"/>
              </w:rPr>
              <w:t>2</w:t>
            </w:r>
          </w:p>
        </w:tc>
        <w:tc>
          <w:tcPr>
            <w:tcW w:w="1590" w:type="dxa"/>
            <w:vMerge w:val="restart"/>
            <w:tcBorders>
              <w:top w:val="single" w:color="auto" w:sz="6" w:space="0"/>
              <w:left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废气</w:t>
            </w: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集气罩</w:t>
            </w:r>
            <w:r>
              <w:rPr>
                <w:color w:val="auto"/>
                <w:szCs w:val="21"/>
              </w:rPr>
              <w:t>+</w:t>
            </w:r>
            <w:r>
              <w:rPr>
                <w:rFonts w:hint="eastAsia"/>
                <w:color w:val="auto"/>
                <w:szCs w:val="21"/>
              </w:rPr>
              <w:t>碱液喷淋净化塔</w:t>
            </w:r>
            <w:r>
              <w:rPr>
                <w:color w:val="auto"/>
                <w:szCs w:val="21"/>
              </w:rPr>
              <w:t>+15m</w:t>
            </w:r>
            <w:r>
              <w:rPr>
                <w:rFonts w:hint="eastAsia"/>
                <w:color w:val="auto"/>
                <w:szCs w:val="21"/>
              </w:rPr>
              <w:t>高排气筒</w:t>
            </w:r>
          </w:p>
          <w:p>
            <w:pPr>
              <w:tabs>
                <w:tab w:val="left" w:pos="625"/>
              </w:tabs>
              <w:jc w:val="center"/>
              <w:rPr>
                <w:color w:val="auto"/>
                <w:szCs w:val="21"/>
              </w:rPr>
            </w:pPr>
            <w:r>
              <w:rPr>
                <w:rFonts w:hint="eastAsia"/>
                <w:color w:val="auto"/>
                <w:szCs w:val="21"/>
              </w:rPr>
              <w:t>（原有工程搬迁）</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rFonts w:hint="eastAsia"/>
                <w:color w:val="auto"/>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continue"/>
            <w:tcBorders>
              <w:left w:val="nil"/>
              <w:right w:val="single" w:color="auto" w:sz="6" w:space="0"/>
            </w:tcBorders>
            <w:vAlign w:val="center"/>
          </w:tcPr>
          <w:p>
            <w:pPr>
              <w:tabs>
                <w:tab w:val="left" w:pos="625"/>
              </w:tabs>
              <w:jc w:val="center"/>
              <w:rPr>
                <w:color w:val="auto"/>
                <w:szCs w:val="21"/>
              </w:rPr>
            </w:pPr>
          </w:p>
        </w:tc>
        <w:tc>
          <w:tcPr>
            <w:tcW w:w="1590" w:type="dxa"/>
            <w:vMerge w:val="continue"/>
            <w:tcBorders>
              <w:left w:val="single" w:color="auto" w:sz="6" w:space="0"/>
              <w:right w:val="single" w:color="auto" w:sz="6" w:space="0"/>
            </w:tcBorders>
            <w:vAlign w:val="center"/>
          </w:tcPr>
          <w:p>
            <w:pPr>
              <w:tabs>
                <w:tab w:val="left" w:pos="625"/>
              </w:tabs>
              <w:jc w:val="center"/>
              <w:rPr>
                <w:color w:val="auto"/>
                <w:szCs w:val="21"/>
              </w:rPr>
            </w:pP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集气罩</w:t>
            </w:r>
            <w:r>
              <w:rPr>
                <w:color w:val="auto"/>
                <w:szCs w:val="21"/>
              </w:rPr>
              <w:t>+</w:t>
            </w:r>
            <w:r>
              <w:rPr>
                <w:rFonts w:hint="eastAsia"/>
                <w:color w:val="auto"/>
                <w:szCs w:val="21"/>
              </w:rPr>
              <w:t>网格净化器</w:t>
            </w:r>
            <w:r>
              <w:rPr>
                <w:color w:val="auto"/>
                <w:szCs w:val="21"/>
              </w:rPr>
              <w:t>+15m</w:t>
            </w:r>
            <w:r>
              <w:rPr>
                <w:rFonts w:hint="eastAsia"/>
                <w:color w:val="auto"/>
                <w:szCs w:val="21"/>
              </w:rPr>
              <w:t>高排气筒</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rFonts w:hint="eastAsia"/>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continue"/>
            <w:tcBorders>
              <w:left w:val="nil"/>
              <w:bottom w:val="single" w:color="auto" w:sz="6" w:space="0"/>
              <w:right w:val="single" w:color="auto" w:sz="6" w:space="0"/>
            </w:tcBorders>
            <w:vAlign w:val="center"/>
          </w:tcPr>
          <w:p>
            <w:pPr>
              <w:tabs>
                <w:tab w:val="left" w:pos="625"/>
              </w:tabs>
              <w:jc w:val="center"/>
              <w:rPr>
                <w:color w:val="auto"/>
                <w:szCs w:val="21"/>
              </w:rPr>
            </w:pPr>
          </w:p>
        </w:tc>
        <w:tc>
          <w:tcPr>
            <w:tcW w:w="1590" w:type="dxa"/>
            <w:vMerge w:val="continue"/>
            <w:tcBorders>
              <w:left w:val="single" w:color="auto" w:sz="6" w:space="0"/>
              <w:bottom w:val="single" w:color="auto" w:sz="6" w:space="0"/>
              <w:right w:val="single" w:color="auto" w:sz="6" w:space="0"/>
            </w:tcBorders>
            <w:vAlign w:val="center"/>
          </w:tcPr>
          <w:p>
            <w:pPr>
              <w:tabs>
                <w:tab w:val="left" w:pos="625"/>
              </w:tabs>
              <w:jc w:val="center"/>
              <w:rPr>
                <w:color w:val="auto"/>
                <w:szCs w:val="21"/>
              </w:rPr>
            </w:pP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rPr>
            </w:pPr>
            <w:r>
              <w:rPr>
                <w:rFonts w:hint="eastAsia"/>
                <w:color w:val="auto"/>
              </w:rPr>
              <w:t>集气罩</w:t>
            </w:r>
            <w:r>
              <w:rPr>
                <w:color w:val="auto"/>
              </w:rPr>
              <w:t>+</w:t>
            </w:r>
            <w:r>
              <w:rPr>
                <w:rFonts w:hint="eastAsia"/>
                <w:color w:val="auto"/>
              </w:rPr>
              <w:t>氰净化塔</w:t>
            </w:r>
            <w:r>
              <w:rPr>
                <w:color w:val="auto"/>
              </w:rPr>
              <w:t>+15m</w:t>
            </w:r>
            <w:r>
              <w:rPr>
                <w:rFonts w:hint="eastAsia"/>
                <w:color w:val="auto"/>
              </w:rPr>
              <w:t>高排气筒</w:t>
            </w:r>
          </w:p>
          <w:p>
            <w:pPr>
              <w:tabs>
                <w:tab w:val="left" w:pos="625"/>
              </w:tabs>
              <w:jc w:val="center"/>
              <w:rPr>
                <w:color w:val="auto"/>
              </w:rPr>
            </w:pPr>
            <w:r>
              <w:rPr>
                <w:rFonts w:hint="eastAsia"/>
                <w:color w:val="auto"/>
              </w:rPr>
              <w:t>（原有工程搬迁）</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rFonts w:hint="eastAsia"/>
                <w:color w:val="auto"/>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restart"/>
            <w:tcBorders>
              <w:top w:val="single" w:color="auto" w:sz="4" w:space="0"/>
              <w:left w:val="nil"/>
              <w:right w:val="single" w:color="auto" w:sz="6" w:space="0"/>
            </w:tcBorders>
            <w:vAlign w:val="center"/>
          </w:tcPr>
          <w:p>
            <w:pPr>
              <w:tabs>
                <w:tab w:val="left" w:pos="625"/>
              </w:tabs>
              <w:jc w:val="center"/>
              <w:rPr>
                <w:color w:val="auto"/>
                <w:szCs w:val="21"/>
              </w:rPr>
            </w:pPr>
            <w:r>
              <w:rPr>
                <w:rFonts w:hint="eastAsia"/>
                <w:color w:val="auto"/>
                <w:szCs w:val="21"/>
              </w:rPr>
              <w:t>3</w:t>
            </w:r>
          </w:p>
        </w:tc>
        <w:tc>
          <w:tcPr>
            <w:tcW w:w="1590" w:type="dxa"/>
            <w:vMerge w:val="restart"/>
            <w:tcBorders>
              <w:top w:val="single" w:color="auto" w:sz="4" w:space="0"/>
              <w:left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固体废物</w:t>
            </w: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Ansi="宋体"/>
                <w:color w:val="auto"/>
                <w:szCs w:val="21"/>
              </w:rPr>
              <w:t>垃圾桶等</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rFonts w:hint="eastAsia"/>
                <w:color w:val="auto"/>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vMerge w:val="continue"/>
            <w:tcBorders>
              <w:left w:val="nil"/>
              <w:bottom w:val="single" w:color="auto" w:sz="6" w:space="0"/>
              <w:right w:val="single" w:color="auto" w:sz="6" w:space="0"/>
            </w:tcBorders>
            <w:vAlign w:val="center"/>
          </w:tcPr>
          <w:p>
            <w:pPr>
              <w:tabs>
                <w:tab w:val="left" w:pos="625"/>
              </w:tabs>
              <w:jc w:val="center"/>
              <w:rPr>
                <w:color w:val="auto"/>
                <w:szCs w:val="21"/>
              </w:rPr>
            </w:pPr>
          </w:p>
        </w:tc>
        <w:tc>
          <w:tcPr>
            <w:tcW w:w="1590" w:type="dxa"/>
            <w:vMerge w:val="continue"/>
            <w:tcBorders>
              <w:left w:val="single" w:color="auto" w:sz="6" w:space="0"/>
              <w:bottom w:val="single" w:color="auto" w:sz="6" w:space="0"/>
              <w:right w:val="single" w:color="auto" w:sz="6" w:space="0"/>
            </w:tcBorders>
            <w:vAlign w:val="center"/>
          </w:tcPr>
          <w:p>
            <w:pPr>
              <w:tabs>
                <w:tab w:val="left" w:pos="625"/>
              </w:tabs>
              <w:jc w:val="center"/>
              <w:rPr>
                <w:color w:val="auto"/>
                <w:szCs w:val="21"/>
              </w:rPr>
            </w:pP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危险废物依托集控中心危废暂存间</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tcBorders>
              <w:top w:val="single" w:color="auto" w:sz="6" w:space="0"/>
              <w:left w:val="nil"/>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4</w:t>
            </w:r>
          </w:p>
        </w:tc>
        <w:tc>
          <w:tcPr>
            <w:tcW w:w="1590"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噪声控制</w:t>
            </w: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减震措施，消声措施，隔音设施等</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811" w:type="dxa"/>
            <w:tcBorders>
              <w:top w:val="single" w:color="auto" w:sz="6" w:space="0"/>
              <w:left w:val="nil"/>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5</w:t>
            </w:r>
          </w:p>
        </w:tc>
        <w:tc>
          <w:tcPr>
            <w:tcW w:w="1590"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排污口规范化</w:t>
            </w:r>
          </w:p>
        </w:tc>
        <w:tc>
          <w:tcPr>
            <w:tcW w:w="5145" w:type="dxa"/>
            <w:tcBorders>
              <w:top w:val="single" w:color="auto" w:sz="6" w:space="0"/>
              <w:left w:val="single" w:color="auto" w:sz="6" w:space="0"/>
              <w:bottom w:val="single" w:color="auto" w:sz="6" w:space="0"/>
              <w:right w:val="single" w:color="auto" w:sz="6" w:space="0"/>
            </w:tcBorders>
            <w:vAlign w:val="center"/>
          </w:tcPr>
          <w:p>
            <w:pPr>
              <w:tabs>
                <w:tab w:val="left" w:pos="625"/>
              </w:tabs>
              <w:jc w:val="center"/>
              <w:rPr>
                <w:color w:val="auto"/>
                <w:szCs w:val="21"/>
              </w:rPr>
            </w:pPr>
            <w:r>
              <w:rPr>
                <w:rFonts w:hint="eastAsia"/>
                <w:color w:val="auto"/>
                <w:szCs w:val="21"/>
              </w:rPr>
              <w:t>废气排放口、废水排放口</w:t>
            </w:r>
          </w:p>
        </w:tc>
        <w:tc>
          <w:tcPr>
            <w:tcW w:w="1739" w:type="dxa"/>
            <w:tcBorders>
              <w:top w:val="single" w:color="auto" w:sz="6" w:space="0"/>
              <w:left w:val="single" w:color="auto" w:sz="6" w:space="0"/>
              <w:bottom w:val="single" w:color="auto" w:sz="6" w:space="0"/>
              <w:right w:val="nil"/>
            </w:tcBorders>
            <w:vAlign w:val="center"/>
          </w:tcPr>
          <w:p>
            <w:pPr>
              <w:tabs>
                <w:tab w:val="left" w:pos="625"/>
              </w:tabs>
              <w:jc w:val="center"/>
              <w:rPr>
                <w:color w:val="auto"/>
                <w:szCs w:val="21"/>
              </w:rPr>
            </w:pPr>
            <w:r>
              <w:rPr>
                <w:color w:val="auto"/>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401" w:type="dxa"/>
            <w:gridSpan w:val="2"/>
            <w:tcBorders>
              <w:top w:val="single" w:color="auto" w:sz="6" w:space="0"/>
              <w:left w:val="nil"/>
              <w:bottom w:val="single" w:color="auto" w:sz="12" w:space="0"/>
              <w:right w:val="single" w:color="auto" w:sz="6" w:space="0"/>
            </w:tcBorders>
            <w:vAlign w:val="center"/>
          </w:tcPr>
          <w:p>
            <w:pPr>
              <w:tabs>
                <w:tab w:val="left" w:pos="625"/>
              </w:tabs>
              <w:jc w:val="center"/>
              <w:rPr>
                <w:color w:val="auto"/>
                <w:szCs w:val="21"/>
              </w:rPr>
            </w:pPr>
            <w:r>
              <w:rPr>
                <w:rFonts w:hint="eastAsia"/>
                <w:color w:val="auto"/>
                <w:szCs w:val="21"/>
              </w:rPr>
              <w:t>合计</w:t>
            </w:r>
          </w:p>
        </w:tc>
        <w:tc>
          <w:tcPr>
            <w:tcW w:w="5145" w:type="dxa"/>
            <w:tcBorders>
              <w:top w:val="single" w:color="auto" w:sz="6" w:space="0"/>
              <w:left w:val="single" w:color="auto" w:sz="6" w:space="0"/>
              <w:bottom w:val="single" w:color="auto" w:sz="12" w:space="0"/>
              <w:right w:val="single" w:color="auto" w:sz="6" w:space="0"/>
            </w:tcBorders>
            <w:vAlign w:val="center"/>
          </w:tcPr>
          <w:p>
            <w:pPr>
              <w:tabs>
                <w:tab w:val="left" w:pos="625"/>
              </w:tabs>
              <w:jc w:val="center"/>
              <w:rPr>
                <w:color w:val="auto"/>
                <w:szCs w:val="21"/>
              </w:rPr>
            </w:pPr>
            <w:r>
              <w:rPr>
                <w:color w:val="auto"/>
                <w:szCs w:val="21"/>
              </w:rPr>
              <w:t>/</w:t>
            </w:r>
          </w:p>
        </w:tc>
        <w:tc>
          <w:tcPr>
            <w:tcW w:w="1739" w:type="dxa"/>
            <w:tcBorders>
              <w:top w:val="single" w:color="auto" w:sz="6" w:space="0"/>
              <w:left w:val="single" w:color="auto" w:sz="6" w:space="0"/>
              <w:bottom w:val="single" w:color="auto" w:sz="12" w:space="0"/>
              <w:right w:val="nil"/>
            </w:tcBorders>
            <w:vAlign w:val="center"/>
          </w:tcPr>
          <w:p>
            <w:pPr>
              <w:tabs>
                <w:tab w:val="left" w:pos="625"/>
              </w:tabs>
              <w:jc w:val="center"/>
              <w:rPr>
                <w:color w:val="auto"/>
                <w:szCs w:val="21"/>
              </w:rPr>
            </w:pPr>
            <w:r>
              <w:rPr>
                <w:rFonts w:hint="eastAsia"/>
                <w:color w:val="auto"/>
                <w:szCs w:val="21"/>
              </w:rPr>
              <w:t>67.2</w:t>
            </w:r>
          </w:p>
        </w:tc>
      </w:tr>
    </w:tbl>
    <w:p>
      <w:pPr>
        <w:snapToGrid w:val="0"/>
        <w:spacing w:line="360" w:lineRule="auto"/>
        <w:outlineLvl w:val="1"/>
        <w:rPr>
          <w:b/>
          <w:color w:val="auto"/>
          <w:sz w:val="28"/>
          <w:szCs w:val="28"/>
        </w:rPr>
      </w:pPr>
      <w:r>
        <w:rPr>
          <w:b/>
          <w:color w:val="auto"/>
          <w:sz w:val="28"/>
          <w:szCs w:val="28"/>
        </w:rPr>
        <w:t xml:space="preserve">10.2 </w:t>
      </w:r>
      <w:r>
        <w:rPr>
          <w:rFonts w:hint="eastAsia"/>
          <w:b/>
          <w:color w:val="auto"/>
          <w:sz w:val="28"/>
          <w:szCs w:val="28"/>
        </w:rPr>
        <w:t>环境经济损益分析</w:t>
      </w:r>
    </w:p>
    <w:p>
      <w:pPr>
        <w:snapToGrid w:val="0"/>
        <w:spacing w:line="360" w:lineRule="auto"/>
        <w:ind w:firstLine="480" w:firstLineChars="200"/>
        <w:rPr>
          <w:color w:val="auto"/>
          <w:sz w:val="24"/>
        </w:rPr>
      </w:pPr>
      <w:r>
        <w:rPr>
          <w:rFonts w:hint="eastAsia"/>
          <w:color w:val="auto"/>
          <w:sz w:val="24"/>
        </w:rPr>
        <w:t>本次环保工程投资估算约为67.2万元，约占总投资额380万元的17.68</w:t>
      </w:r>
      <w:r>
        <w:rPr>
          <w:color w:val="auto"/>
          <w:sz w:val="24"/>
        </w:rPr>
        <w:t>%</w:t>
      </w:r>
      <w:r>
        <w:rPr>
          <w:rFonts w:hint="eastAsia"/>
          <w:color w:val="auto"/>
          <w:sz w:val="24"/>
        </w:rPr>
        <w:t>。</w:t>
      </w:r>
    </w:p>
    <w:p>
      <w:pPr>
        <w:snapToGrid w:val="0"/>
        <w:spacing w:line="360" w:lineRule="auto"/>
        <w:ind w:firstLine="480" w:firstLineChars="200"/>
        <w:rPr>
          <w:color w:val="auto"/>
          <w:sz w:val="24"/>
        </w:rPr>
      </w:pPr>
      <w:r>
        <w:rPr>
          <w:rFonts w:hint="eastAsia"/>
          <w:color w:val="auto"/>
          <w:sz w:val="24"/>
        </w:rPr>
        <w:t>以上环保投资，可使项目产生的污水得到治理，减少污水排放对周边水体水质的影响，固体废物得以合理处置，废气和噪声得到有效控制，其环境效益较好。项目的环保投资对项目本身而言，可能经济效益不明显，但是其社会效益是显著的，可避免项目对周围环境的影响，避免环保投诉事件的发生，具有明显的环境效益。</w:t>
      </w:r>
    </w:p>
    <w:p>
      <w:pPr>
        <w:snapToGrid w:val="0"/>
        <w:spacing w:line="360" w:lineRule="auto"/>
        <w:outlineLvl w:val="0"/>
        <w:rPr>
          <w:b/>
          <w:color w:val="auto"/>
          <w:sz w:val="32"/>
          <w:szCs w:val="32"/>
        </w:rPr>
      </w:pPr>
      <w:r>
        <w:rPr>
          <w:rFonts w:hint="eastAsia"/>
          <w:b/>
          <w:color w:val="auto"/>
          <w:sz w:val="32"/>
          <w:szCs w:val="32"/>
        </w:rPr>
        <w:t>十一、环境管理与环境监测计划</w:t>
      </w:r>
    </w:p>
    <w:p>
      <w:pPr>
        <w:snapToGrid w:val="0"/>
        <w:spacing w:line="360" w:lineRule="auto"/>
        <w:outlineLvl w:val="1"/>
        <w:rPr>
          <w:b/>
          <w:color w:val="auto"/>
          <w:sz w:val="28"/>
          <w:szCs w:val="28"/>
        </w:rPr>
      </w:pPr>
      <w:r>
        <w:rPr>
          <w:rFonts w:hint="eastAsia"/>
          <w:b/>
          <w:color w:val="auto"/>
          <w:sz w:val="28"/>
          <w:szCs w:val="28"/>
        </w:rPr>
        <w:t>11</w:t>
      </w:r>
      <w:r>
        <w:rPr>
          <w:b/>
          <w:color w:val="auto"/>
          <w:sz w:val="28"/>
          <w:szCs w:val="28"/>
        </w:rPr>
        <w:t>.1环境管理</w:t>
      </w:r>
    </w:p>
    <w:p>
      <w:pPr>
        <w:pStyle w:val="79"/>
        <w:ind w:firstLine="480"/>
        <w:rPr>
          <w:rFonts w:cs="Times New Roman"/>
          <w:snapToGrid w:val="0"/>
          <w:color w:val="auto"/>
        </w:rPr>
      </w:pPr>
      <w:r>
        <w:rPr>
          <w:rFonts w:hint="eastAsia" w:cs="Times New Roman"/>
          <w:snapToGrid w:val="0"/>
          <w:color w:val="auto"/>
        </w:rPr>
        <w:t>环境管理对污染防治设施的正常运行、</w:t>
      </w:r>
      <w:r>
        <w:rPr>
          <w:rFonts w:cs="Times New Roman"/>
          <w:snapToGrid w:val="0"/>
          <w:color w:val="auto"/>
        </w:rPr>
        <w:t>“</w:t>
      </w:r>
      <w:r>
        <w:rPr>
          <w:rFonts w:hint="eastAsia" w:cs="Times New Roman"/>
          <w:snapToGrid w:val="0"/>
          <w:color w:val="auto"/>
        </w:rPr>
        <w:t>工业三废</w:t>
      </w:r>
      <w:r>
        <w:rPr>
          <w:rFonts w:cs="Times New Roman"/>
          <w:snapToGrid w:val="0"/>
          <w:color w:val="auto"/>
        </w:rPr>
        <w:t>”</w:t>
      </w:r>
      <w:r>
        <w:rPr>
          <w:rFonts w:hint="eastAsia" w:cs="Times New Roman"/>
          <w:snapToGrid w:val="0"/>
          <w:color w:val="auto"/>
        </w:rPr>
        <w:t>的稳定达标排放、环境风险的有效防范至关重要，本项目位于文渡工业区，生产废水依托集控中心一期污水处理站处理，废气净化处理达标后排放，危险固废委托有资质单位处置，根据本项目的排污特点以及集控中心对进驻企业环境管理要求，本项目环境管理应重点关注以下几点：</w:t>
      </w:r>
      <w:r>
        <w:rPr>
          <w:rFonts w:cs="Times New Roman"/>
          <w:snapToGrid w:val="0"/>
          <w:color w:val="auto"/>
        </w:rPr>
        <w:t xml:space="preserve"> </w:t>
      </w:r>
    </w:p>
    <w:p>
      <w:pPr>
        <w:pStyle w:val="79"/>
        <w:ind w:firstLine="480"/>
        <w:rPr>
          <w:rFonts w:cs="Times New Roman"/>
          <w:snapToGrid w:val="0"/>
          <w:color w:val="auto"/>
        </w:rPr>
      </w:pPr>
      <w:r>
        <w:rPr>
          <w:rFonts w:cs="Times New Roman"/>
          <w:snapToGrid w:val="0"/>
          <w:color w:val="auto"/>
        </w:rPr>
        <w:t>(1)废水排放管理</w:t>
      </w:r>
    </w:p>
    <w:p>
      <w:pPr>
        <w:pStyle w:val="79"/>
        <w:ind w:firstLine="480"/>
        <w:rPr>
          <w:rFonts w:cs="Times New Roman"/>
          <w:snapToGrid w:val="0"/>
          <w:color w:val="auto"/>
        </w:rPr>
      </w:pPr>
      <w:r>
        <w:rPr>
          <w:rFonts w:cs="Times New Roman"/>
          <w:snapToGrid w:val="0"/>
          <w:color w:val="auto"/>
        </w:rPr>
        <w:t>①按照集控中心的要求，雨污管道分开。废水管沟应做好防腐防渗措施，做到“可视、可控”，经过处理的废水符合国家《电镀污染物排放标准》（GB21900-2008）表2标准。</w:t>
      </w:r>
    </w:p>
    <w:p>
      <w:pPr>
        <w:pStyle w:val="102"/>
        <w:spacing w:line="360" w:lineRule="auto"/>
        <w:ind w:firstLine="480" w:firstLineChars="200"/>
        <w:rPr>
          <w:rFonts w:eastAsia="宋体"/>
          <w:color w:val="auto"/>
          <w:sz w:val="24"/>
          <w:szCs w:val="24"/>
        </w:rPr>
      </w:pPr>
      <w:r>
        <w:rPr>
          <w:rFonts w:hAnsi="宋体" w:eastAsia="宋体"/>
          <w:color w:val="auto"/>
          <w:sz w:val="24"/>
          <w:szCs w:val="24"/>
        </w:rPr>
        <w:t>②</w:t>
      </w:r>
      <w:r>
        <w:rPr>
          <w:rFonts w:eastAsia="宋体"/>
          <w:color w:val="auto"/>
          <w:sz w:val="24"/>
          <w:szCs w:val="24"/>
        </w:rPr>
        <w:t>选用低六价铬镀铬以及低COD除油剂等先进技术、先进工艺。采用清洗水逆流漂等节水型清洁生产工艺。不采用单级漂洗或直接冲洗等落后工艺。品种单一、连续性生产企业要求自动电镀生产线、半自动电镀生产线达到70%以上。</w:t>
      </w:r>
    </w:p>
    <w:p>
      <w:pPr>
        <w:pStyle w:val="102"/>
        <w:spacing w:line="360" w:lineRule="auto"/>
        <w:ind w:firstLine="480" w:firstLineChars="200"/>
        <w:rPr>
          <w:rFonts w:eastAsia="宋体"/>
          <w:color w:val="auto"/>
          <w:sz w:val="24"/>
          <w:szCs w:val="24"/>
        </w:rPr>
      </w:pPr>
      <w:r>
        <w:rPr>
          <w:rFonts w:hAnsi="宋体" w:eastAsia="宋体"/>
          <w:color w:val="auto"/>
          <w:sz w:val="24"/>
          <w:szCs w:val="24"/>
        </w:rPr>
        <w:t>③</w:t>
      </w:r>
      <w:r>
        <w:rPr>
          <w:rFonts w:eastAsia="宋体"/>
          <w:color w:val="auto"/>
          <w:sz w:val="24"/>
          <w:szCs w:val="24"/>
        </w:rPr>
        <w:t>企业清洁生产水平达到二级以上。生产线配有多级逆流漂洗节水装置及槽间收集遗洒镀液和清洗液的装置，槽、罐、管线按“可视、可控”原则布置，并设有相应的防破损、防腐蚀等防渗措施。</w:t>
      </w:r>
    </w:p>
    <w:p>
      <w:pPr>
        <w:pStyle w:val="102"/>
        <w:spacing w:line="360" w:lineRule="auto"/>
        <w:ind w:firstLine="480" w:firstLineChars="200"/>
        <w:rPr>
          <w:rFonts w:eastAsia="宋体"/>
          <w:color w:val="auto"/>
          <w:sz w:val="24"/>
          <w:szCs w:val="24"/>
        </w:rPr>
      </w:pPr>
      <w:r>
        <w:rPr>
          <w:rFonts w:hAnsi="宋体" w:eastAsia="宋体"/>
          <w:color w:val="auto"/>
          <w:sz w:val="24"/>
          <w:szCs w:val="24"/>
        </w:rPr>
        <w:t>④</w:t>
      </w:r>
      <w:r>
        <w:rPr>
          <w:rFonts w:eastAsia="宋体"/>
          <w:color w:val="auto"/>
          <w:sz w:val="24"/>
          <w:szCs w:val="24"/>
        </w:rPr>
        <w:t>对电镀废水的分类、分流。车间内部的排水管道必须在集控中心工作人员的指导下安装，每股废水管道上用不同颜色进行标识，做到“可视、可控”，并在每股废水的车间排水口出预留监测口，各股废水做到不混排。</w:t>
      </w:r>
    </w:p>
    <w:p>
      <w:pPr>
        <w:pStyle w:val="102"/>
        <w:spacing w:line="360" w:lineRule="auto"/>
        <w:ind w:firstLine="480" w:firstLineChars="200"/>
        <w:rPr>
          <w:rFonts w:eastAsia="宋体"/>
          <w:color w:val="auto"/>
          <w:sz w:val="24"/>
          <w:szCs w:val="24"/>
        </w:rPr>
      </w:pPr>
      <w:r>
        <w:rPr>
          <w:rFonts w:hAnsi="宋体" w:eastAsia="宋体"/>
          <w:color w:val="auto"/>
          <w:sz w:val="24"/>
          <w:szCs w:val="24"/>
        </w:rPr>
        <w:t>⑤</w:t>
      </w:r>
      <w:r>
        <w:rPr>
          <w:rFonts w:eastAsia="宋体"/>
          <w:color w:val="auto"/>
          <w:sz w:val="24"/>
          <w:szCs w:val="24"/>
        </w:rPr>
        <w:t>针对车间位置较小、两种镀槽之间的距离较近时，应在镀槽间加装挡板，并在走道设置PVC挡板围堰减少操作混排。</w:t>
      </w:r>
    </w:p>
    <w:p>
      <w:pPr>
        <w:pStyle w:val="102"/>
        <w:spacing w:line="360" w:lineRule="auto"/>
        <w:ind w:firstLine="480" w:firstLineChars="200"/>
        <w:rPr>
          <w:rFonts w:eastAsia="宋体"/>
          <w:color w:val="auto"/>
          <w:sz w:val="24"/>
          <w:szCs w:val="24"/>
        </w:rPr>
      </w:pPr>
      <w:r>
        <w:rPr>
          <w:rFonts w:hAnsi="宋体" w:eastAsia="宋体"/>
          <w:color w:val="auto"/>
          <w:sz w:val="24"/>
          <w:szCs w:val="24"/>
        </w:rPr>
        <w:t>⑥</w:t>
      </w:r>
      <w:r>
        <w:rPr>
          <w:rFonts w:eastAsia="宋体"/>
          <w:color w:val="auto"/>
          <w:sz w:val="24"/>
          <w:szCs w:val="24"/>
        </w:rPr>
        <w:t>规范各种滤芯等清洗杂物区域并在出水口加装滤网，安排专门人员定期清理。严禁企业工人穿戴含有电镀液的手套、衣裙在洗手间进行清洗。</w:t>
      </w:r>
    </w:p>
    <w:p>
      <w:pPr>
        <w:pStyle w:val="102"/>
        <w:spacing w:line="360" w:lineRule="auto"/>
        <w:ind w:firstLine="480" w:firstLineChars="200"/>
        <w:rPr>
          <w:rFonts w:eastAsia="宋体"/>
          <w:color w:val="auto"/>
          <w:sz w:val="24"/>
          <w:szCs w:val="24"/>
        </w:rPr>
      </w:pPr>
      <w:r>
        <w:rPr>
          <w:rFonts w:hAnsi="宋体" w:eastAsia="宋体"/>
          <w:color w:val="auto"/>
          <w:sz w:val="24"/>
          <w:szCs w:val="24"/>
        </w:rPr>
        <w:t>⑦</w:t>
      </w:r>
      <w:r>
        <w:rPr>
          <w:rFonts w:eastAsia="宋体"/>
          <w:color w:val="auto"/>
          <w:sz w:val="24"/>
          <w:szCs w:val="24"/>
        </w:rPr>
        <w:t>安排专人负责及时清理地面积水、管沟杂物，保持排水顺畅。</w:t>
      </w:r>
    </w:p>
    <w:p>
      <w:pPr>
        <w:pStyle w:val="102"/>
        <w:spacing w:line="360" w:lineRule="auto"/>
        <w:ind w:firstLine="480" w:firstLineChars="200"/>
        <w:rPr>
          <w:rFonts w:eastAsia="宋体"/>
          <w:color w:val="auto"/>
          <w:sz w:val="24"/>
          <w:szCs w:val="24"/>
        </w:rPr>
      </w:pPr>
      <w:r>
        <w:rPr>
          <w:rFonts w:hAnsi="宋体" w:eastAsia="宋体"/>
          <w:color w:val="auto"/>
          <w:sz w:val="24"/>
          <w:szCs w:val="24"/>
        </w:rPr>
        <w:t>⑧</w:t>
      </w:r>
      <w:r>
        <w:rPr>
          <w:rFonts w:eastAsia="宋体"/>
          <w:color w:val="auto"/>
          <w:sz w:val="24"/>
          <w:szCs w:val="24"/>
        </w:rPr>
        <w:t>要求本项目每天对企业的电镀废水排放量进行统计记录，避免超量排放。</w:t>
      </w:r>
    </w:p>
    <w:p>
      <w:pPr>
        <w:pStyle w:val="102"/>
        <w:spacing w:line="360" w:lineRule="auto"/>
        <w:ind w:firstLine="480" w:firstLineChars="200"/>
        <w:rPr>
          <w:rFonts w:eastAsia="宋体"/>
          <w:color w:val="auto"/>
          <w:sz w:val="24"/>
          <w:szCs w:val="24"/>
        </w:rPr>
      </w:pPr>
      <w:r>
        <w:rPr>
          <w:rFonts w:hAnsi="宋体" w:eastAsia="宋体"/>
          <w:color w:val="auto"/>
          <w:sz w:val="24"/>
          <w:szCs w:val="24"/>
        </w:rPr>
        <w:t>⑨</w:t>
      </w:r>
      <w:r>
        <w:rPr>
          <w:rFonts w:eastAsia="宋体"/>
          <w:color w:val="auto"/>
          <w:sz w:val="24"/>
          <w:szCs w:val="24"/>
        </w:rPr>
        <w:t>要求项目积极配合集控中心监测定期对本项目进水水质监测工作。</w:t>
      </w:r>
    </w:p>
    <w:p>
      <w:pPr>
        <w:pStyle w:val="102"/>
        <w:spacing w:line="360" w:lineRule="auto"/>
        <w:ind w:firstLine="480" w:firstLineChars="200"/>
        <w:rPr>
          <w:rFonts w:eastAsia="宋体"/>
          <w:color w:val="auto"/>
          <w:sz w:val="24"/>
          <w:szCs w:val="24"/>
        </w:rPr>
      </w:pPr>
      <w:r>
        <w:rPr>
          <w:rFonts w:eastAsia="宋体"/>
          <w:color w:val="auto"/>
          <w:sz w:val="24"/>
          <w:szCs w:val="24"/>
        </w:rPr>
        <w:t>(2)废气排放管理</w:t>
      </w:r>
    </w:p>
    <w:p>
      <w:pPr>
        <w:pStyle w:val="102"/>
        <w:spacing w:line="360" w:lineRule="auto"/>
        <w:ind w:firstLine="480" w:firstLineChars="200"/>
        <w:rPr>
          <w:rFonts w:eastAsia="宋体"/>
          <w:color w:val="auto"/>
          <w:sz w:val="24"/>
          <w:szCs w:val="24"/>
        </w:rPr>
      </w:pPr>
      <w:r>
        <w:rPr>
          <w:rFonts w:hAnsi="宋体" w:eastAsia="宋体"/>
          <w:color w:val="auto"/>
          <w:sz w:val="24"/>
          <w:szCs w:val="24"/>
        </w:rPr>
        <w:t>①</w:t>
      </w:r>
      <w:r>
        <w:rPr>
          <w:rFonts w:eastAsia="宋体"/>
          <w:color w:val="auto"/>
          <w:sz w:val="24"/>
          <w:szCs w:val="24"/>
        </w:rPr>
        <w:t>生产期间，须保证废气处理设施正常运行，为此，建议废气处理配套风机设置专用电表，由专人负责对每月电表读数进行记录。</w:t>
      </w:r>
    </w:p>
    <w:p>
      <w:pPr>
        <w:pStyle w:val="102"/>
        <w:spacing w:line="360" w:lineRule="auto"/>
        <w:ind w:firstLine="480" w:firstLineChars="200"/>
        <w:rPr>
          <w:rFonts w:eastAsia="宋体"/>
          <w:color w:val="auto"/>
          <w:sz w:val="24"/>
          <w:szCs w:val="24"/>
        </w:rPr>
      </w:pPr>
      <w:r>
        <w:rPr>
          <w:rFonts w:hAnsi="宋体" w:eastAsia="宋体"/>
          <w:color w:val="auto"/>
          <w:sz w:val="24"/>
          <w:szCs w:val="24"/>
        </w:rPr>
        <w:t>②</w:t>
      </w:r>
      <w:r>
        <w:rPr>
          <w:rFonts w:eastAsia="宋体"/>
          <w:color w:val="auto"/>
          <w:sz w:val="24"/>
          <w:szCs w:val="24"/>
        </w:rPr>
        <w:t>废气治理设施应由有资质单位设计，建设单位应派专人负责定期对废气喷淋净化所用的碱液进行定期更换，保持良好的废气净化效果。</w:t>
      </w:r>
    </w:p>
    <w:p>
      <w:pPr>
        <w:pStyle w:val="102"/>
        <w:spacing w:line="360" w:lineRule="auto"/>
        <w:ind w:firstLine="480" w:firstLineChars="200"/>
        <w:rPr>
          <w:rFonts w:eastAsia="宋体"/>
          <w:color w:val="auto"/>
          <w:sz w:val="24"/>
          <w:szCs w:val="24"/>
        </w:rPr>
      </w:pPr>
      <w:r>
        <w:rPr>
          <w:rFonts w:hAnsi="宋体" w:eastAsia="宋体"/>
          <w:color w:val="auto"/>
          <w:sz w:val="24"/>
          <w:szCs w:val="24"/>
        </w:rPr>
        <w:t>③</w:t>
      </w:r>
      <w:r>
        <w:rPr>
          <w:rFonts w:eastAsia="宋体"/>
          <w:color w:val="auto"/>
          <w:sz w:val="24"/>
          <w:szCs w:val="24"/>
        </w:rPr>
        <w:t>废气处理设施进、出口预留采样孔。</w:t>
      </w:r>
    </w:p>
    <w:p>
      <w:pPr>
        <w:pStyle w:val="102"/>
        <w:spacing w:line="360" w:lineRule="auto"/>
        <w:ind w:firstLine="480" w:firstLineChars="200"/>
        <w:rPr>
          <w:rFonts w:eastAsia="宋体"/>
          <w:color w:val="auto"/>
          <w:sz w:val="24"/>
          <w:szCs w:val="24"/>
        </w:rPr>
      </w:pPr>
      <w:r>
        <w:rPr>
          <w:rFonts w:hAnsi="宋体" w:eastAsia="宋体"/>
          <w:color w:val="auto"/>
          <w:sz w:val="24"/>
          <w:szCs w:val="24"/>
        </w:rPr>
        <w:t>④</w:t>
      </w:r>
      <w:r>
        <w:rPr>
          <w:rFonts w:eastAsia="宋体"/>
          <w:color w:val="auto"/>
          <w:sz w:val="24"/>
          <w:szCs w:val="24"/>
        </w:rPr>
        <w:t>废气排放符合国家和地方大气污染物排放标准，引至顶楼排放。</w:t>
      </w:r>
    </w:p>
    <w:p>
      <w:pPr>
        <w:pStyle w:val="102"/>
        <w:spacing w:line="360" w:lineRule="auto"/>
        <w:ind w:firstLine="480" w:firstLineChars="200"/>
        <w:rPr>
          <w:rFonts w:eastAsia="宋体"/>
          <w:color w:val="auto"/>
          <w:sz w:val="24"/>
          <w:szCs w:val="24"/>
        </w:rPr>
      </w:pPr>
      <w:r>
        <w:rPr>
          <w:rFonts w:eastAsia="宋体"/>
          <w:color w:val="auto"/>
          <w:sz w:val="24"/>
          <w:szCs w:val="24"/>
        </w:rPr>
        <w:t>(3)危险固废管理</w:t>
      </w:r>
    </w:p>
    <w:p>
      <w:pPr>
        <w:pStyle w:val="102"/>
        <w:spacing w:line="360" w:lineRule="auto"/>
        <w:ind w:firstLine="480" w:firstLineChars="200"/>
        <w:rPr>
          <w:rFonts w:eastAsia="宋体"/>
          <w:color w:val="auto"/>
          <w:sz w:val="24"/>
          <w:szCs w:val="24"/>
        </w:rPr>
      </w:pPr>
      <w:r>
        <w:rPr>
          <w:rFonts w:eastAsia="宋体"/>
          <w:color w:val="auto"/>
          <w:sz w:val="24"/>
          <w:szCs w:val="24"/>
        </w:rPr>
        <w:t>本项目危险废物暂存依托集控中心危险废物暂存场所统一管理。</w:t>
      </w:r>
    </w:p>
    <w:p>
      <w:pPr>
        <w:pStyle w:val="102"/>
        <w:spacing w:line="360" w:lineRule="auto"/>
        <w:ind w:firstLine="480" w:firstLineChars="200"/>
        <w:rPr>
          <w:rFonts w:eastAsia="宋体"/>
          <w:color w:val="auto"/>
          <w:sz w:val="24"/>
          <w:szCs w:val="24"/>
        </w:rPr>
      </w:pPr>
      <w:r>
        <w:rPr>
          <w:rFonts w:hint="eastAsia" w:eastAsia="宋体"/>
          <w:color w:val="auto"/>
          <w:sz w:val="24"/>
          <w:szCs w:val="24"/>
        </w:rPr>
        <w:t>生产期间产生的危险废物参照《危险废物贮存污染控制标准》（</w:t>
      </w:r>
      <w:r>
        <w:rPr>
          <w:rFonts w:eastAsia="宋体"/>
          <w:color w:val="auto"/>
          <w:sz w:val="24"/>
          <w:szCs w:val="24"/>
        </w:rPr>
        <w:t>GB18597-2001</w:t>
      </w:r>
      <w:r>
        <w:rPr>
          <w:rFonts w:hint="eastAsia" w:eastAsia="宋体"/>
          <w:color w:val="auto"/>
          <w:sz w:val="24"/>
          <w:szCs w:val="24"/>
        </w:rPr>
        <w:t>）及修改单有关规定进行收集并放在集控中心的危废暂存间暂存，暂存过程严格按照《危险废物贮存污染控制标准》（</w:t>
      </w:r>
      <w:r>
        <w:rPr>
          <w:rFonts w:eastAsia="宋体"/>
          <w:color w:val="auto"/>
          <w:sz w:val="24"/>
          <w:szCs w:val="24"/>
        </w:rPr>
        <w:t>GB18597-2001</w:t>
      </w:r>
      <w:r>
        <w:rPr>
          <w:rFonts w:hint="eastAsia" w:eastAsia="宋体"/>
          <w:color w:val="auto"/>
          <w:sz w:val="24"/>
          <w:szCs w:val="24"/>
        </w:rPr>
        <w:t>）及修改单管理后委托有资质的单位收集处置。</w:t>
      </w:r>
    </w:p>
    <w:p>
      <w:pPr>
        <w:pStyle w:val="102"/>
        <w:spacing w:line="360" w:lineRule="auto"/>
        <w:ind w:firstLine="480" w:firstLineChars="200"/>
        <w:rPr>
          <w:rFonts w:eastAsia="宋体"/>
          <w:color w:val="auto"/>
          <w:sz w:val="24"/>
          <w:szCs w:val="24"/>
        </w:rPr>
      </w:pPr>
      <w:r>
        <w:rPr>
          <w:rFonts w:eastAsia="宋体"/>
          <w:color w:val="auto"/>
          <w:sz w:val="24"/>
          <w:szCs w:val="24"/>
        </w:rPr>
        <w:t>(4)</w:t>
      </w:r>
      <w:r>
        <w:rPr>
          <w:rFonts w:hint="eastAsia" w:eastAsia="宋体"/>
          <w:color w:val="auto"/>
          <w:sz w:val="24"/>
          <w:szCs w:val="24"/>
        </w:rPr>
        <w:t>环境风险防范</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①</w:t>
      </w:r>
      <w:r>
        <w:rPr>
          <w:rFonts w:hint="eastAsia" w:eastAsia="宋体"/>
          <w:color w:val="auto"/>
          <w:sz w:val="24"/>
          <w:szCs w:val="24"/>
        </w:rPr>
        <w:t>编制突发环境事件应急预案，并向环保部门备案。</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②</w:t>
      </w:r>
      <w:r>
        <w:rPr>
          <w:rFonts w:hint="eastAsia" w:eastAsia="宋体"/>
          <w:color w:val="auto"/>
          <w:sz w:val="24"/>
          <w:szCs w:val="24"/>
        </w:rPr>
        <w:t>本项目制定应急预案应与集控中心应急预案进行衔接。</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③</w:t>
      </w:r>
      <w:r>
        <w:rPr>
          <w:rFonts w:hint="eastAsia" w:eastAsia="宋体"/>
          <w:color w:val="auto"/>
          <w:sz w:val="24"/>
          <w:szCs w:val="24"/>
        </w:rPr>
        <w:t>做好危险化学品管理，如本项目硫酸、盐酸的采用小桶包装，应保证酸桶堆放整齐，特别是多层堆放时，应保证堆放稳定，防止倾倒。</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④</w:t>
      </w:r>
      <w:r>
        <w:rPr>
          <w:rFonts w:hint="eastAsia" w:eastAsia="宋体"/>
          <w:color w:val="auto"/>
          <w:sz w:val="24"/>
          <w:szCs w:val="24"/>
        </w:rPr>
        <w:t>化学品仓库，特别是涉及易燃品时，须配备灭火器。</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⑤</w:t>
      </w:r>
      <w:r>
        <w:rPr>
          <w:rFonts w:hint="eastAsia" w:eastAsia="宋体"/>
          <w:color w:val="auto"/>
          <w:sz w:val="24"/>
          <w:szCs w:val="24"/>
        </w:rPr>
        <w:t>液体化学品储存区周围应设置围堰，或将液体化学品置于托盘中，一旦发生液体化学品泄漏，将泄漏范围进行有效控制。</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⑥</w:t>
      </w:r>
      <w:r>
        <w:rPr>
          <w:rFonts w:hint="eastAsia" w:eastAsia="宋体"/>
          <w:color w:val="auto"/>
          <w:sz w:val="24"/>
          <w:szCs w:val="24"/>
        </w:rPr>
        <w:t>镀槽周围应设置围堰，以防范镀槽泄漏时槽液大范围外泄。</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⑦</w:t>
      </w:r>
      <w:r>
        <w:rPr>
          <w:rFonts w:hint="eastAsia" w:eastAsia="宋体"/>
          <w:color w:val="auto"/>
          <w:sz w:val="24"/>
          <w:szCs w:val="24"/>
        </w:rPr>
        <w:t>生产车间应配备应急桶、泄漏镀液收集设备等相关设施，一旦发生镀液泄漏快速将镀液转移至应急桶中。</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⑧</w:t>
      </w:r>
      <w:r>
        <w:rPr>
          <w:rFonts w:hint="eastAsia" w:eastAsia="宋体"/>
          <w:color w:val="auto"/>
          <w:sz w:val="24"/>
          <w:szCs w:val="24"/>
        </w:rPr>
        <w:t>本项目发生镀槽泄漏、废水收集管道破裂等事故时，应马上关闭本项目电镀废水检查口处出水阀门，并尽量将事故影响控制在车间内，若必须向集控区电镀污水处理站排水时，排水之前应通知集控中心电镀污水处理站相关负责人到场指导，做到有效联动。</w:t>
      </w:r>
    </w:p>
    <w:p>
      <w:pPr>
        <w:pStyle w:val="102"/>
        <w:spacing w:line="360" w:lineRule="auto"/>
        <w:ind w:firstLine="480" w:firstLineChars="200"/>
        <w:rPr>
          <w:rFonts w:eastAsia="宋体"/>
          <w:color w:val="auto"/>
          <w:sz w:val="24"/>
          <w:szCs w:val="24"/>
        </w:rPr>
      </w:pPr>
      <w:r>
        <w:rPr>
          <w:rFonts w:hint="eastAsia" w:ascii="宋体" w:hAnsi="宋体" w:eastAsia="宋体" w:cs="宋体"/>
          <w:color w:val="auto"/>
          <w:sz w:val="24"/>
          <w:szCs w:val="24"/>
        </w:rPr>
        <w:t>⑨</w:t>
      </w:r>
      <w:r>
        <w:rPr>
          <w:rFonts w:hint="eastAsia" w:eastAsia="宋体"/>
          <w:color w:val="auto"/>
          <w:sz w:val="24"/>
          <w:szCs w:val="24"/>
        </w:rPr>
        <w:t>若项目发生了突发环境事件，公司应急领导小组在采取措施的同时根据制定的报警程序马上向集控中心管委会报告，报告的内容包括事故发生的时间、事故的起因、事故的污染源、已造成的损失和污染情况、已采取的应急措施等；如果污染事故超出项目的污染应急能力时，项目应向集控区其他企业和集控区管委会发出救援请求，统筹配置应急救援组织机构、队伍、装备和物资，共享区域应急资源。</w:t>
      </w:r>
    </w:p>
    <w:p>
      <w:pPr>
        <w:pStyle w:val="102"/>
        <w:spacing w:line="360" w:lineRule="auto"/>
        <w:ind w:firstLine="480" w:firstLineChars="200"/>
        <w:rPr>
          <w:rFonts w:eastAsia="宋体"/>
          <w:color w:val="auto"/>
          <w:sz w:val="24"/>
          <w:szCs w:val="24"/>
        </w:rPr>
      </w:pPr>
      <w:r>
        <w:rPr>
          <w:rFonts w:eastAsia="宋体"/>
          <w:color w:val="auto"/>
          <w:sz w:val="24"/>
          <w:szCs w:val="24"/>
        </w:rPr>
        <w:t>(5)</w:t>
      </w:r>
      <w:r>
        <w:rPr>
          <w:rFonts w:hint="eastAsia" w:eastAsia="宋体"/>
          <w:color w:val="auto"/>
          <w:sz w:val="24"/>
          <w:szCs w:val="24"/>
        </w:rPr>
        <w:t>信息反馈和群众监督</w:t>
      </w:r>
    </w:p>
    <w:p>
      <w:pPr>
        <w:adjustRightInd w:val="0"/>
        <w:snapToGrid w:val="0"/>
        <w:spacing w:line="360" w:lineRule="auto"/>
        <w:ind w:firstLine="480" w:firstLineChars="200"/>
        <w:rPr>
          <w:color w:val="auto"/>
          <w:sz w:val="24"/>
        </w:rPr>
      </w:pPr>
      <w:r>
        <w:rPr>
          <w:rFonts w:hint="eastAsia"/>
          <w:color w:val="auto"/>
          <w:sz w:val="24"/>
        </w:rPr>
        <w:t>反馈监测数据，加强群众监督，改进污染治理的工作。建立奖惩制度，保证环保设施的正常运转；归纳整理监测数据，技术部门配合进行工艺的改进；聘请附近居民为监督员，收集周边群众意见，配合环保部门的检查。</w:t>
      </w:r>
    </w:p>
    <w:p>
      <w:pPr>
        <w:pStyle w:val="102"/>
        <w:spacing w:line="360" w:lineRule="auto"/>
        <w:ind w:firstLine="480" w:firstLineChars="200"/>
        <w:rPr>
          <w:rFonts w:eastAsia="宋体"/>
          <w:color w:val="auto"/>
          <w:sz w:val="24"/>
          <w:szCs w:val="24"/>
        </w:rPr>
      </w:pPr>
      <w:r>
        <w:rPr>
          <w:rFonts w:eastAsia="宋体"/>
          <w:color w:val="auto"/>
          <w:sz w:val="24"/>
          <w:szCs w:val="24"/>
        </w:rPr>
        <w:t>(6)</w:t>
      </w:r>
      <w:r>
        <w:rPr>
          <w:rFonts w:hint="eastAsia" w:eastAsia="宋体"/>
          <w:color w:val="auto"/>
          <w:sz w:val="24"/>
          <w:szCs w:val="24"/>
        </w:rPr>
        <w:t>企业排污许可管理要求</w:t>
      </w:r>
    </w:p>
    <w:p>
      <w:pPr>
        <w:adjustRightInd w:val="0"/>
        <w:snapToGrid w:val="0"/>
        <w:spacing w:line="360" w:lineRule="auto"/>
        <w:ind w:firstLine="480" w:firstLineChars="200"/>
        <w:rPr>
          <w:color w:val="auto"/>
          <w:sz w:val="24"/>
        </w:rPr>
      </w:pPr>
      <w:r>
        <w:rPr>
          <w:rFonts w:hint="eastAsia"/>
          <w:color w:val="auto"/>
          <w:sz w:val="24"/>
        </w:rPr>
        <w:t>根据《控制污染物排放许可制实施方案》（国办发〔</w:t>
      </w:r>
      <w:r>
        <w:rPr>
          <w:color w:val="auto"/>
          <w:sz w:val="24"/>
        </w:rPr>
        <w:t>2016</w:t>
      </w:r>
      <w:r>
        <w:rPr>
          <w:rFonts w:hint="eastAsia"/>
          <w:color w:val="auto"/>
          <w:sz w:val="24"/>
        </w:rPr>
        <w:t>〕</w:t>
      </w:r>
      <w:r>
        <w:rPr>
          <w:color w:val="auto"/>
          <w:sz w:val="24"/>
        </w:rPr>
        <w:t>81</w:t>
      </w:r>
      <w:r>
        <w:rPr>
          <w:rFonts w:hint="eastAsia"/>
          <w:color w:val="auto"/>
          <w:sz w:val="24"/>
        </w:rPr>
        <w:t>号），企业在申请排污许可证前，应当将主要申请内容，包括排污单位基本信息、拟申请的许可事项，产排污环节，污染防治措施，通过国家排污许可证管理信息平台或者其他规定途径等便于公众知晓的方式向社会公开。公开时间不得少于</w:t>
      </w:r>
      <w:r>
        <w:rPr>
          <w:color w:val="auto"/>
          <w:sz w:val="24"/>
        </w:rPr>
        <w:t>5</w:t>
      </w:r>
      <w:r>
        <w:rPr>
          <w:rFonts w:hint="eastAsia"/>
          <w:color w:val="auto"/>
          <w:sz w:val="24"/>
        </w:rPr>
        <w:t>日。</w:t>
      </w:r>
    </w:p>
    <w:p>
      <w:pPr>
        <w:pStyle w:val="102"/>
        <w:spacing w:line="360" w:lineRule="auto"/>
        <w:ind w:firstLine="480" w:firstLineChars="200"/>
        <w:rPr>
          <w:rFonts w:eastAsia="宋体"/>
          <w:color w:val="auto"/>
          <w:sz w:val="24"/>
          <w:szCs w:val="24"/>
        </w:rPr>
      </w:pPr>
      <w:r>
        <w:rPr>
          <w:rFonts w:eastAsia="宋体"/>
          <w:color w:val="auto"/>
          <w:sz w:val="24"/>
          <w:szCs w:val="24"/>
        </w:rPr>
        <w:t>(7)</w:t>
      </w:r>
      <w:r>
        <w:rPr>
          <w:rFonts w:hint="eastAsia" w:eastAsia="宋体"/>
          <w:color w:val="auto"/>
          <w:sz w:val="24"/>
          <w:szCs w:val="24"/>
        </w:rPr>
        <w:t>企业自主验收管理要求</w:t>
      </w:r>
    </w:p>
    <w:p>
      <w:pPr>
        <w:adjustRightInd w:val="0"/>
        <w:snapToGrid w:val="0"/>
        <w:spacing w:line="360" w:lineRule="auto"/>
        <w:ind w:firstLine="480" w:firstLineChars="200"/>
        <w:rPr>
          <w:color w:val="auto"/>
          <w:sz w:val="24"/>
        </w:rPr>
      </w:pPr>
      <w:r>
        <w:rPr>
          <w:rFonts w:hint="eastAsia"/>
          <w:color w:val="auto"/>
          <w:sz w:val="24"/>
        </w:rPr>
        <w:t>根据《建设项目环境保护管理条例》，强化建设单位环境保护主体责任，落实建设项目环境保护“三同时”制度，规范建设项目竣工后建设单位自主开展环境保护验收的程序和标准。本项目竣工后，建设单位应当依照国家有关法律法规、建设项目竣工环境保护验收技术规范、建设项目环境影响报告书和审批决定等要求，如实查验、监测、记载建设项目环境保护设施的建设和调试情况，同时还应如实记载其他环境保护对策措施“三同时”落实情况，编制竣工环境保护验收报告。验收报告编制人员对其编制的验收报告结论终身负责，不得弄虚作假。</w:t>
      </w:r>
    </w:p>
    <w:p>
      <w:pPr>
        <w:snapToGrid w:val="0"/>
        <w:spacing w:line="360" w:lineRule="auto"/>
        <w:outlineLvl w:val="1"/>
        <w:rPr>
          <w:b/>
          <w:color w:val="auto"/>
          <w:sz w:val="28"/>
          <w:szCs w:val="28"/>
        </w:rPr>
      </w:pPr>
      <w:r>
        <w:rPr>
          <w:rFonts w:hint="eastAsia"/>
          <w:b/>
          <w:color w:val="auto"/>
          <w:sz w:val="28"/>
          <w:szCs w:val="28"/>
        </w:rPr>
        <w:t>11.2污染物排放清单及管理要求</w:t>
      </w:r>
    </w:p>
    <w:p>
      <w:pPr>
        <w:pStyle w:val="72"/>
        <w:ind w:firstLine="480"/>
        <w:rPr>
          <w:color w:val="auto"/>
        </w:rPr>
        <w:sectPr>
          <w:pgSz w:w="11906" w:h="16838"/>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r>
        <w:rPr>
          <w:color w:val="auto"/>
        </w:rPr>
        <w:t>本项目污染物排放清单及管理要求见表</w:t>
      </w:r>
      <w:r>
        <w:rPr>
          <w:rFonts w:hint="eastAsia"/>
          <w:color w:val="auto"/>
        </w:rPr>
        <w:t>11</w:t>
      </w:r>
      <w:r>
        <w:rPr>
          <w:color w:val="auto"/>
        </w:rPr>
        <w:t>.2-1。</w:t>
      </w:r>
    </w:p>
    <w:p>
      <w:pPr>
        <w:pStyle w:val="27"/>
        <w:tabs>
          <w:tab w:val="left" w:pos="3825"/>
          <w:tab w:val="left" w:pos="4680"/>
        </w:tabs>
        <w:rPr>
          <w:bCs/>
          <w:color w:val="auto"/>
          <w:sz w:val="24"/>
        </w:rPr>
      </w:pPr>
      <w:r>
        <w:rPr>
          <w:bCs/>
          <w:color w:val="auto"/>
          <w:sz w:val="24"/>
        </w:rPr>
        <w:t>表11.2-1  污染物排放清单及管理要求</w:t>
      </w:r>
    </w:p>
    <w:tbl>
      <w:tblPr>
        <w:tblStyle w:val="22"/>
        <w:tblW w:w="2119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565"/>
        <w:gridCol w:w="707"/>
        <w:gridCol w:w="738"/>
        <w:gridCol w:w="401"/>
        <w:gridCol w:w="207"/>
        <w:gridCol w:w="1388"/>
        <w:gridCol w:w="120"/>
        <w:gridCol w:w="355"/>
        <w:gridCol w:w="758"/>
        <w:gridCol w:w="745"/>
        <w:gridCol w:w="1688"/>
        <w:gridCol w:w="491"/>
        <w:gridCol w:w="1137"/>
        <w:gridCol w:w="2258"/>
        <w:gridCol w:w="1339"/>
        <w:gridCol w:w="1047"/>
        <w:gridCol w:w="325"/>
        <w:gridCol w:w="576"/>
        <w:gridCol w:w="715"/>
        <w:gridCol w:w="1753"/>
        <w:gridCol w:w="1745"/>
        <w:gridCol w:w="393"/>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1195" w:type="dxa"/>
            <w:gridSpan w:val="24"/>
            <w:tcBorders>
              <w:tl2br w:val="nil"/>
              <w:tr2bl w:val="nil"/>
            </w:tcBorders>
            <w:vAlign w:val="center"/>
          </w:tcPr>
          <w:p>
            <w:pPr>
              <w:tabs>
                <w:tab w:val="left" w:pos="2552"/>
              </w:tabs>
              <w:jc w:val="center"/>
              <w:rPr>
                <w:color w:val="auto"/>
                <w:szCs w:val="21"/>
              </w:rPr>
            </w:pPr>
            <w:r>
              <w:rPr>
                <w:rFonts w:hint="eastAsia"/>
                <w:color w:val="auto"/>
                <w:szCs w:val="21"/>
              </w:rPr>
              <w:t>（</w:t>
            </w:r>
            <w:r>
              <w:rPr>
                <w:color w:val="auto"/>
                <w:szCs w:val="21"/>
              </w:rPr>
              <w:t>1</w:t>
            </w:r>
            <w:r>
              <w:rPr>
                <w:rFonts w:hint="eastAsia"/>
                <w:color w:val="auto"/>
                <w:szCs w:val="21"/>
              </w:rPr>
              <w:t>）废气产排污环节、污染物及污染治理设施清单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44" w:type="dxa"/>
            <w:vMerge w:val="restart"/>
            <w:tcBorders>
              <w:tl2br w:val="nil"/>
              <w:tr2bl w:val="nil"/>
            </w:tcBorders>
            <w:vAlign w:val="center"/>
          </w:tcPr>
          <w:p>
            <w:pPr>
              <w:tabs>
                <w:tab w:val="left" w:pos="2552"/>
              </w:tabs>
              <w:jc w:val="center"/>
              <w:rPr>
                <w:color w:val="auto"/>
                <w:szCs w:val="21"/>
              </w:rPr>
            </w:pPr>
            <w:r>
              <w:rPr>
                <w:rFonts w:hint="eastAsia"/>
                <w:color w:val="auto"/>
                <w:szCs w:val="21"/>
              </w:rPr>
              <w:t>序号</w:t>
            </w:r>
          </w:p>
        </w:tc>
        <w:tc>
          <w:tcPr>
            <w:tcW w:w="1272" w:type="dxa"/>
            <w:gridSpan w:val="2"/>
            <w:vMerge w:val="restart"/>
            <w:tcBorders>
              <w:tl2br w:val="nil"/>
              <w:tr2bl w:val="nil"/>
            </w:tcBorders>
            <w:vAlign w:val="center"/>
          </w:tcPr>
          <w:p>
            <w:pPr>
              <w:tabs>
                <w:tab w:val="left" w:pos="2552"/>
              </w:tabs>
              <w:jc w:val="center"/>
              <w:rPr>
                <w:rFonts w:hint="eastAsia"/>
                <w:color w:val="auto"/>
                <w:szCs w:val="21"/>
              </w:rPr>
            </w:pPr>
            <w:r>
              <w:rPr>
                <w:rFonts w:hint="eastAsia"/>
                <w:color w:val="auto"/>
                <w:szCs w:val="21"/>
              </w:rPr>
              <w:t>生产设施</w:t>
            </w:r>
          </w:p>
          <w:p>
            <w:pPr>
              <w:tabs>
                <w:tab w:val="left" w:pos="2552"/>
              </w:tabs>
              <w:jc w:val="center"/>
              <w:rPr>
                <w:color w:val="auto"/>
                <w:szCs w:val="21"/>
              </w:rPr>
            </w:pPr>
            <w:r>
              <w:rPr>
                <w:rFonts w:hint="eastAsia"/>
                <w:color w:val="auto"/>
                <w:szCs w:val="21"/>
              </w:rPr>
              <w:t>名称</w:t>
            </w:r>
          </w:p>
        </w:tc>
        <w:tc>
          <w:tcPr>
            <w:tcW w:w="1346" w:type="dxa"/>
            <w:gridSpan w:val="3"/>
            <w:vMerge w:val="restart"/>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排放位置</w:t>
            </w:r>
          </w:p>
        </w:tc>
        <w:tc>
          <w:tcPr>
            <w:tcW w:w="1508" w:type="dxa"/>
            <w:gridSpan w:val="2"/>
            <w:vMerge w:val="restart"/>
            <w:tcBorders>
              <w:tl2br w:val="nil"/>
              <w:tr2bl w:val="nil"/>
            </w:tcBorders>
            <w:vAlign w:val="center"/>
          </w:tcPr>
          <w:p>
            <w:pPr>
              <w:jc w:val="center"/>
              <w:rPr>
                <w:rFonts w:hint="eastAsia"/>
                <w:color w:val="auto"/>
                <w:szCs w:val="21"/>
              </w:rPr>
            </w:pPr>
            <w:r>
              <w:rPr>
                <w:rFonts w:hint="eastAsia"/>
                <w:color w:val="auto"/>
                <w:szCs w:val="21"/>
              </w:rPr>
              <w:t>污染物种类</w:t>
            </w:r>
          </w:p>
        </w:tc>
        <w:tc>
          <w:tcPr>
            <w:tcW w:w="1113"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排放形式</w:t>
            </w:r>
          </w:p>
        </w:tc>
        <w:tc>
          <w:tcPr>
            <w:tcW w:w="745" w:type="dxa"/>
            <w:vMerge w:val="restart"/>
            <w:tcBorders>
              <w:tl2br w:val="nil"/>
              <w:tr2bl w:val="nil"/>
            </w:tcBorders>
            <w:vAlign w:val="center"/>
          </w:tcPr>
          <w:p>
            <w:pPr>
              <w:jc w:val="center"/>
              <w:rPr>
                <w:color w:val="auto"/>
                <w:szCs w:val="21"/>
              </w:rPr>
            </w:pPr>
            <w:r>
              <w:rPr>
                <w:rFonts w:hint="eastAsia"/>
                <w:color w:val="auto"/>
                <w:szCs w:val="21"/>
              </w:rPr>
              <w:t>排放浓度</w:t>
            </w:r>
            <w:r>
              <w:rPr>
                <w:color w:val="auto"/>
                <w:szCs w:val="21"/>
              </w:rPr>
              <w:t>mg/Nm</w:t>
            </w:r>
            <w:r>
              <w:rPr>
                <w:color w:val="auto"/>
                <w:szCs w:val="21"/>
                <w:vertAlign w:val="superscript"/>
              </w:rPr>
              <w:t>3</w:t>
            </w:r>
          </w:p>
        </w:tc>
        <w:tc>
          <w:tcPr>
            <w:tcW w:w="1688" w:type="dxa"/>
            <w:vMerge w:val="restart"/>
            <w:tcBorders>
              <w:tl2br w:val="nil"/>
              <w:tr2bl w:val="nil"/>
            </w:tcBorders>
            <w:vAlign w:val="center"/>
          </w:tcPr>
          <w:p>
            <w:pPr>
              <w:tabs>
                <w:tab w:val="left" w:pos="2552"/>
              </w:tabs>
              <w:jc w:val="center"/>
              <w:rPr>
                <w:color w:val="auto"/>
                <w:szCs w:val="21"/>
              </w:rPr>
            </w:pPr>
            <w:r>
              <w:rPr>
                <w:rFonts w:hint="eastAsia"/>
                <w:color w:val="auto"/>
                <w:szCs w:val="21"/>
              </w:rPr>
              <w:t>排放量</w:t>
            </w:r>
            <w:r>
              <w:rPr>
                <w:color w:val="auto"/>
                <w:szCs w:val="21"/>
              </w:rPr>
              <w:t>t/a</w:t>
            </w:r>
          </w:p>
        </w:tc>
        <w:tc>
          <w:tcPr>
            <w:tcW w:w="5225" w:type="dxa"/>
            <w:gridSpan w:val="4"/>
            <w:tcBorders>
              <w:tl2br w:val="nil"/>
              <w:tr2bl w:val="nil"/>
            </w:tcBorders>
            <w:vAlign w:val="center"/>
          </w:tcPr>
          <w:p>
            <w:pPr>
              <w:jc w:val="center"/>
              <w:rPr>
                <w:color w:val="auto"/>
                <w:szCs w:val="21"/>
              </w:rPr>
            </w:pPr>
            <w:r>
              <w:rPr>
                <w:rFonts w:hint="eastAsia"/>
                <w:color w:val="auto"/>
                <w:szCs w:val="21"/>
              </w:rPr>
              <w:t>执行标准</w:t>
            </w:r>
          </w:p>
        </w:tc>
        <w:tc>
          <w:tcPr>
            <w:tcW w:w="4416" w:type="dxa"/>
            <w:gridSpan w:val="5"/>
            <w:tcBorders>
              <w:tl2br w:val="nil"/>
              <w:tr2bl w:val="nil"/>
            </w:tcBorders>
            <w:vAlign w:val="center"/>
          </w:tcPr>
          <w:p>
            <w:pPr>
              <w:jc w:val="center"/>
              <w:rPr>
                <w:color w:val="auto"/>
                <w:szCs w:val="21"/>
              </w:rPr>
            </w:pPr>
            <w:r>
              <w:rPr>
                <w:rFonts w:hint="eastAsia"/>
                <w:color w:val="auto"/>
                <w:szCs w:val="21"/>
              </w:rPr>
              <w:t>污染治理设施</w:t>
            </w:r>
          </w:p>
        </w:tc>
        <w:tc>
          <w:tcPr>
            <w:tcW w:w="2138"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排放口设置要求</w:t>
            </w:r>
          </w:p>
        </w:tc>
        <w:tc>
          <w:tcPr>
            <w:tcW w:w="1000" w:type="dxa"/>
            <w:vMerge w:val="restart"/>
            <w:tcBorders>
              <w:tl2br w:val="nil"/>
              <w:tr2bl w:val="nil"/>
            </w:tcBorders>
            <w:vAlign w:val="center"/>
          </w:tcPr>
          <w:p>
            <w:pPr>
              <w:tabs>
                <w:tab w:val="left" w:pos="2552"/>
              </w:tabs>
              <w:jc w:val="center"/>
              <w:rPr>
                <w:color w:val="auto"/>
                <w:szCs w:val="21"/>
              </w:rPr>
            </w:pPr>
            <w:r>
              <w:rPr>
                <w:rFonts w:hint="eastAsia"/>
                <w:color w:val="auto"/>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346" w:type="dxa"/>
            <w:gridSpan w:val="3"/>
            <w:vMerge w:val="continue"/>
            <w:tcBorders>
              <w:tl2br w:val="nil"/>
              <w:tr2bl w:val="nil"/>
            </w:tcBorders>
            <w:vAlign w:val="center"/>
          </w:tcPr>
          <w:p>
            <w:pPr>
              <w:widowControl/>
              <w:jc w:val="left"/>
              <w:rPr>
                <w:color w:val="auto"/>
                <w:szCs w:val="21"/>
              </w:rPr>
            </w:pPr>
          </w:p>
        </w:tc>
        <w:tc>
          <w:tcPr>
            <w:tcW w:w="1508" w:type="dxa"/>
            <w:gridSpan w:val="2"/>
            <w:vMerge w:val="continue"/>
            <w:tcBorders>
              <w:tl2br w:val="nil"/>
              <w:tr2bl w:val="nil"/>
            </w:tcBorders>
            <w:vAlign w:val="center"/>
          </w:tcPr>
          <w:p>
            <w:pPr>
              <w:widowControl/>
              <w:jc w:val="left"/>
              <w:rPr>
                <w:color w:val="auto"/>
                <w:szCs w:val="21"/>
              </w:rPr>
            </w:pPr>
          </w:p>
        </w:tc>
        <w:tc>
          <w:tcPr>
            <w:tcW w:w="1113" w:type="dxa"/>
            <w:gridSpan w:val="2"/>
            <w:vMerge w:val="continue"/>
            <w:tcBorders>
              <w:tl2br w:val="nil"/>
              <w:tr2bl w:val="nil"/>
            </w:tcBorders>
            <w:vAlign w:val="center"/>
          </w:tcPr>
          <w:p>
            <w:pPr>
              <w:widowControl/>
              <w:jc w:val="left"/>
              <w:rPr>
                <w:color w:val="auto"/>
                <w:szCs w:val="21"/>
              </w:rPr>
            </w:pPr>
          </w:p>
        </w:tc>
        <w:tc>
          <w:tcPr>
            <w:tcW w:w="745" w:type="dxa"/>
            <w:vMerge w:val="continue"/>
            <w:tcBorders>
              <w:tl2br w:val="nil"/>
              <w:tr2bl w:val="nil"/>
            </w:tcBorders>
            <w:vAlign w:val="center"/>
          </w:tcPr>
          <w:p>
            <w:pPr>
              <w:widowControl/>
              <w:jc w:val="left"/>
              <w:rPr>
                <w:color w:val="auto"/>
                <w:szCs w:val="21"/>
              </w:rPr>
            </w:pPr>
          </w:p>
        </w:tc>
        <w:tc>
          <w:tcPr>
            <w:tcW w:w="1688" w:type="dxa"/>
            <w:vMerge w:val="continue"/>
            <w:tcBorders>
              <w:tl2br w:val="nil"/>
              <w:tr2bl w:val="nil"/>
            </w:tcBorders>
            <w:vAlign w:val="center"/>
          </w:tcPr>
          <w:p>
            <w:pPr>
              <w:widowControl/>
              <w:jc w:val="left"/>
              <w:rPr>
                <w:color w:val="auto"/>
                <w:szCs w:val="21"/>
              </w:rPr>
            </w:pPr>
          </w:p>
        </w:tc>
        <w:tc>
          <w:tcPr>
            <w:tcW w:w="1628" w:type="dxa"/>
            <w:gridSpan w:val="2"/>
            <w:tcBorders>
              <w:tl2br w:val="nil"/>
              <w:tr2bl w:val="nil"/>
            </w:tcBorders>
            <w:vAlign w:val="center"/>
          </w:tcPr>
          <w:p>
            <w:pPr>
              <w:jc w:val="center"/>
              <w:rPr>
                <w:color w:val="auto"/>
                <w:szCs w:val="21"/>
              </w:rPr>
            </w:pPr>
            <w:r>
              <w:rPr>
                <w:rFonts w:hint="eastAsia"/>
                <w:color w:val="auto"/>
                <w:szCs w:val="21"/>
              </w:rPr>
              <w:t>标准值</w:t>
            </w:r>
            <w:r>
              <w:rPr>
                <w:color w:val="auto"/>
                <w:szCs w:val="21"/>
              </w:rPr>
              <w:t>mg/Nm</w:t>
            </w:r>
            <w:r>
              <w:rPr>
                <w:color w:val="auto"/>
                <w:szCs w:val="21"/>
                <w:vertAlign w:val="superscript"/>
              </w:rPr>
              <w:t>3</w:t>
            </w:r>
          </w:p>
        </w:tc>
        <w:tc>
          <w:tcPr>
            <w:tcW w:w="3597" w:type="dxa"/>
            <w:gridSpan w:val="2"/>
            <w:tcBorders>
              <w:tl2br w:val="nil"/>
              <w:tr2bl w:val="nil"/>
            </w:tcBorders>
            <w:vAlign w:val="center"/>
          </w:tcPr>
          <w:p>
            <w:pPr>
              <w:jc w:val="center"/>
              <w:rPr>
                <w:color w:val="auto"/>
                <w:szCs w:val="21"/>
              </w:rPr>
            </w:pPr>
            <w:r>
              <w:rPr>
                <w:rFonts w:hint="eastAsia"/>
                <w:color w:val="auto"/>
                <w:szCs w:val="21"/>
              </w:rPr>
              <w:t>标准名称</w:t>
            </w:r>
          </w:p>
        </w:tc>
        <w:tc>
          <w:tcPr>
            <w:tcW w:w="2663" w:type="dxa"/>
            <w:gridSpan w:val="4"/>
            <w:tcBorders>
              <w:tl2br w:val="nil"/>
              <w:tr2bl w:val="nil"/>
            </w:tcBorders>
            <w:vAlign w:val="center"/>
          </w:tcPr>
          <w:p>
            <w:pPr>
              <w:jc w:val="center"/>
              <w:rPr>
                <w:color w:val="auto"/>
                <w:szCs w:val="21"/>
              </w:rPr>
            </w:pPr>
            <w:r>
              <w:rPr>
                <w:rFonts w:hint="eastAsia"/>
                <w:color w:val="auto"/>
                <w:szCs w:val="21"/>
              </w:rPr>
              <w:t>工艺</w:t>
            </w:r>
          </w:p>
        </w:tc>
        <w:tc>
          <w:tcPr>
            <w:tcW w:w="1753" w:type="dxa"/>
            <w:tcBorders>
              <w:tl2br w:val="nil"/>
              <w:tr2bl w:val="nil"/>
            </w:tcBorders>
            <w:vAlign w:val="center"/>
          </w:tcPr>
          <w:p>
            <w:pPr>
              <w:jc w:val="center"/>
              <w:rPr>
                <w:color w:val="auto"/>
                <w:szCs w:val="21"/>
              </w:rPr>
            </w:pPr>
            <w:r>
              <w:rPr>
                <w:rFonts w:hint="eastAsia"/>
                <w:color w:val="auto"/>
                <w:szCs w:val="21"/>
              </w:rPr>
              <w:t>是否为可行技术</w:t>
            </w: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744" w:type="dxa"/>
            <w:vMerge w:val="restart"/>
            <w:tcBorders>
              <w:tl2br w:val="nil"/>
              <w:tr2bl w:val="nil"/>
            </w:tcBorders>
            <w:vAlign w:val="center"/>
          </w:tcPr>
          <w:p>
            <w:pPr>
              <w:tabs>
                <w:tab w:val="left" w:pos="2552"/>
              </w:tabs>
              <w:jc w:val="center"/>
              <w:rPr>
                <w:color w:val="auto"/>
                <w:szCs w:val="21"/>
              </w:rPr>
            </w:pPr>
            <w:r>
              <w:rPr>
                <w:color w:val="auto"/>
                <w:szCs w:val="21"/>
              </w:rPr>
              <w:t>1</w:t>
            </w:r>
          </w:p>
        </w:tc>
        <w:tc>
          <w:tcPr>
            <w:tcW w:w="1272"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电镀车间</w:t>
            </w:r>
          </w:p>
        </w:tc>
        <w:tc>
          <w:tcPr>
            <w:tcW w:w="1346" w:type="dxa"/>
            <w:gridSpan w:val="3"/>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1#排气筒</w:t>
            </w:r>
          </w:p>
        </w:tc>
        <w:tc>
          <w:tcPr>
            <w:tcW w:w="1508" w:type="dxa"/>
            <w:gridSpan w:val="2"/>
            <w:tcBorders>
              <w:tl2br w:val="nil"/>
              <w:tr2bl w:val="nil"/>
            </w:tcBorders>
            <w:vAlign w:val="center"/>
          </w:tcPr>
          <w:p>
            <w:pPr>
              <w:jc w:val="center"/>
              <w:rPr>
                <w:rFonts w:hint="eastAsia"/>
                <w:color w:val="auto"/>
                <w:szCs w:val="21"/>
              </w:rPr>
            </w:pPr>
            <w:r>
              <w:rPr>
                <w:rFonts w:hint="eastAsia"/>
                <w:color w:val="auto"/>
                <w:szCs w:val="21"/>
              </w:rPr>
              <w:t>氯化氢</w:t>
            </w:r>
          </w:p>
        </w:tc>
        <w:tc>
          <w:tcPr>
            <w:tcW w:w="1113"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有组织</w:t>
            </w:r>
          </w:p>
        </w:tc>
        <w:tc>
          <w:tcPr>
            <w:tcW w:w="745" w:type="dxa"/>
            <w:tcBorders>
              <w:tl2br w:val="nil"/>
              <w:tr2bl w:val="nil"/>
            </w:tcBorders>
            <w:vAlign w:val="center"/>
          </w:tcPr>
          <w:p>
            <w:pPr>
              <w:jc w:val="center"/>
              <w:rPr>
                <w:rFonts w:eastAsiaTheme="minorEastAsia"/>
                <w:color w:val="auto"/>
                <w:szCs w:val="21"/>
              </w:rPr>
            </w:pPr>
            <w:r>
              <w:rPr>
                <w:rFonts w:hint="eastAsia" w:eastAsiaTheme="minorEastAsia"/>
                <w:color w:val="auto"/>
                <w:szCs w:val="21"/>
              </w:rPr>
              <w:t>0.9</w:t>
            </w:r>
          </w:p>
        </w:tc>
        <w:tc>
          <w:tcPr>
            <w:tcW w:w="1688" w:type="dxa"/>
            <w:tcBorders>
              <w:tl2br w:val="nil"/>
              <w:tr2bl w:val="nil"/>
            </w:tcBorders>
            <w:vAlign w:val="center"/>
          </w:tcPr>
          <w:p>
            <w:pPr>
              <w:jc w:val="center"/>
              <w:rPr>
                <w:rFonts w:eastAsiaTheme="minorEastAsia"/>
                <w:color w:val="auto"/>
                <w:szCs w:val="21"/>
              </w:rPr>
            </w:pPr>
            <w:r>
              <w:rPr>
                <w:rFonts w:hint="eastAsia" w:eastAsiaTheme="minorEastAsia"/>
                <w:color w:val="auto"/>
                <w:szCs w:val="21"/>
              </w:rPr>
              <w:t>0.0156</w:t>
            </w:r>
          </w:p>
        </w:tc>
        <w:tc>
          <w:tcPr>
            <w:tcW w:w="1628" w:type="dxa"/>
            <w:gridSpan w:val="2"/>
            <w:tcBorders>
              <w:tl2br w:val="nil"/>
              <w:tr2bl w:val="nil"/>
            </w:tcBorders>
            <w:vAlign w:val="center"/>
          </w:tcPr>
          <w:p>
            <w:pPr>
              <w:jc w:val="center"/>
              <w:rPr>
                <w:color w:val="auto"/>
                <w:szCs w:val="21"/>
              </w:rPr>
            </w:pPr>
            <w:r>
              <w:rPr>
                <w:rFonts w:hint="eastAsia"/>
                <w:color w:val="auto"/>
                <w:szCs w:val="21"/>
              </w:rPr>
              <w:t>15</w:t>
            </w:r>
          </w:p>
        </w:tc>
        <w:tc>
          <w:tcPr>
            <w:tcW w:w="3597" w:type="dxa"/>
            <w:gridSpan w:val="2"/>
            <w:vMerge w:val="restart"/>
            <w:tcBorders>
              <w:tl2br w:val="nil"/>
              <w:tr2bl w:val="nil"/>
            </w:tcBorders>
            <w:vAlign w:val="center"/>
          </w:tcPr>
          <w:p>
            <w:pPr>
              <w:jc w:val="center"/>
              <w:rPr>
                <w:color w:val="auto"/>
                <w:szCs w:val="21"/>
              </w:rPr>
            </w:pPr>
            <w:r>
              <w:rPr>
                <w:rFonts w:hint="eastAsia"/>
                <w:color w:val="auto"/>
                <w:szCs w:val="21"/>
              </w:rPr>
              <w:t>《电镀污染物排放标准》（</w:t>
            </w:r>
            <w:r>
              <w:rPr>
                <w:color w:val="auto"/>
                <w:szCs w:val="21"/>
              </w:rPr>
              <w:t>GB21900-2008</w:t>
            </w:r>
            <w:r>
              <w:rPr>
                <w:rFonts w:hint="eastAsia"/>
                <w:color w:val="auto"/>
                <w:szCs w:val="21"/>
              </w:rPr>
              <w:t>）（排气筒未高出周边</w:t>
            </w:r>
            <w:r>
              <w:rPr>
                <w:color w:val="auto"/>
                <w:szCs w:val="21"/>
              </w:rPr>
              <w:t>200m</w:t>
            </w:r>
            <w:r>
              <w:rPr>
                <w:rFonts w:hint="eastAsia"/>
                <w:color w:val="auto"/>
                <w:szCs w:val="21"/>
              </w:rPr>
              <w:t>半径范围的建筑</w:t>
            </w:r>
            <w:r>
              <w:rPr>
                <w:color w:val="auto"/>
                <w:szCs w:val="21"/>
              </w:rPr>
              <w:t>5m</w:t>
            </w:r>
            <w:r>
              <w:rPr>
                <w:rFonts w:hint="eastAsia"/>
                <w:color w:val="auto"/>
                <w:szCs w:val="21"/>
              </w:rPr>
              <w:t>以上，应按排放浓度限值的</w:t>
            </w:r>
            <w:r>
              <w:rPr>
                <w:color w:val="auto"/>
                <w:szCs w:val="21"/>
              </w:rPr>
              <w:t>50%</w:t>
            </w:r>
            <w:r>
              <w:rPr>
                <w:rFonts w:hint="eastAsia"/>
                <w:color w:val="auto"/>
                <w:szCs w:val="21"/>
              </w:rPr>
              <w:t>执行）</w:t>
            </w:r>
          </w:p>
        </w:tc>
        <w:tc>
          <w:tcPr>
            <w:tcW w:w="2663" w:type="dxa"/>
            <w:gridSpan w:val="4"/>
            <w:vMerge w:val="restart"/>
            <w:tcBorders>
              <w:tl2br w:val="nil"/>
              <w:tr2bl w:val="nil"/>
            </w:tcBorders>
            <w:vAlign w:val="center"/>
          </w:tcPr>
          <w:p>
            <w:pPr>
              <w:jc w:val="center"/>
              <w:rPr>
                <w:color w:val="auto"/>
                <w:szCs w:val="21"/>
              </w:rPr>
            </w:pPr>
            <w:r>
              <w:rPr>
                <w:rFonts w:hint="eastAsia"/>
                <w:color w:val="auto"/>
                <w:szCs w:val="21"/>
              </w:rPr>
              <w:t>集气罩</w:t>
            </w:r>
            <w:r>
              <w:rPr>
                <w:color w:val="auto"/>
                <w:szCs w:val="21"/>
              </w:rPr>
              <w:t>+</w:t>
            </w:r>
            <w:r>
              <w:rPr>
                <w:rFonts w:hint="eastAsia"/>
                <w:color w:val="auto"/>
                <w:szCs w:val="21"/>
              </w:rPr>
              <w:t>碱喷淋</w:t>
            </w:r>
            <w:r>
              <w:rPr>
                <w:rFonts w:hint="eastAsia"/>
                <w:color w:val="auto"/>
                <w:spacing w:val="-10"/>
              </w:rPr>
              <w:t>废气处理塔</w:t>
            </w:r>
            <w:r>
              <w:rPr>
                <w:color w:val="auto"/>
                <w:szCs w:val="21"/>
              </w:rPr>
              <w:t>+15m</w:t>
            </w:r>
            <w:r>
              <w:rPr>
                <w:rFonts w:hint="eastAsia"/>
                <w:color w:val="auto"/>
                <w:szCs w:val="21"/>
              </w:rPr>
              <w:t>排气筒</w:t>
            </w:r>
            <w:r>
              <w:rPr>
                <w:color w:val="auto"/>
                <w:szCs w:val="21"/>
              </w:rPr>
              <w:t xml:space="preserve"> </w:t>
            </w:r>
          </w:p>
        </w:tc>
        <w:tc>
          <w:tcPr>
            <w:tcW w:w="1753" w:type="dxa"/>
            <w:vMerge w:val="restart"/>
            <w:tcBorders>
              <w:tl2br w:val="nil"/>
              <w:tr2bl w:val="nil"/>
            </w:tcBorders>
            <w:vAlign w:val="center"/>
          </w:tcPr>
          <w:p>
            <w:pPr>
              <w:jc w:val="center"/>
              <w:rPr>
                <w:color w:val="auto"/>
                <w:szCs w:val="21"/>
              </w:rPr>
            </w:pPr>
            <w:r>
              <w:rPr>
                <w:rFonts w:hint="eastAsia"/>
                <w:color w:val="auto"/>
                <w:szCs w:val="21"/>
              </w:rPr>
              <w:t>是</w:t>
            </w:r>
          </w:p>
        </w:tc>
        <w:tc>
          <w:tcPr>
            <w:tcW w:w="2138"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按照《福建省排污口设置与规范化整治管理办法》进行建设</w:t>
            </w:r>
          </w:p>
        </w:tc>
        <w:tc>
          <w:tcPr>
            <w:tcW w:w="1000" w:type="dxa"/>
            <w:vMerge w:val="restart"/>
            <w:tcBorders>
              <w:tl2br w:val="nil"/>
              <w:tr2bl w:val="nil"/>
            </w:tcBorders>
            <w:vAlign w:val="center"/>
          </w:tcPr>
          <w:p>
            <w:pPr>
              <w:tabs>
                <w:tab w:val="left" w:pos="2552"/>
              </w:tabs>
              <w:jc w:val="center"/>
              <w:rPr>
                <w:color w:val="auto"/>
                <w:szCs w:val="21"/>
              </w:rPr>
            </w:pPr>
            <w:r>
              <w:rPr>
                <w:rFonts w:hint="eastAsia"/>
                <w:color w:val="auto"/>
                <w:szCs w:val="21"/>
              </w:rPr>
              <w:t>主要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346" w:type="dxa"/>
            <w:gridSpan w:val="3"/>
            <w:vMerge w:val="continue"/>
            <w:tcBorders>
              <w:tl2br w:val="nil"/>
              <w:tr2bl w:val="nil"/>
            </w:tcBorders>
            <w:vAlign w:val="center"/>
          </w:tcPr>
          <w:p>
            <w:pPr>
              <w:jc w:val="center"/>
              <w:rPr>
                <w:color w:val="auto"/>
                <w:szCs w:val="21"/>
              </w:rPr>
            </w:pPr>
          </w:p>
        </w:tc>
        <w:tc>
          <w:tcPr>
            <w:tcW w:w="1508" w:type="dxa"/>
            <w:gridSpan w:val="2"/>
            <w:tcBorders>
              <w:tl2br w:val="nil"/>
              <w:tr2bl w:val="nil"/>
            </w:tcBorders>
            <w:vAlign w:val="center"/>
          </w:tcPr>
          <w:p>
            <w:pPr>
              <w:jc w:val="center"/>
              <w:rPr>
                <w:rFonts w:hint="eastAsia"/>
                <w:color w:val="auto"/>
                <w:szCs w:val="21"/>
              </w:rPr>
            </w:pPr>
            <w:r>
              <w:rPr>
                <w:rFonts w:hint="eastAsia"/>
                <w:color w:val="auto"/>
                <w:szCs w:val="21"/>
              </w:rPr>
              <w:t>硫酸雾</w:t>
            </w:r>
          </w:p>
        </w:tc>
        <w:tc>
          <w:tcPr>
            <w:tcW w:w="1113" w:type="dxa"/>
            <w:gridSpan w:val="2"/>
            <w:vMerge w:val="continue"/>
            <w:tcBorders>
              <w:tl2br w:val="nil"/>
              <w:tr2bl w:val="nil"/>
            </w:tcBorders>
            <w:vAlign w:val="center"/>
          </w:tcPr>
          <w:p>
            <w:pPr>
              <w:widowControl/>
              <w:jc w:val="center"/>
              <w:rPr>
                <w:color w:val="auto"/>
                <w:szCs w:val="21"/>
              </w:rPr>
            </w:pPr>
          </w:p>
        </w:tc>
        <w:tc>
          <w:tcPr>
            <w:tcW w:w="745" w:type="dxa"/>
            <w:tcBorders>
              <w:tl2br w:val="nil"/>
              <w:tr2bl w:val="nil"/>
            </w:tcBorders>
            <w:vAlign w:val="center"/>
          </w:tcPr>
          <w:p>
            <w:pPr>
              <w:jc w:val="center"/>
              <w:rPr>
                <w:color w:val="auto"/>
                <w:szCs w:val="21"/>
              </w:rPr>
            </w:pPr>
            <w:r>
              <w:rPr>
                <w:rFonts w:hint="eastAsia"/>
                <w:color w:val="auto"/>
                <w:szCs w:val="21"/>
              </w:rPr>
              <w:t>1.29</w:t>
            </w:r>
          </w:p>
        </w:tc>
        <w:tc>
          <w:tcPr>
            <w:tcW w:w="1688" w:type="dxa"/>
            <w:tcBorders>
              <w:tl2br w:val="nil"/>
              <w:tr2bl w:val="nil"/>
            </w:tcBorders>
            <w:vAlign w:val="center"/>
          </w:tcPr>
          <w:p>
            <w:pPr>
              <w:jc w:val="center"/>
              <w:rPr>
                <w:rFonts w:eastAsiaTheme="minorEastAsia"/>
                <w:color w:val="auto"/>
                <w:szCs w:val="21"/>
              </w:rPr>
            </w:pPr>
            <w:r>
              <w:rPr>
                <w:rFonts w:eastAsiaTheme="minorEastAsia"/>
                <w:color w:val="auto"/>
                <w:szCs w:val="21"/>
              </w:rPr>
              <w:t>0.00000632</w:t>
            </w:r>
          </w:p>
        </w:tc>
        <w:tc>
          <w:tcPr>
            <w:tcW w:w="1628" w:type="dxa"/>
            <w:gridSpan w:val="2"/>
            <w:tcBorders>
              <w:tl2br w:val="nil"/>
              <w:tr2bl w:val="nil"/>
            </w:tcBorders>
            <w:vAlign w:val="center"/>
          </w:tcPr>
          <w:p>
            <w:pPr>
              <w:jc w:val="center"/>
              <w:rPr>
                <w:color w:val="auto"/>
                <w:szCs w:val="21"/>
              </w:rPr>
            </w:pPr>
            <w:r>
              <w:rPr>
                <w:rFonts w:hint="eastAsia"/>
                <w:color w:val="auto"/>
                <w:szCs w:val="21"/>
              </w:rPr>
              <w:t>15</w:t>
            </w:r>
          </w:p>
        </w:tc>
        <w:tc>
          <w:tcPr>
            <w:tcW w:w="3597" w:type="dxa"/>
            <w:gridSpan w:val="2"/>
            <w:vMerge w:val="continue"/>
            <w:tcBorders>
              <w:tl2br w:val="nil"/>
              <w:tr2bl w:val="nil"/>
            </w:tcBorders>
            <w:vAlign w:val="center"/>
          </w:tcPr>
          <w:p>
            <w:pPr>
              <w:widowControl/>
              <w:jc w:val="center"/>
              <w:rPr>
                <w:color w:val="auto"/>
                <w:szCs w:val="21"/>
              </w:rPr>
            </w:pPr>
          </w:p>
        </w:tc>
        <w:tc>
          <w:tcPr>
            <w:tcW w:w="2663" w:type="dxa"/>
            <w:gridSpan w:val="4"/>
            <w:vMerge w:val="continue"/>
            <w:tcBorders>
              <w:tl2br w:val="nil"/>
              <w:tr2bl w:val="nil"/>
            </w:tcBorders>
            <w:vAlign w:val="center"/>
          </w:tcPr>
          <w:p>
            <w:pPr>
              <w:widowControl/>
              <w:jc w:val="left"/>
              <w:rPr>
                <w:color w:val="auto"/>
                <w:szCs w:val="21"/>
              </w:rPr>
            </w:pPr>
          </w:p>
        </w:tc>
        <w:tc>
          <w:tcPr>
            <w:tcW w:w="1753" w:type="dxa"/>
            <w:vMerge w:val="continue"/>
            <w:tcBorders>
              <w:tl2br w:val="nil"/>
              <w:tr2bl w:val="nil"/>
            </w:tcBorders>
            <w:vAlign w:val="center"/>
          </w:tcPr>
          <w:p>
            <w:pPr>
              <w:widowControl/>
              <w:jc w:val="left"/>
              <w:rPr>
                <w:color w:val="auto"/>
                <w:szCs w:val="21"/>
              </w:rPr>
            </w:pP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346" w:type="dxa"/>
            <w:gridSpan w:val="3"/>
            <w:vMerge w:val="continue"/>
            <w:tcBorders>
              <w:tl2br w:val="nil"/>
              <w:tr2bl w:val="nil"/>
            </w:tcBorders>
            <w:vAlign w:val="center"/>
          </w:tcPr>
          <w:p>
            <w:pPr>
              <w:jc w:val="center"/>
              <w:rPr>
                <w:color w:val="auto"/>
                <w:szCs w:val="21"/>
              </w:rPr>
            </w:pPr>
          </w:p>
        </w:tc>
        <w:tc>
          <w:tcPr>
            <w:tcW w:w="1508" w:type="dxa"/>
            <w:gridSpan w:val="2"/>
            <w:tcBorders>
              <w:tl2br w:val="nil"/>
              <w:tr2bl w:val="nil"/>
            </w:tcBorders>
            <w:vAlign w:val="center"/>
          </w:tcPr>
          <w:p>
            <w:pPr>
              <w:jc w:val="center"/>
              <w:rPr>
                <w:rFonts w:hint="eastAsia"/>
                <w:color w:val="auto"/>
                <w:szCs w:val="21"/>
              </w:rPr>
            </w:pPr>
            <w:r>
              <w:rPr>
                <w:rFonts w:hint="eastAsia"/>
                <w:color w:val="auto"/>
                <w:szCs w:val="21"/>
              </w:rPr>
              <w:t>氟化氢</w:t>
            </w:r>
          </w:p>
        </w:tc>
        <w:tc>
          <w:tcPr>
            <w:tcW w:w="1113" w:type="dxa"/>
            <w:gridSpan w:val="2"/>
            <w:vMerge w:val="continue"/>
            <w:tcBorders>
              <w:tl2br w:val="nil"/>
              <w:tr2bl w:val="nil"/>
            </w:tcBorders>
            <w:vAlign w:val="center"/>
          </w:tcPr>
          <w:p>
            <w:pPr>
              <w:widowControl/>
              <w:jc w:val="center"/>
              <w:rPr>
                <w:color w:val="auto"/>
                <w:szCs w:val="21"/>
              </w:rPr>
            </w:pPr>
          </w:p>
        </w:tc>
        <w:tc>
          <w:tcPr>
            <w:tcW w:w="745" w:type="dxa"/>
            <w:tcBorders>
              <w:tl2br w:val="nil"/>
              <w:tr2bl w:val="nil"/>
            </w:tcBorders>
            <w:vAlign w:val="center"/>
          </w:tcPr>
          <w:p>
            <w:pPr>
              <w:jc w:val="center"/>
              <w:rPr>
                <w:rFonts w:eastAsiaTheme="minorEastAsia"/>
                <w:color w:val="auto"/>
                <w:szCs w:val="21"/>
              </w:rPr>
            </w:pPr>
            <w:r>
              <w:rPr>
                <w:rFonts w:hint="eastAsia" w:eastAsiaTheme="minorEastAsia"/>
                <w:color w:val="auto"/>
                <w:szCs w:val="21"/>
              </w:rPr>
              <w:t>0.46</w:t>
            </w:r>
          </w:p>
        </w:tc>
        <w:tc>
          <w:tcPr>
            <w:tcW w:w="1688" w:type="dxa"/>
            <w:tcBorders>
              <w:tl2br w:val="nil"/>
              <w:tr2bl w:val="nil"/>
            </w:tcBorders>
            <w:vAlign w:val="center"/>
          </w:tcPr>
          <w:p>
            <w:pPr>
              <w:jc w:val="center"/>
              <w:rPr>
                <w:rFonts w:eastAsiaTheme="minorEastAsia"/>
                <w:color w:val="auto"/>
                <w:szCs w:val="21"/>
              </w:rPr>
            </w:pPr>
            <w:r>
              <w:rPr>
                <w:rFonts w:eastAsiaTheme="minorEastAsia"/>
                <w:color w:val="auto"/>
                <w:szCs w:val="21"/>
              </w:rPr>
              <w:t xml:space="preserve">0.00514 </w:t>
            </w:r>
          </w:p>
        </w:tc>
        <w:tc>
          <w:tcPr>
            <w:tcW w:w="1628" w:type="dxa"/>
            <w:gridSpan w:val="2"/>
            <w:tcBorders>
              <w:tl2br w:val="nil"/>
              <w:tr2bl w:val="nil"/>
            </w:tcBorders>
            <w:vAlign w:val="center"/>
          </w:tcPr>
          <w:p>
            <w:pPr>
              <w:jc w:val="center"/>
              <w:rPr>
                <w:color w:val="auto"/>
                <w:szCs w:val="21"/>
              </w:rPr>
            </w:pPr>
            <w:r>
              <w:rPr>
                <w:rFonts w:hint="eastAsia"/>
                <w:color w:val="auto"/>
                <w:szCs w:val="21"/>
              </w:rPr>
              <w:t>3.5</w:t>
            </w:r>
          </w:p>
        </w:tc>
        <w:tc>
          <w:tcPr>
            <w:tcW w:w="3597" w:type="dxa"/>
            <w:gridSpan w:val="2"/>
            <w:vMerge w:val="continue"/>
            <w:tcBorders>
              <w:tl2br w:val="nil"/>
              <w:tr2bl w:val="nil"/>
            </w:tcBorders>
            <w:vAlign w:val="center"/>
          </w:tcPr>
          <w:p>
            <w:pPr>
              <w:widowControl/>
              <w:jc w:val="center"/>
              <w:rPr>
                <w:color w:val="auto"/>
                <w:szCs w:val="21"/>
              </w:rPr>
            </w:pPr>
          </w:p>
        </w:tc>
        <w:tc>
          <w:tcPr>
            <w:tcW w:w="2663" w:type="dxa"/>
            <w:gridSpan w:val="4"/>
            <w:vMerge w:val="continue"/>
            <w:tcBorders>
              <w:tl2br w:val="nil"/>
              <w:tr2bl w:val="nil"/>
            </w:tcBorders>
            <w:vAlign w:val="center"/>
          </w:tcPr>
          <w:p>
            <w:pPr>
              <w:widowControl/>
              <w:jc w:val="left"/>
              <w:rPr>
                <w:color w:val="auto"/>
                <w:szCs w:val="21"/>
              </w:rPr>
            </w:pPr>
          </w:p>
        </w:tc>
        <w:tc>
          <w:tcPr>
            <w:tcW w:w="1753" w:type="dxa"/>
            <w:vMerge w:val="continue"/>
            <w:tcBorders>
              <w:tl2br w:val="nil"/>
              <w:tr2bl w:val="nil"/>
            </w:tcBorders>
            <w:vAlign w:val="center"/>
          </w:tcPr>
          <w:p>
            <w:pPr>
              <w:widowControl/>
              <w:jc w:val="left"/>
              <w:rPr>
                <w:color w:val="auto"/>
                <w:szCs w:val="21"/>
              </w:rPr>
            </w:pP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346" w:type="dxa"/>
            <w:gridSpan w:val="3"/>
            <w:tcBorders>
              <w:tl2br w:val="nil"/>
              <w:tr2bl w:val="nil"/>
            </w:tcBorders>
            <w:vAlign w:val="center"/>
          </w:tcPr>
          <w:p>
            <w:pPr>
              <w:jc w:val="center"/>
              <w:rPr>
                <w:color w:val="auto"/>
                <w:szCs w:val="21"/>
              </w:rPr>
            </w:pPr>
            <w:r>
              <w:rPr>
                <w:rFonts w:hint="eastAsia"/>
                <w:color w:val="auto"/>
                <w:szCs w:val="21"/>
                <w:lang w:val="en-US" w:eastAsia="zh-CN"/>
              </w:rPr>
              <w:t>3#排气筒</w:t>
            </w:r>
          </w:p>
        </w:tc>
        <w:tc>
          <w:tcPr>
            <w:tcW w:w="1508" w:type="dxa"/>
            <w:gridSpan w:val="2"/>
            <w:tcBorders>
              <w:tl2br w:val="nil"/>
              <w:tr2bl w:val="nil"/>
            </w:tcBorders>
            <w:vAlign w:val="center"/>
          </w:tcPr>
          <w:p>
            <w:pPr>
              <w:jc w:val="center"/>
              <w:rPr>
                <w:rFonts w:hint="eastAsia"/>
                <w:color w:val="auto"/>
                <w:szCs w:val="21"/>
              </w:rPr>
            </w:pPr>
            <w:r>
              <w:rPr>
                <w:rFonts w:hint="eastAsia"/>
                <w:color w:val="auto"/>
                <w:szCs w:val="21"/>
              </w:rPr>
              <w:t>铬酸雾</w:t>
            </w:r>
          </w:p>
        </w:tc>
        <w:tc>
          <w:tcPr>
            <w:tcW w:w="1113" w:type="dxa"/>
            <w:gridSpan w:val="2"/>
            <w:vMerge w:val="continue"/>
            <w:tcBorders>
              <w:tl2br w:val="nil"/>
              <w:tr2bl w:val="nil"/>
            </w:tcBorders>
            <w:vAlign w:val="center"/>
          </w:tcPr>
          <w:p>
            <w:pPr>
              <w:widowControl/>
              <w:jc w:val="center"/>
              <w:rPr>
                <w:color w:val="auto"/>
                <w:szCs w:val="21"/>
              </w:rPr>
            </w:pPr>
          </w:p>
        </w:tc>
        <w:tc>
          <w:tcPr>
            <w:tcW w:w="745" w:type="dxa"/>
            <w:tcBorders>
              <w:tl2br w:val="nil"/>
              <w:tr2bl w:val="nil"/>
            </w:tcBorders>
            <w:vAlign w:val="center"/>
          </w:tcPr>
          <w:p>
            <w:pPr>
              <w:jc w:val="center"/>
              <w:rPr>
                <w:rFonts w:eastAsiaTheme="minorEastAsia"/>
                <w:color w:val="auto"/>
                <w:szCs w:val="21"/>
              </w:rPr>
            </w:pPr>
            <w:r>
              <w:rPr>
                <w:rFonts w:hint="eastAsia" w:eastAsiaTheme="minorEastAsia"/>
                <w:color w:val="auto"/>
                <w:szCs w:val="21"/>
              </w:rPr>
              <w:t>0.005</w:t>
            </w:r>
          </w:p>
        </w:tc>
        <w:tc>
          <w:tcPr>
            <w:tcW w:w="1688" w:type="dxa"/>
            <w:tcBorders>
              <w:tl2br w:val="nil"/>
              <w:tr2bl w:val="nil"/>
            </w:tcBorders>
            <w:vAlign w:val="center"/>
          </w:tcPr>
          <w:p>
            <w:pPr>
              <w:jc w:val="center"/>
              <w:rPr>
                <w:rFonts w:eastAsiaTheme="minorEastAsia"/>
                <w:color w:val="auto"/>
                <w:szCs w:val="21"/>
              </w:rPr>
            </w:pPr>
            <w:r>
              <w:rPr>
                <w:rFonts w:eastAsiaTheme="minorEastAsia"/>
                <w:color w:val="auto"/>
                <w:szCs w:val="21"/>
              </w:rPr>
              <w:t>0.000078</w:t>
            </w:r>
          </w:p>
        </w:tc>
        <w:tc>
          <w:tcPr>
            <w:tcW w:w="1628" w:type="dxa"/>
            <w:gridSpan w:val="2"/>
            <w:tcBorders>
              <w:tl2br w:val="nil"/>
              <w:tr2bl w:val="nil"/>
            </w:tcBorders>
            <w:vAlign w:val="center"/>
          </w:tcPr>
          <w:p>
            <w:pPr>
              <w:jc w:val="center"/>
              <w:rPr>
                <w:color w:val="auto"/>
                <w:szCs w:val="21"/>
              </w:rPr>
            </w:pPr>
            <w:r>
              <w:rPr>
                <w:rFonts w:hint="eastAsia"/>
                <w:color w:val="auto"/>
                <w:szCs w:val="21"/>
              </w:rPr>
              <w:t>0.025</w:t>
            </w:r>
          </w:p>
        </w:tc>
        <w:tc>
          <w:tcPr>
            <w:tcW w:w="3597" w:type="dxa"/>
            <w:gridSpan w:val="2"/>
            <w:vMerge w:val="continue"/>
            <w:tcBorders>
              <w:tl2br w:val="nil"/>
              <w:tr2bl w:val="nil"/>
            </w:tcBorders>
            <w:vAlign w:val="center"/>
          </w:tcPr>
          <w:p>
            <w:pPr>
              <w:widowControl/>
              <w:jc w:val="center"/>
              <w:rPr>
                <w:color w:val="auto"/>
                <w:szCs w:val="21"/>
              </w:rPr>
            </w:pPr>
          </w:p>
        </w:tc>
        <w:tc>
          <w:tcPr>
            <w:tcW w:w="2663" w:type="dxa"/>
            <w:gridSpan w:val="4"/>
            <w:tcBorders>
              <w:tl2br w:val="nil"/>
              <w:tr2bl w:val="nil"/>
            </w:tcBorders>
            <w:vAlign w:val="center"/>
          </w:tcPr>
          <w:p>
            <w:pPr>
              <w:widowControl/>
              <w:jc w:val="center"/>
              <w:rPr>
                <w:color w:val="auto"/>
                <w:szCs w:val="21"/>
              </w:rPr>
            </w:pPr>
            <w:r>
              <w:rPr>
                <w:rFonts w:hint="eastAsia"/>
                <w:color w:val="auto"/>
                <w:szCs w:val="21"/>
              </w:rPr>
              <w:t>集气罩</w:t>
            </w:r>
            <w:r>
              <w:rPr>
                <w:color w:val="auto"/>
                <w:szCs w:val="21"/>
              </w:rPr>
              <w:t>+</w:t>
            </w:r>
            <w:r>
              <w:rPr>
                <w:rFonts w:hint="eastAsia"/>
                <w:color w:val="auto"/>
                <w:szCs w:val="21"/>
              </w:rPr>
              <w:t>网格净化器</w:t>
            </w:r>
          </w:p>
          <w:p>
            <w:pPr>
              <w:widowControl/>
              <w:jc w:val="center"/>
              <w:rPr>
                <w:color w:val="auto"/>
                <w:szCs w:val="21"/>
              </w:rPr>
            </w:pPr>
            <w:r>
              <w:rPr>
                <w:color w:val="auto"/>
                <w:szCs w:val="21"/>
              </w:rPr>
              <w:t>+15m</w:t>
            </w:r>
            <w:r>
              <w:rPr>
                <w:rFonts w:hint="eastAsia"/>
                <w:color w:val="auto"/>
                <w:szCs w:val="21"/>
              </w:rPr>
              <w:t>排气筒</w:t>
            </w:r>
          </w:p>
        </w:tc>
        <w:tc>
          <w:tcPr>
            <w:tcW w:w="1753" w:type="dxa"/>
            <w:tcBorders>
              <w:tl2br w:val="nil"/>
              <w:tr2bl w:val="nil"/>
            </w:tcBorders>
            <w:vAlign w:val="center"/>
          </w:tcPr>
          <w:p>
            <w:pPr>
              <w:widowControl/>
              <w:jc w:val="center"/>
              <w:rPr>
                <w:color w:val="auto"/>
                <w:szCs w:val="21"/>
              </w:rPr>
            </w:pPr>
            <w:r>
              <w:rPr>
                <w:rFonts w:hint="eastAsia"/>
                <w:color w:val="auto"/>
                <w:szCs w:val="21"/>
              </w:rPr>
              <w:t>是</w:t>
            </w:r>
          </w:p>
        </w:tc>
        <w:tc>
          <w:tcPr>
            <w:tcW w:w="2138" w:type="dxa"/>
            <w:gridSpan w:val="2"/>
            <w:vMerge w:val="continue"/>
            <w:tcBorders>
              <w:tl2br w:val="nil"/>
              <w:tr2bl w:val="nil"/>
            </w:tcBorders>
            <w:vAlign w:val="center"/>
          </w:tcPr>
          <w:p>
            <w:pPr>
              <w:widowControl/>
              <w:jc w:val="left"/>
              <w:rPr>
                <w:color w:val="auto"/>
                <w:szCs w:val="21"/>
              </w:rPr>
            </w:pPr>
          </w:p>
        </w:tc>
        <w:tc>
          <w:tcPr>
            <w:tcW w:w="1000" w:type="dxa"/>
            <w:tcBorders>
              <w:tl2br w:val="nil"/>
              <w:tr2bl w:val="nil"/>
            </w:tcBorders>
            <w:vAlign w:val="center"/>
          </w:tcPr>
          <w:p>
            <w:pPr>
              <w:widowControl/>
              <w:jc w:val="center"/>
              <w:rPr>
                <w:color w:val="auto"/>
                <w:szCs w:val="21"/>
              </w:rPr>
            </w:pPr>
            <w:r>
              <w:rPr>
                <w:rFonts w:hint="eastAsia"/>
                <w:color w:val="auto"/>
                <w:szCs w:val="21"/>
              </w:rPr>
              <w:t>主要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346" w:type="dxa"/>
            <w:gridSpan w:val="3"/>
            <w:tcBorders>
              <w:tl2br w:val="nil"/>
              <w:tr2bl w:val="nil"/>
            </w:tcBorders>
            <w:vAlign w:val="center"/>
          </w:tcPr>
          <w:p>
            <w:pPr>
              <w:jc w:val="center"/>
              <w:rPr>
                <w:color w:val="auto"/>
                <w:szCs w:val="21"/>
              </w:rPr>
            </w:pPr>
            <w:r>
              <w:rPr>
                <w:rFonts w:hint="eastAsia"/>
                <w:color w:val="auto"/>
                <w:szCs w:val="21"/>
                <w:lang w:val="en-US" w:eastAsia="zh-CN"/>
              </w:rPr>
              <w:t>2#排气筒</w:t>
            </w:r>
          </w:p>
        </w:tc>
        <w:tc>
          <w:tcPr>
            <w:tcW w:w="1508" w:type="dxa"/>
            <w:gridSpan w:val="2"/>
            <w:tcBorders>
              <w:tl2br w:val="nil"/>
              <w:tr2bl w:val="nil"/>
            </w:tcBorders>
            <w:vAlign w:val="center"/>
          </w:tcPr>
          <w:p>
            <w:pPr>
              <w:jc w:val="center"/>
              <w:rPr>
                <w:rFonts w:hint="eastAsia"/>
                <w:color w:val="auto"/>
                <w:szCs w:val="21"/>
              </w:rPr>
            </w:pPr>
            <w:r>
              <w:rPr>
                <w:rFonts w:hint="eastAsia"/>
                <w:color w:val="auto"/>
                <w:szCs w:val="21"/>
              </w:rPr>
              <w:t>氰化氢</w:t>
            </w:r>
          </w:p>
        </w:tc>
        <w:tc>
          <w:tcPr>
            <w:tcW w:w="1113" w:type="dxa"/>
            <w:gridSpan w:val="2"/>
            <w:vMerge w:val="continue"/>
            <w:tcBorders>
              <w:tl2br w:val="nil"/>
              <w:tr2bl w:val="nil"/>
            </w:tcBorders>
            <w:vAlign w:val="center"/>
          </w:tcPr>
          <w:p>
            <w:pPr>
              <w:widowControl/>
              <w:jc w:val="center"/>
              <w:rPr>
                <w:color w:val="auto"/>
                <w:szCs w:val="21"/>
              </w:rPr>
            </w:pPr>
          </w:p>
        </w:tc>
        <w:tc>
          <w:tcPr>
            <w:tcW w:w="745" w:type="dxa"/>
            <w:tcBorders>
              <w:tl2br w:val="nil"/>
              <w:tr2bl w:val="nil"/>
            </w:tcBorders>
            <w:vAlign w:val="center"/>
          </w:tcPr>
          <w:p>
            <w:pPr>
              <w:jc w:val="center"/>
              <w:rPr>
                <w:rFonts w:eastAsiaTheme="minorEastAsia"/>
                <w:color w:val="auto"/>
                <w:szCs w:val="21"/>
              </w:rPr>
            </w:pPr>
            <w:r>
              <w:rPr>
                <w:rFonts w:hint="eastAsia" w:eastAsiaTheme="minorEastAsia"/>
                <w:color w:val="auto"/>
                <w:szCs w:val="21"/>
              </w:rPr>
              <w:t>0.09</w:t>
            </w:r>
          </w:p>
        </w:tc>
        <w:tc>
          <w:tcPr>
            <w:tcW w:w="1688" w:type="dxa"/>
            <w:tcBorders>
              <w:tl2br w:val="nil"/>
              <w:tr2bl w:val="nil"/>
            </w:tcBorders>
            <w:vAlign w:val="center"/>
          </w:tcPr>
          <w:p>
            <w:pPr>
              <w:jc w:val="center"/>
              <w:rPr>
                <w:rFonts w:eastAsiaTheme="minorEastAsia"/>
                <w:color w:val="auto"/>
                <w:szCs w:val="21"/>
              </w:rPr>
            </w:pPr>
            <w:r>
              <w:rPr>
                <w:rFonts w:eastAsiaTheme="minorEastAsia"/>
                <w:color w:val="auto"/>
                <w:szCs w:val="21"/>
              </w:rPr>
              <w:t>0.00026</w:t>
            </w:r>
          </w:p>
        </w:tc>
        <w:tc>
          <w:tcPr>
            <w:tcW w:w="1628" w:type="dxa"/>
            <w:gridSpan w:val="2"/>
            <w:tcBorders>
              <w:tl2br w:val="nil"/>
              <w:tr2bl w:val="nil"/>
            </w:tcBorders>
            <w:vAlign w:val="center"/>
          </w:tcPr>
          <w:p>
            <w:pPr>
              <w:jc w:val="center"/>
              <w:rPr>
                <w:color w:val="auto"/>
                <w:szCs w:val="21"/>
              </w:rPr>
            </w:pPr>
            <w:r>
              <w:rPr>
                <w:rFonts w:hint="eastAsia"/>
                <w:color w:val="auto"/>
                <w:szCs w:val="21"/>
              </w:rPr>
              <w:t>0.25</w:t>
            </w:r>
          </w:p>
        </w:tc>
        <w:tc>
          <w:tcPr>
            <w:tcW w:w="3597" w:type="dxa"/>
            <w:gridSpan w:val="2"/>
            <w:vMerge w:val="continue"/>
            <w:tcBorders>
              <w:tl2br w:val="nil"/>
              <w:tr2bl w:val="nil"/>
            </w:tcBorders>
            <w:vAlign w:val="center"/>
          </w:tcPr>
          <w:p>
            <w:pPr>
              <w:widowControl/>
              <w:jc w:val="center"/>
              <w:rPr>
                <w:color w:val="auto"/>
                <w:szCs w:val="21"/>
              </w:rPr>
            </w:pPr>
          </w:p>
        </w:tc>
        <w:tc>
          <w:tcPr>
            <w:tcW w:w="2663" w:type="dxa"/>
            <w:gridSpan w:val="4"/>
            <w:tcBorders>
              <w:tl2br w:val="nil"/>
              <w:tr2bl w:val="nil"/>
            </w:tcBorders>
            <w:vAlign w:val="center"/>
          </w:tcPr>
          <w:p>
            <w:pPr>
              <w:widowControl/>
              <w:jc w:val="center"/>
              <w:rPr>
                <w:color w:val="auto"/>
                <w:szCs w:val="21"/>
              </w:rPr>
            </w:pPr>
            <w:r>
              <w:rPr>
                <w:rFonts w:hint="eastAsia"/>
                <w:color w:val="auto"/>
                <w:szCs w:val="21"/>
              </w:rPr>
              <w:t>集气罩</w:t>
            </w:r>
            <w:r>
              <w:rPr>
                <w:color w:val="auto"/>
                <w:szCs w:val="21"/>
              </w:rPr>
              <w:t>+</w:t>
            </w:r>
            <w:r>
              <w:rPr>
                <w:rFonts w:hint="eastAsia"/>
                <w:color w:val="auto"/>
                <w:szCs w:val="21"/>
              </w:rPr>
              <w:t>氰净化塔</w:t>
            </w:r>
          </w:p>
          <w:p>
            <w:pPr>
              <w:widowControl/>
              <w:jc w:val="center"/>
              <w:rPr>
                <w:color w:val="auto"/>
                <w:szCs w:val="21"/>
              </w:rPr>
            </w:pPr>
            <w:r>
              <w:rPr>
                <w:color w:val="auto"/>
                <w:szCs w:val="21"/>
              </w:rPr>
              <w:t>+15m</w:t>
            </w:r>
            <w:r>
              <w:rPr>
                <w:rFonts w:hint="eastAsia"/>
                <w:color w:val="auto"/>
                <w:szCs w:val="21"/>
              </w:rPr>
              <w:t>排气筒</w:t>
            </w:r>
          </w:p>
        </w:tc>
        <w:tc>
          <w:tcPr>
            <w:tcW w:w="1753" w:type="dxa"/>
            <w:tcBorders>
              <w:tl2br w:val="nil"/>
              <w:tr2bl w:val="nil"/>
            </w:tcBorders>
            <w:vAlign w:val="center"/>
          </w:tcPr>
          <w:p>
            <w:pPr>
              <w:widowControl/>
              <w:jc w:val="center"/>
              <w:rPr>
                <w:color w:val="auto"/>
                <w:szCs w:val="21"/>
              </w:rPr>
            </w:pPr>
            <w:r>
              <w:rPr>
                <w:rFonts w:hint="eastAsia"/>
                <w:color w:val="auto"/>
                <w:szCs w:val="21"/>
              </w:rPr>
              <w:t>是</w:t>
            </w:r>
          </w:p>
        </w:tc>
        <w:tc>
          <w:tcPr>
            <w:tcW w:w="2138" w:type="dxa"/>
            <w:gridSpan w:val="2"/>
            <w:vMerge w:val="continue"/>
            <w:tcBorders>
              <w:tl2br w:val="nil"/>
              <w:tr2bl w:val="nil"/>
            </w:tcBorders>
            <w:vAlign w:val="center"/>
          </w:tcPr>
          <w:p>
            <w:pPr>
              <w:widowControl/>
              <w:jc w:val="left"/>
              <w:rPr>
                <w:color w:val="auto"/>
                <w:szCs w:val="21"/>
              </w:rPr>
            </w:pPr>
          </w:p>
        </w:tc>
        <w:tc>
          <w:tcPr>
            <w:tcW w:w="1000" w:type="dxa"/>
            <w:tcBorders>
              <w:tl2br w:val="nil"/>
              <w:tr2bl w:val="nil"/>
            </w:tcBorders>
            <w:vAlign w:val="center"/>
          </w:tcPr>
          <w:p>
            <w:pPr>
              <w:widowControl/>
              <w:jc w:val="center"/>
              <w:rPr>
                <w:color w:val="auto"/>
                <w:szCs w:val="21"/>
              </w:rPr>
            </w:pPr>
            <w:r>
              <w:rPr>
                <w:rFonts w:hint="eastAsia"/>
                <w:color w:val="auto"/>
                <w:szCs w:val="21"/>
              </w:rPr>
              <w:t>主要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44" w:type="dxa"/>
            <w:vMerge w:val="restart"/>
            <w:tcBorders>
              <w:tl2br w:val="nil"/>
              <w:tr2bl w:val="nil"/>
            </w:tcBorders>
            <w:vAlign w:val="center"/>
          </w:tcPr>
          <w:p>
            <w:pPr>
              <w:tabs>
                <w:tab w:val="left" w:pos="2552"/>
              </w:tabs>
              <w:jc w:val="center"/>
              <w:rPr>
                <w:color w:val="auto"/>
                <w:szCs w:val="21"/>
              </w:rPr>
            </w:pPr>
            <w:r>
              <w:rPr>
                <w:color w:val="auto"/>
                <w:szCs w:val="21"/>
              </w:rPr>
              <w:t>2</w:t>
            </w:r>
          </w:p>
        </w:tc>
        <w:tc>
          <w:tcPr>
            <w:tcW w:w="1272" w:type="dxa"/>
            <w:gridSpan w:val="2"/>
            <w:vMerge w:val="restart"/>
            <w:tcBorders>
              <w:tl2br w:val="nil"/>
              <w:tr2bl w:val="nil"/>
            </w:tcBorders>
            <w:vAlign w:val="center"/>
          </w:tcPr>
          <w:p>
            <w:pPr>
              <w:jc w:val="center"/>
              <w:rPr>
                <w:color w:val="auto"/>
                <w:szCs w:val="21"/>
              </w:rPr>
            </w:pPr>
            <w:r>
              <w:rPr>
                <w:rFonts w:hint="eastAsia"/>
                <w:color w:val="auto"/>
                <w:szCs w:val="21"/>
              </w:rPr>
              <w:t>电镀车间</w:t>
            </w:r>
          </w:p>
        </w:tc>
        <w:tc>
          <w:tcPr>
            <w:tcW w:w="2854" w:type="dxa"/>
            <w:gridSpan w:val="5"/>
            <w:tcBorders>
              <w:tl2br w:val="nil"/>
              <w:tr2bl w:val="nil"/>
            </w:tcBorders>
            <w:vAlign w:val="center"/>
          </w:tcPr>
          <w:p>
            <w:pPr>
              <w:jc w:val="center"/>
              <w:rPr>
                <w:color w:val="auto"/>
                <w:szCs w:val="21"/>
              </w:rPr>
            </w:pPr>
            <w:r>
              <w:rPr>
                <w:rFonts w:hint="eastAsia"/>
                <w:color w:val="auto"/>
                <w:szCs w:val="21"/>
              </w:rPr>
              <w:t>氯化氢</w:t>
            </w:r>
          </w:p>
        </w:tc>
        <w:tc>
          <w:tcPr>
            <w:tcW w:w="1113"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无组织</w:t>
            </w:r>
          </w:p>
        </w:tc>
        <w:tc>
          <w:tcPr>
            <w:tcW w:w="745" w:type="dxa"/>
            <w:tcBorders>
              <w:tl2br w:val="nil"/>
              <w:tr2bl w:val="nil"/>
            </w:tcBorders>
            <w:vAlign w:val="center"/>
          </w:tcPr>
          <w:p>
            <w:pPr>
              <w:jc w:val="center"/>
              <w:rPr>
                <w:color w:val="auto"/>
                <w:szCs w:val="21"/>
              </w:rPr>
            </w:pPr>
            <w:r>
              <w:rPr>
                <w:color w:val="auto"/>
                <w:szCs w:val="21"/>
              </w:rPr>
              <w:t>--</w:t>
            </w:r>
          </w:p>
        </w:tc>
        <w:tc>
          <w:tcPr>
            <w:tcW w:w="1688" w:type="dxa"/>
            <w:tcBorders>
              <w:tl2br w:val="nil"/>
              <w:tr2bl w:val="nil"/>
            </w:tcBorders>
            <w:vAlign w:val="center"/>
          </w:tcPr>
          <w:p>
            <w:pPr>
              <w:jc w:val="center"/>
              <w:rPr>
                <w:color w:val="auto"/>
                <w:szCs w:val="21"/>
              </w:rPr>
            </w:pPr>
            <w:r>
              <w:rPr>
                <w:color w:val="auto"/>
                <w:kern w:val="0"/>
                <w:szCs w:val="21"/>
                <w:lang w:bidi="ar"/>
              </w:rPr>
              <w:t xml:space="preserve">0.0028 </w:t>
            </w:r>
          </w:p>
        </w:tc>
        <w:tc>
          <w:tcPr>
            <w:tcW w:w="1628" w:type="dxa"/>
            <w:gridSpan w:val="2"/>
            <w:tcBorders>
              <w:tl2br w:val="nil"/>
              <w:tr2bl w:val="nil"/>
            </w:tcBorders>
            <w:vAlign w:val="center"/>
          </w:tcPr>
          <w:p>
            <w:pPr>
              <w:jc w:val="center"/>
              <w:rPr>
                <w:color w:val="auto"/>
                <w:szCs w:val="21"/>
              </w:rPr>
            </w:pPr>
            <w:r>
              <w:rPr>
                <w:rFonts w:hint="eastAsia"/>
                <w:color w:val="auto"/>
                <w:szCs w:val="21"/>
              </w:rPr>
              <w:t>0.2</w:t>
            </w:r>
          </w:p>
        </w:tc>
        <w:tc>
          <w:tcPr>
            <w:tcW w:w="3597" w:type="dxa"/>
            <w:gridSpan w:val="2"/>
            <w:vMerge w:val="restart"/>
            <w:tcBorders>
              <w:tl2br w:val="nil"/>
              <w:tr2bl w:val="nil"/>
            </w:tcBorders>
            <w:vAlign w:val="center"/>
          </w:tcPr>
          <w:p>
            <w:pPr>
              <w:jc w:val="center"/>
              <w:rPr>
                <w:color w:val="auto"/>
                <w:szCs w:val="21"/>
              </w:rPr>
            </w:pPr>
            <w:r>
              <w:rPr>
                <w:rFonts w:hint="eastAsia"/>
                <w:color w:val="auto"/>
                <w:szCs w:val="21"/>
              </w:rPr>
              <w:t>《大气污染物综合排放标准》（</w:t>
            </w:r>
            <w:r>
              <w:rPr>
                <w:color w:val="auto"/>
                <w:szCs w:val="21"/>
              </w:rPr>
              <w:t>GB16297</w:t>
            </w:r>
            <w:r>
              <w:rPr>
                <w:rFonts w:hint="eastAsia"/>
                <w:color w:val="auto"/>
                <w:szCs w:val="21"/>
              </w:rPr>
              <w:t>－</w:t>
            </w:r>
            <w:r>
              <w:rPr>
                <w:color w:val="auto"/>
                <w:szCs w:val="21"/>
              </w:rPr>
              <w:t>1996</w:t>
            </w:r>
            <w:r>
              <w:rPr>
                <w:rFonts w:hint="eastAsia"/>
                <w:color w:val="auto"/>
                <w:szCs w:val="21"/>
              </w:rPr>
              <w:t>）</w:t>
            </w:r>
          </w:p>
        </w:tc>
        <w:tc>
          <w:tcPr>
            <w:tcW w:w="2663" w:type="dxa"/>
            <w:gridSpan w:val="4"/>
            <w:vMerge w:val="restart"/>
            <w:tcBorders>
              <w:tl2br w:val="nil"/>
              <w:tr2bl w:val="nil"/>
            </w:tcBorders>
            <w:vAlign w:val="center"/>
          </w:tcPr>
          <w:p>
            <w:pPr>
              <w:jc w:val="center"/>
              <w:rPr>
                <w:color w:val="auto"/>
                <w:szCs w:val="21"/>
              </w:rPr>
            </w:pPr>
            <w:r>
              <w:rPr>
                <w:rFonts w:hint="eastAsia"/>
                <w:color w:val="auto"/>
                <w:szCs w:val="21"/>
              </w:rPr>
              <w:t>车间通风</w:t>
            </w:r>
          </w:p>
        </w:tc>
        <w:tc>
          <w:tcPr>
            <w:tcW w:w="1753" w:type="dxa"/>
            <w:vMerge w:val="restart"/>
            <w:tcBorders>
              <w:tl2br w:val="nil"/>
              <w:tr2bl w:val="nil"/>
            </w:tcBorders>
            <w:vAlign w:val="center"/>
          </w:tcPr>
          <w:p>
            <w:pPr>
              <w:jc w:val="center"/>
              <w:rPr>
                <w:color w:val="auto"/>
                <w:szCs w:val="21"/>
              </w:rPr>
            </w:pPr>
            <w:r>
              <w:rPr>
                <w:color w:val="auto"/>
                <w:szCs w:val="21"/>
              </w:rPr>
              <w:t>--</w:t>
            </w:r>
          </w:p>
        </w:tc>
        <w:tc>
          <w:tcPr>
            <w:tcW w:w="2138" w:type="dxa"/>
            <w:gridSpan w:val="2"/>
            <w:vMerge w:val="restart"/>
            <w:tcBorders>
              <w:tl2br w:val="nil"/>
              <w:tr2bl w:val="nil"/>
            </w:tcBorders>
            <w:vAlign w:val="center"/>
          </w:tcPr>
          <w:p>
            <w:pPr>
              <w:tabs>
                <w:tab w:val="left" w:pos="2552"/>
              </w:tabs>
              <w:jc w:val="center"/>
              <w:rPr>
                <w:color w:val="auto"/>
                <w:szCs w:val="21"/>
              </w:rPr>
            </w:pPr>
            <w:r>
              <w:rPr>
                <w:color w:val="auto"/>
                <w:szCs w:val="21"/>
              </w:rPr>
              <w:t>--</w:t>
            </w:r>
          </w:p>
        </w:tc>
        <w:tc>
          <w:tcPr>
            <w:tcW w:w="1000" w:type="dxa"/>
            <w:vMerge w:val="restart"/>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2854" w:type="dxa"/>
            <w:gridSpan w:val="5"/>
            <w:tcBorders>
              <w:tl2br w:val="nil"/>
              <w:tr2bl w:val="nil"/>
            </w:tcBorders>
            <w:vAlign w:val="center"/>
          </w:tcPr>
          <w:p>
            <w:pPr>
              <w:jc w:val="center"/>
              <w:rPr>
                <w:color w:val="auto"/>
                <w:szCs w:val="21"/>
              </w:rPr>
            </w:pPr>
            <w:r>
              <w:rPr>
                <w:rFonts w:hint="eastAsia"/>
                <w:color w:val="auto"/>
                <w:szCs w:val="21"/>
              </w:rPr>
              <w:t>硫酸雾</w:t>
            </w:r>
          </w:p>
        </w:tc>
        <w:tc>
          <w:tcPr>
            <w:tcW w:w="1113" w:type="dxa"/>
            <w:gridSpan w:val="2"/>
            <w:vMerge w:val="continue"/>
            <w:tcBorders>
              <w:tl2br w:val="nil"/>
              <w:tr2bl w:val="nil"/>
            </w:tcBorders>
            <w:vAlign w:val="center"/>
          </w:tcPr>
          <w:p>
            <w:pPr>
              <w:widowControl/>
              <w:jc w:val="left"/>
              <w:rPr>
                <w:color w:val="auto"/>
                <w:szCs w:val="21"/>
              </w:rPr>
            </w:pPr>
          </w:p>
        </w:tc>
        <w:tc>
          <w:tcPr>
            <w:tcW w:w="745" w:type="dxa"/>
            <w:tcBorders>
              <w:tl2br w:val="nil"/>
              <w:tr2bl w:val="nil"/>
            </w:tcBorders>
            <w:vAlign w:val="center"/>
          </w:tcPr>
          <w:p>
            <w:pPr>
              <w:jc w:val="center"/>
              <w:rPr>
                <w:color w:val="auto"/>
                <w:szCs w:val="21"/>
              </w:rPr>
            </w:pPr>
            <w:r>
              <w:rPr>
                <w:rFonts w:hint="eastAsia"/>
                <w:color w:val="auto"/>
                <w:szCs w:val="21"/>
              </w:rPr>
              <w:t>--</w:t>
            </w:r>
          </w:p>
        </w:tc>
        <w:tc>
          <w:tcPr>
            <w:tcW w:w="1688" w:type="dxa"/>
            <w:tcBorders>
              <w:tl2br w:val="nil"/>
              <w:tr2bl w:val="nil"/>
            </w:tcBorders>
            <w:vAlign w:val="center"/>
          </w:tcPr>
          <w:p>
            <w:pPr>
              <w:jc w:val="center"/>
              <w:rPr>
                <w:color w:val="auto"/>
                <w:szCs w:val="21"/>
              </w:rPr>
            </w:pPr>
            <w:r>
              <w:rPr>
                <w:color w:val="auto"/>
                <w:kern w:val="0"/>
                <w:szCs w:val="21"/>
                <w:lang w:bidi="ar"/>
              </w:rPr>
              <w:t xml:space="preserve">0.0000011 </w:t>
            </w:r>
          </w:p>
        </w:tc>
        <w:tc>
          <w:tcPr>
            <w:tcW w:w="1628" w:type="dxa"/>
            <w:gridSpan w:val="2"/>
            <w:tcBorders>
              <w:tl2br w:val="nil"/>
              <w:tr2bl w:val="nil"/>
            </w:tcBorders>
            <w:vAlign w:val="center"/>
          </w:tcPr>
          <w:p>
            <w:pPr>
              <w:jc w:val="center"/>
              <w:rPr>
                <w:color w:val="auto"/>
                <w:szCs w:val="21"/>
              </w:rPr>
            </w:pPr>
            <w:r>
              <w:rPr>
                <w:rFonts w:hint="eastAsia"/>
                <w:color w:val="auto"/>
                <w:szCs w:val="21"/>
              </w:rPr>
              <w:t>1.2</w:t>
            </w:r>
          </w:p>
        </w:tc>
        <w:tc>
          <w:tcPr>
            <w:tcW w:w="3597" w:type="dxa"/>
            <w:gridSpan w:val="2"/>
            <w:vMerge w:val="continue"/>
            <w:tcBorders>
              <w:tl2br w:val="nil"/>
              <w:tr2bl w:val="nil"/>
            </w:tcBorders>
            <w:vAlign w:val="center"/>
          </w:tcPr>
          <w:p>
            <w:pPr>
              <w:widowControl/>
              <w:jc w:val="left"/>
              <w:rPr>
                <w:color w:val="auto"/>
                <w:szCs w:val="21"/>
              </w:rPr>
            </w:pPr>
          </w:p>
        </w:tc>
        <w:tc>
          <w:tcPr>
            <w:tcW w:w="2663" w:type="dxa"/>
            <w:gridSpan w:val="4"/>
            <w:vMerge w:val="continue"/>
            <w:tcBorders>
              <w:tl2br w:val="nil"/>
              <w:tr2bl w:val="nil"/>
            </w:tcBorders>
            <w:vAlign w:val="center"/>
          </w:tcPr>
          <w:p>
            <w:pPr>
              <w:widowControl/>
              <w:jc w:val="left"/>
              <w:rPr>
                <w:color w:val="auto"/>
                <w:szCs w:val="21"/>
              </w:rPr>
            </w:pPr>
          </w:p>
        </w:tc>
        <w:tc>
          <w:tcPr>
            <w:tcW w:w="1753" w:type="dxa"/>
            <w:vMerge w:val="continue"/>
            <w:tcBorders>
              <w:tl2br w:val="nil"/>
              <w:tr2bl w:val="nil"/>
            </w:tcBorders>
            <w:vAlign w:val="center"/>
          </w:tcPr>
          <w:p>
            <w:pPr>
              <w:widowControl/>
              <w:jc w:val="left"/>
              <w:rPr>
                <w:color w:val="auto"/>
                <w:szCs w:val="21"/>
              </w:rPr>
            </w:pP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2854" w:type="dxa"/>
            <w:gridSpan w:val="5"/>
            <w:tcBorders>
              <w:tl2br w:val="nil"/>
              <w:tr2bl w:val="nil"/>
            </w:tcBorders>
            <w:vAlign w:val="center"/>
          </w:tcPr>
          <w:p>
            <w:pPr>
              <w:jc w:val="center"/>
              <w:rPr>
                <w:color w:val="auto"/>
                <w:szCs w:val="21"/>
              </w:rPr>
            </w:pPr>
            <w:r>
              <w:rPr>
                <w:rFonts w:hint="eastAsia"/>
                <w:color w:val="auto"/>
                <w:szCs w:val="21"/>
              </w:rPr>
              <w:t>铬酸雾</w:t>
            </w:r>
          </w:p>
        </w:tc>
        <w:tc>
          <w:tcPr>
            <w:tcW w:w="1113" w:type="dxa"/>
            <w:gridSpan w:val="2"/>
            <w:vMerge w:val="continue"/>
            <w:tcBorders>
              <w:tl2br w:val="nil"/>
              <w:tr2bl w:val="nil"/>
            </w:tcBorders>
            <w:vAlign w:val="center"/>
          </w:tcPr>
          <w:p>
            <w:pPr>
              <w:widowControl/>
              <w:jc w:val="left"/>
              <w:rPr>
                <w:color w:val="auto"/>
                <w:szCs w:val="21"/>
              </w:rPr>
            </w:pPr>
          </w:p>
        </w:tc>
        <w:tc>
          <w:tcPr>
            <w:tcW w:w="745" w:type="dxa"/>
            <w:tcBorders>
              <w:tl2br w:val="nil"/>
              <w:tr2bl w:val="nil"/>
            </w:tcBorders>
            <w:vAlign w:val="center"/>
          </w:tcPr>
          <w:p>
            <w:pPr>
              <w:jc w:val="center"/>
              <w:rPr>
                <w:color w:val="auto"/>
                <w:szCs w:val="21"/>
              </w:rPr>
            </w:pPr>
            <w:r>
              <w:rPr>
                <w:color w:val="auto"/>
                <w:szCs w:val="21"/>
              </w:rPr>
              <w:t>--</w:t>
            </w:r>
          </w:p>
        </w:tc>
        <w:tc>
          <w:tcPr>
            <w:tcW w:w="1688" w:type="dxa"/>
            <w:tcBorders>
              <w:tl2br w:val="nil"/>
              <w:tr2bl w:val="nil"/>
            </w:tcBorders>
            <w:vAlign w:val="center"/>
          </w:tcPr>
          <w:p>
            <w:pPr>
              <w:jc w:val="center"/>
              <w:rPr>
                <w:color w:val="auto"/>
                <w:szCs w:val="21"/>
              </w:rPr>
            </w:pPr>
            <w:r>
              <w:rPr>
                <w:color w:val="auto"/>
                <w:kern w:val="0"/>
                <w:szCs w:val="21"/>
                <w:lang w:bidi="ar"/>
              </w:rPr>
              <w:t xml:space="preserve">0.000013 </w:t>
            </w:r>
          </w:p>
        </w:tc>
        <w:tc>
          <w:tcPr>
            <w:tcW w:w="1628" w:type="dxa"/>
            <w:gridSpan w:val="2"/>
            <w:tcBorders>
              <w:tl2br w:val="nil"/>
              <w:tr2bl w:val="nil"/>
            </w:tcBorders>
            <w:vAlign w:val="center"/>
          </w:tcPr>
          <w:p>
            <w:pPr>
              <w:jc w:val="center"/>
              <w:rPr>
                <w:color w:val="auto"/>
                <w:szCs w:val="21"/>
              </w:rPr>
            </w:pPr>
            <w:r>
              <w:rPr>
                <w:rFonts w:hint="eastAsia"/>
                <w:color w:val="auto"/>
                <w:szCs w:val="21"/>
              </w:rPr>
              <w:t>0.006</w:t>
            </w:r>
          </w:p>
        </w:tc>
        <w:tc>
          <w:tcPr>
            <w:tcW w:w="3597" w:type="dxa"/>
            <w:gridSpan w:val="2"/>
            <w:vMerge w:val="continue"/>
            <w:tcBorders>
              <w:tl2br w:val="nil"/>
              <w:tr2bl w:val="nil"/>
            </w:tcBorders>
            <w:vAlign w:val="center"/>
          </w:tcPr>
          <w:p>
            <w:pPr>
              <w:widowControl/>
              <w:jc w:val="left"/>
              <w:rPr>
                <w:color w:val="auto"/>
                <w:szCs w:val="21"/>
              </w:rPr>
            </w:pPr>
          </w:p>
        </w:tc>
        <w:tc>
          <w:tcPr>
            <w:tcW w:w="2663" w:type="dxa"/>
            <w:gridSpan w:val="4"/>
            <w:vMerge w:val="continue"/>
            <w:tcBorders>
              <w:tl2br w:val="nil"/>
              <w:tr2bl w:val="nil"/>
            </w:tcBorders>
            <w:vAlign w:val="center"/>
          </w:tcPr>
          <w:p>
            <w:pPr>
              <w:widowControl/>
              <w:jc w:val="left"/>
              <w:rPr>
                <w:color w:val="auto"/>
                <w:szCs w:val="21"/>
              </w:rPr>
            </w:pPr>
          </w:p>
        </w:tc>
        <w:tc>
          <w:tcPr>
            <w:tcW w:w="1753" w:type="dxa"/>
            <w:vMerge w:val="continue"/>
            <w:tcBorders>
              <w:tl2br w:val="nil"/>
              <w:tr2bl w:val="nil"/>
            </w:tcBorders>
            <w:vAlign w:val="center"/>
          </w:tcPr>
          <w:p>
            <w:pPr>
              <w:widowControl/>
              <w:jc w:val="left"/>
              <w:rPr>
                <w:color w:val="auto"/>
                <w:szCs w:val="21"/>
              </w:rPr>
            </w:pP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2854" w:type="dxa"/>
            <w:gridSpan w:val="5"/>
            <w:tcBorders>
              <w:tl2br w:val="nil"/>
              <w:tr2bl w:val="nil"/>
            </w:tcBorders>
            <w:vAlign w:val="center"/>
          </w:tcPr>
          <w:p>
            <w:pPr>
              <w:jc w:val="center"/>
              <w:rPr>
                <w:color w:val="auto"/>
                <w:szCs w:val="21"/>
              </w:rPr>
            </w:pPr>
            <w:r>
              <w:rPr>
                <w:rFonts w:hint="eastAsia"/>
                <w:color w:val="auto"/>
                <w:szCs w:val="21"/>
              </w:rPr>
              <w:t>氟化氢</w:t>
            </w:r>
          </w:p>
        </w:tc>
        <w:tc>
          <w:tcPr>
            <w:tcW w:w="1113" w:type="dxa"/>
            <w:gridSpan w:val="2"/>
            <w:vMerge w:val="continue"/>
            <w:tcBorders>
              <w:tl2br w:val="nil"/>
              <w:tr2bl w:val="nil"/>
            </w:tcBorders>
            <w:vAlign w:val="center"/>
          </w:tcPr>
          <w:p>
            <w:pPr>
              <w:widowControl/>
              <w:jc w:val="left"/>
              <w:rPr>
                <w:color w:val="auto"/>
                <w:szCs w:val="21"/>
              </w:rPr>
            </w:pPr>
          </w:p>
        </w:tc>
        <w:tc>
          <w:tcPr>
            <w:tcW w:w="745" w:type="dxa"/>
            <w:tcBorders>
              <w:tl2br w:val="nil"/>
              <w:tr2bl w:val="nil"/>
            </w:tcBorders>
            <w:vAlign w:val="center"/>
          </w:tcPr>
          <w:p>
            <w:pPr>
              <w:jc w:val="center"/>
              <w:rPr>
                <w:color w:val="auto"/>
                <w:szCs w:val="21"/>
              </w:rPr>
            </w:pPr>
            <w:r>
              <w:rPr>
                <w:rFonts w:hint="eastAsia"/>
                <w:color w:val="auto"/>
                <w:szCs w:val="21"/>
              </w:rPr>
              <w:t>--</w:t>
            </w:r>
          </w:p>
        </w:tc>
        <w:tc>
          <w:tcPr>
            <w:tcW w:w="1688" w:type="dxa"/>
            <w:tcBorders>
              <w:tl2br w:val="nil"/>
              <w:tr2bl w:val="nil"/>
            </w:tcBorders>
            <w:vAlign w:val="center"/>
          </w:tcPr>
          <w:p>
            <w:pPr>
              <w:jc w:val="center"/>
              <w:rPr>
                <w:color w:val="auto"/>
                <w:szCs w:val="21"/>
              </w:rPr>
            </w:pPr>
            <w:r>
              <w:rPr>
                <w:color w:val="auto"/>
                <w:kern w:val="0"/>
                <w:szCs w:val="21"/>
                <w:lang w:bidi="ar"/>
              </w:rPr>
              <w:t xml:space="preserve">0.00091 </w:t>
            </w:r>
          </w:p>
        </w:tc>
        <w:tc>
          <w:tcPr>
            <w:tcW w:w="1628" w:type="dxa"/>
            <w:gridSpan w:val="2"/>
            <w:tcBorders>
              <w:tl2br w:val="nil"/>
              <w:tr2bl w:val="nil"/>
            </w:tcBorders>
            <w:vAlign w:val="center"/>
          </w:tcPr>
          <w:p>
            <w:pPr>
              <w:jc w:val="center"/>
              <w:rPr>
                <w:color w:val="auto"/>
                <w:szCs w:val="21"/>
              </w:rPr>
            </w:pPr>
            <w:r>
              <w:rPr>
                <w:rFonts w:hint="eastAsia"/>
                <w:color w:val="auto"/>
                <w:szCs w:val="21"/>
              </w:rPr>
              <w:t>0.02</w:t>
            </w:r>
          </w:p>
        </w:tc>
        <w:tc>
          <w:tcPr>
            <w:tcW w:w="3597" w:type="dxa"/>
            <w:gridSpan w:val="2"/>
            <w:vMerge w:val="continue"/>
            <w:tcBorders>
              <w:tl2br w:val="nil"/>
              <w:tr2bl w:val="nil"/>
            </w:tcBorders>
            <w:vAlign w:val="center"/>
          </w:tcPr>
          <w:p>
            <w:pPr>
              <w:widowControl/>
              <w:jc w:val="left"/>
              <w:rPr>
                <w:color w:val="auto"/>
                <w:szCs w:val="21"/>
              </w:rPr>
            </w:pPr>
          </w:p>
        </w:tc>
        <w:tc>
          <w:tcPr>
            <w:tcW w:w="2663" w:type="dxa"/>
            <w:gridSpan w:val="4"/>
            <w:vMerge w:val="continue"/>
            <w:tcBorders>
              <w:tl2br w:val="nil"/>
              <w:tr2bl w:val="nil"/>
            </w:tcBorders>
            <w:vAlign w:val="center"/>
          </w:tcPr>
          <w:p>
            <w:pPr>
              <w:widowControl/>
              <w:jc w:val="left"/>
              <w:rPr>
                <w:color w:val="auto"/>
                <w:szCs w:val="21"/>
              </w:rPr>
            </w:pPr>
          </w:p>
        </w:tc>
        <w:tc>
          <w:tcPr>
            <w:tcW w:w="1753" w:type="dxa"/>
            <w:vMerge w:val="continue"/>
            <w:tcBorders>
              <w:tl2br w:val="nil"/>
              <w:tr2bl w:val="nil"/>
            </w:tcBorders>
            <w:vAlign w:val="center"/>
          </w:tcPr>
          <w:p>
            <w:pPr>
              <w:widowControl/>
              <w:jc w:val="left"/>
              <w:rPr>
                <w:color w:val="auto"/>
                <w:szCs w:val="21"/>
              </w:rPr>
            </w:pP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2854" w:type="dxa"/>
            <w:gridSpan w:val="5"/>
            <w:tcBorders>
              <w:tl2br w:val="nil"/>
              <w:tr2bl w:val="nil"/>
            </w:tcBorders>
            <w:vAlign w:val="center"/>
          </w:tcPr>
          <w:p>
            <w:pPr>
              <w:jc w:val="center"/>
              <w:rPr>
                <w:color w:val="auto"/>
                <w:szCs w:val="21"/>
              </w:rPr>
            </w:pPr>
            <w:r>
              <w:rPr>
                <w:rFonts w:hint="eastAsia"/>
                <w:color w:val="auto"/>
                <w:szCs w:val="21"/>
              </w:rPr>
              <w:t>氰化氢</w:t>
            </w:r>
          </w:p>
        </w:tc>
        <w:tc>
          <w:tcPr>
            <w:tcW w:w="1113" w:type="dxa"/>
            <w:gridSpan w:val="2"/>
            <w:vMerge w:val="continue"/>
            <w:tcBorders>
              <w:tl2br w:val="nil"/>
              <w:tr2bl w:val="nil"/>
            </w:tcBorders>
            <w:vAlign w:val="center"/>
          </w:tcPr>
          <w:p>
            <w:pPr>
              <w:widowControl/>
              <w:jc w:val="left"/>
              <w:rPr>
                <w:color w:val="auto"/>
                <w:szCs w:val="21"/>
              </w:rPr>
            </w:pPr>
          </w:p>
        </w:tc>
        <w:tc>
          <w:tcPr>
            <w:tcW w:w="745" w:type="dxa"/>
            <w:tcBorders>
              <w:tl2br w:val="nil"/>
              <w:tr2bl w:val="nil"/>
            </w:tcBorders>
            <w:vAlign w:val="center"/>
          </w:tcPr>
          <w:p>
            <w:pPr>
              <w:jc w:val="center"/>
              <w:rPr>
                <w:color w:val="auto"/>
                <w:szCs w:val="21"/>
              </w:rPr>
            </w:pPr>
            <w:r>
              <w:rPr>
                <w:color w:val="auto"/>
                <w:szCs w:val="21"/>
              </w:rPr>
              <w:t>--</w:t>
            </w:r>
          </w:p>
        </w:tc>
        <w:tc>
          <w:tcPr>
            <w:tcW w:w="1688" w:type="dxa"/>
            <w:tcBorders>
              <w:tl2br w:val="nil"/>
              <w:tr2bl w:val="nil"/>
            </w:tcBorders>
            <w:vAlign w:val="center"/>
          </w:tcPr>
          <w:p>
            <w:pPr>
              <w:jc w:val="center"/>
              <w:rPr>
                <w:color w:val="auto"/>
                <w:szCs w:val="21"/>
              </w:rPr>
            </w:pPr>
            <w:r>
              <w:rPr>
                <w:color w:val="auto"/>
                <w:kern w:val="0"/>
                <w:szCs w:val="21"/>
                <w:lang w:bidi="ar"/>
              </w:rPr>
              <w:t xml:space="preserve">0.000047 </w:t>
            </w:r>
          </w:p>
        </w:tc>
        <w:tc>
          <w:tcPr>
            <w:tcW w:w="1628" w:type="dxa"/>
            <w:gridSpan w:val="2"/>
            <w:tcBorders>
              <w:tl2br w:val="nil"/>
              <w:tr2bl w:val="nil"/>
            </w:tcBorders>
            <w:vAlign w:val="center"/>
          </w:tcPr>
          <w:p>
            <w:pPr>
              <w:jc w:val="center"/>
              <w:rPr>
                <w:color w:val="auto"/>
                <w:szCs w:val="21"/>
              </w:rPr>
            </w:pPr>
            <w:r>
              <w:rPr>
                <w:rFonts w:hint="eastAsia"/>
                <w:color w:val="auto"/>
                <w:szCs w:val="21"/>
              </w:rPr>
              <w:t>0.024</w:t>
            </w:r>
          </w:p>
        </w:tc>
        <w:tc>
          <w:tcPr>
            <w:tcW w:w="3597" w:type="dxa"/>
            <w:gridSpan w:val="2"/>
            <w:vMerge w:val="continue"/>
            <w:tcBorders>
              <w:tl2br w:val="nil"/>
              <w:tr2bl w:val="nil"/>
            </w:tcBorders>
            <w:vAlign w:val="center"/>
          </w:tcPr>
          <w:p>
            <w:pPr>
              <w:widowControl/>
              <w:jc w:val="left"/>
              <w:rPr>
                <w:color w:val="auto"/>
                <w:szCs w:val="21"/>
              </w:rPr>
            </w:pPr>
          </w:p>
        </w:tc>
        <w:tc>
          <w:tcPr>
            <w:tcW w:w="2663" w:type="dxa"/>
            <w:gridSpan w:val="4"/>
            <w:vMerge w:val="continue"/>
            <w:tcBorders>
              <w:tl2br w:val="nil"/>
              <w:tr2bl w:val="nil"/>
            </w:tcBorders>
            <w:vAlign w:val="center"/>
          </w:tcPr>
          <w:p>
            <w:pPr>
              <w:widowControl/>
              <w:jc w:val="left"/>
              <w:rPr>
                <w:color w:val="auto"/>
                <w:szCs w:val="21"/>
              </w:rPr>
            </w:pPr>
          </w:p>
        </w:tc>
        <w:tc>
          <w:tcPr>
            <w:tcW w:w="1753" w:type="dxa"/>
            <w:vMerge w:val="continue"/>
            <w:tcBorders>
              <w:tl2br w:val="nil"/>
              <w:tr2bl w:val="nil"/>
            </w:tcBorders>
            <w:vAlign w:val="center"/>
          </w:tcPr>
          <w:p>
            <w:pPr>
              <w:widowControl/>
              <w:jc w:val="left"/>
              <w:rPr>
                <w:color w:val="auto"/>
                <w:szCs w:val="21"/>
              </w:rPr>
            </w:pPr>
          </w:p>
        </w:tc>
        <w:tc>
          <w:tcPr>
            <w:tcW w:w="2138" w:type="dxa"/>
            <w:gridSpan w:val="2"/>
            <w:vMerge w:val="continue"/>
            <w:tcBorders>
              <w:tl2br w:val="nil"/>
              <w:tr2bl w:val="nil"/>
            </w:tcBorders>
            <w:vAlign w:val="center"/>
          </w:tcPr>
          <w:p>
            <w:pPr>
              <w:widowControl/>
              <w:jc w:val="left"/>
              <w:rPr>
                <w:color w:val="auto"/>
                <w:szCs w:val="21"/>
              </w:rPr>
            </w:pPr>
          </w:p>
        </w:tc>
        <w:tc>
          <w:tcPr>
            <w:tcW w:w="1000"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21195" w:type="dxa"/>
            <w:gridSpan w:val="24"/>
            <w:tcBorders>
              <w:tl2br w:val="nil"/>
              <w:tr2bl w:val="nil"/>
            </w:tcBorders>
            <w:vAlign w:val="center"/>
          </w:tcPr>
          <w:p>
            <w:pPr>
              <w:tabs>
                <w:tab w:val="left" w:pos="2552"/>
              </w:tabs>
              <w:jc w:val="center"/>
              <w:rPr>
                <w:color w:val="auto"/>
                <w:szCs w:val="21"/>
              </w:rPr>
            </w:pPr>
            <w:r>
              <w:rPr>
                <w:rFonts w:hint="eastAsia"/>
                <w:color w:val="auto"/>
                <w:szCs w:val="21"/>
              </w:rPr>
              <w:t>（</w:t>
            </w:r>
            <w:r>
              <w:rPr>
                <w:color w:val="auto"/>
                <w:szCs w:val="21"/>
              </w:rPr>
              <w:t>2</w:t>
            </w:r>
            <w:r>
              <w:rPr>
                <w:rFonts w:hint="eastAsia"/>
                <w:color w:val="auto"/>
                <w:szCs w:val="21"/>
              </w:rPr>
              <w:t>）废水类别、污染物及污染治理设施清单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44" w:type="dxa"/>
            <w:vMerge w:val="restart"/>
            <w:tcBorders>
              <w:tl2br w:val="nil"/>
              <w:tr2bl w:val="nil"/>
            </w:tcBorders>
            <w:vAlign w:val="center"/>
          </w:tcPr>
          <w:p>
            <w:pPr>
              <w:tabs>
                <w:tab w:val="left" w:pos="2552"/>
              </w:tabs>
              <w:jc w:val="center"/>
              <w:rPr>
                <w:color w:val="auto"/>
                <w:szCs w:val="21"/>
              </w:rPr>
            </w:pPr>
            <w:r>
              <w:rPr>
                <w:rFonts w:hint="eastAsia"/>
                <w:color w:val="auto"/>
                <w:szCs w:val="21"/>
              </w:rPr>
              <w:t>序号</w:t>
            </w:r>
          </w:p>
        </w:tc>
        <w:tc>
          <w:tcPr>
            <w:tcW w:w="1272"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废水类别</w:t>
            </w:r>
          </w:p>
        </w:tc>
        <w:tc>
          <w:tcPr>
            <w:tcW w:w="2734" w:type="dxa"/>
            <w:gridSpan w:val="4"/>
            <w:vMerge w:val="restart"/>
            <w:tcBorders>
              <w:tl2br w:val="nil"/>
              <w:tr2bl w:val="nil"/>
            </w:tcBorders>
            <w:vAlign w:val="center"/>
          </w:tcPr>
          <w:p>
            <w:pPr>
              <w:jc w:val="center"/>
              <w:rPr>
                <w:color w:val="auto"/>
                <w:szCs w:val="21"/>
              </w:rPr>
            </w:pPr>
            <w:r>
              <w:rPr>
                <w:rFonts w:hint="eastAsia"/>
                <w:color w:val="auto"/>
                <w:szCs w:val="21"/>
              </w:rPr>
              <w:t>污染物种类</w:t>
            </w:r>
          </w:p>
        </w:tc>
        <w:tc>
          <w:tcPr>
            <w:tcW w:w="1978" w:type="dxa"/>
            <w:gridSpan w:val="4"/>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lang w:eastAsia="zh-CN"/>
              </w:rPr>
              <w:t>排放浓度</w:t>
            </w:r>
            <w:r>
              <w:rPr>
                <w:rFonts w:hint="eastAsia"/>
                <w:color w:val="auto"/>
                <w:szCs w:val="21"/>
                <w:lang w:val="en-US" w:eastAsia="zh-CN"/>
              </w:rPr>
              <w:t>mg/L</w:t>
            </w:r>
          </w:p>
        </w:tc>
        <w:tc>
          <w:tcPr>
            <w:tcW w:w="2179" w:type="dxa"/>
            <w:gridSpan w:val="2"/>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排放量kg/a</w:t>
            </w:r>
          </w:p>
        </w:tc>
        <w:tc>
          <w:tcPr>
            <w:tcW w:w="3395" w:type="dxa"/>
            <w:gridSpan w:val="2"/>
            <w:vMerge w:val="restart"/>
            <w:tcBorders>
              <w:tl2br w:val="nil"/>
              <w:tr2bl w:val="nil"/>
            </w:tcBorders>
            <w:vAlign w:val="center"/>
          </w:tcPr>
          <w:p>
            <w:pPr>
              <w:jc w:val="center"/>
              <w:rPr>
                <w:rFonts w:hint="eastAsia"/>
                <w:color w:val="auto"/>
                <w:szCs w:val="21"/>
              </w:rPr>
            </w:pPr>
            <w:r>
              <w:rPr>
                <w:rFonts w:hint="eastAsia"/>
                <w:color w:val="auto"/>
                <w:szCs w:val="21"/>
              </w:rPr>
              <w:t>排放去向</w:t>
            </w:r>
          </w:p>
        </w:tc>
        <w:tc>
          <w:tcPr>
            <w:tcW w:w="1339" w:type="dxa"/>
            <w:vMerge w:val="restart"/>
            <w:tcBorders>
              <w:tl2br w:val="nil"/>
              <w:tr2bl w:val="nil"/>
            </w:tcBorders>
            <w:vAlign w:val="center"/>
          </w:tcPr>
          <w:p>
            <w:pPr>
              <w:tabs>
                <w:tab w:val="left" w:pos="2552"/>
              </w:tabs>
              <w:jc w:val="center"/>
              <w:rPr>
                <w:color w:val="auto"/>
                <w:szCs w:val="21"/>
              </w:rPr>
            </w:pPr>
            <w:r>
              <w:rPr>
                <w:rFonts w:hint="eastAsia"/>
                <w:color w:val="auto"/>
                <w:szCs w:val="21"/>
              </w:rPr>
              <w:t>排放规律</w:t>
            </w:r>
          </w:p>
        </w:tc>
        <w:tc>
          <w:tcPr>
            <w:tcW w:w="4416" w:type="dxa"/>
            <w:gridSpan w:val="5"/>
            <w:tcBorders>
              <w:tl2br w:val="nil"/>
              <w:tr2bl w:val="nil"/>
            </w:tcBorders>
            <w:vAlign w:val="center"/>
          </w:tcPr>
          <w:p>
            <w:pPr>
              <w:jc w:val="center"/>
              <w:rPr>
                <w:color w:val="auto"/>
                <w:szCs w:val="21"/>
              </w:rPr>
            </w:pPr>
            <w:r>
              <w:rPr>
                <w:rFonts w:hint="eastAsia"/>
                <w:color w:val="auto"/>
                <w:szCs w:val="21"/>
              </w:rPr>
              <w:t>污染治理设施</w:t>
            </w:r>
          </w:p>
        </w:tc>
        <w:tc>
          <w:tcPr>
            <w:tcW w:w="1745" w:type="dxa"/>
            <w:vMerge w:val="restart"/>
            <w:tcBorders>
              <w:tl2br w:val="nil"/>
              <w:tr2bl w:val="nil"/>
            </w:tcBorders>
            <w:vAlign w:val="center"/>
          </w:tcPr>
          <w:p>
            <w:pPr>
              <w:jc w:val="center"/>
              <w:rPr>
                <w:color w:val="auto"/>
                <w:szCs w:val="21"/>
              </w:rPr>
            </w:pPr>
            <w:r>
              <w:rPr>
                <w:rFonts w:hint="eastAsia"/>
                <w:color w:val="auto"/>
                <w:szCs w:val="21"/>
              </w:rPr>
              <w:t>排放口设置要求</w:t>
            </w:r>
          </w:p>
        </w:tc>
        <w:tc>
          <w:tcPr>
            <w:tcW w:w="1393"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2734" w:type="dxa"/>
            <w:gridSpan w:val="4"/>
            <w:vMerge w:val="continue"/>
            <w:tcBorders>
              <w:tl2br w:val="nil"/>
              <w:tr2bl w:val="nil"/>
            </w:tcBorders>
            <w:vAlign w:val="center"/>
          </w:tcPr>
          <w:p>
            <w:pPr>
              <w:widowControl/>
              <w:jc w:val="left"/>
              <w:rPr>
                <w:color w:val="auto"/>
                <w:szCs w:val="21"/>
              </w:rPr>
            </w:pPr>
          </w:p>
        </w:tc>
        <w:tc>
          <w:tcPr>
            <w:tcW w:w="1978" w:type="dxa"/>
            <w:gridSpan w:val="4"/>
            <w:vMerge w:val="continue"/>
            <w:tcBorders>
              <w:tl2br w:val="nil"/>
              <w:tr2bl w:val="nil"/>
            </w:tcBorders>
            <w:vAlign w:val="center"/>
          </w:tcPr>
          <w:p>
            <w:pPr>
              <w:tabs>
                <w:tab w:val="left" w:pos="2552"/>
              </w:tabs>
              <w:jc w:val="center"/>
              <w:rPr>
                <w:color w:val="auto"/>
                <w:szCs w:val="21"/>
              </w:rPr>
            </w:pPr>
          </w:p>
        </w:tc>
        <w:tc>
          <w:tcPr>
            <w:tcW w:w="2179" w:type="dxa"/>
            <w:gridSpan w:val="2"/>
            <w:vMerge w:val="continue"/>
            <w:tcBorders>
              <w:tl2br w:val="nil"/>
              <w:tr2bl w:val="nil"/>
            </w:tcBorders>
            <w:vAlign w:val="center"/>
          </w:tcPr>
          <w:p>
            <w:pPr>
              <w:tabs>
                <w:tab w:val="left" w:pos="2552"/>
              </w:tabs>
              <w:jc w:val="center"/>
              <w:rPr>
                <w:color w:val="auto"/>
                <w:szCs w:val="21"/>
              </w:rPr>
            </w:pPr>
          </w:p>
        </w:tc>
        <w:tc>
          <w:tcPr>
            <w:tcW w:w="3395" w:type="dxa"/>
            <w:gridSpan w:val="2"/>
            <w:vMerge w:val="continue"/>
            <w:tcBorders>
              <w:tl2br w:val="nil"/>
              <w:tr2bl w:val="nil"/>
            </w:tcBorders>
            <w:vAlign w:val="center"/>
          </w:tcPr>
          <w:p>
            <w:pPr>
              <w:widowControl/>
              <w:jc w:val="left"/>
              <w:rPr>
                <w:color w:val="auto"/>
                <w:szCs w:val="21"/>
              </w:rPr>
            </w:pPr>
          </w:p>
        </w:tc>
        <w:tc>
          <w:tcPr>
            <w:tcW w:w="1339" w:type="dxa"/>
            <w:vMerge w:val="continue"/>
            <w:tcBorders>
              <w:tl2br w:val="nil"/>
              <w:tr2bl w:val="nil"/>
            </w:tcBorders>
            <w:vAlign w:val="center"/>
          </w:tcPr>
          <w:p>
            <w:pPr>
              <w:widowControl/>
              <w:jc w:val="left"/>
              <w:rPr>
                <w:color w:val="auto"/>
                <w:szCs w:val="21"/>
              </w:rPr>
            </w:pPr>
          </w:p>
        </w:tc>
        <w:tc>
          <w:tcPr>
            <w:tcW w:w="1047" w:type="dxa"/>
            <w:tcBorders>
              <w:tl2br w:val="nil"/>
              <w:tr2bl w:val="nil"/>
            </w:tcBorders>
            <w:vAlign w:val="center"/>
          </w:tcPr>
          <w:p>
            <w:pPr>
              <w:jc w:val="center"/>
              <w:rPr>
                <w:color w:val="auto"/>
                <w:szCs w:val="21"/>
              </w:rPr>
            </w:pPr>
            <w:r>
              <w:rPr>
                <w:rFonts w:hint="eastAsia"/>
                <w:color w:val="auto"/>
                <w:szCs w:val="21"/>
              </w:rPr>
              <w:t>编号</w:t>
            </w:r>
          </w:p>
        </w:tc>
        <w:tc>
          <w:tcPr>
            <w:tcW w:w="901" w:type="dxa"/>
            <w:gridSpan w:val="2"/>
            <w:tcBorders>
              <w:tl2br w:val="nil"/>
              <w:tr2bl w:val="nil"/>
            </w:tcBorders>
            <w:vAlign w:val="center"/>
          </w:tcPr>
          <w:p>
            <w:pPr>
              <w:tabs>
                <w:tab w:val="left" w:pos="2552"/>
              </w:tabs>
              <w:jc w:val="center"/>
              <w:rPr>
                <w:color w:val="auto"/>
                <w:szCs w:val="21"/>
              </w:rPr>
            </w:pPr>
            <w:r>
              <w:rPr>
                <w:rFonts w:hint="eastAsia"/>
                <w:color w:val="auto"/>
                <w:szCs w:val="21"/>
              </w:rPr>
              <w:t>名称</w:t>
            </w:r>
          </w:p>
        </w:tc>
        <w:tc>
          <w:tcPr>
            <w:tcW w:w="715" w:type="dxa"/>
            <w:tcBorders>
              <w:tl2br w:val="nil"/>
              <w:tr2bl w:val="nil"/>
            </w:tcBorders>
            <w:vAlign w:val="center"/>
          </w:tcPr>
          <w:p>
            <w:pPr>
              <w:jc w:val="center"/>
              <w:rPr>
                <w:color w:val="auto"/>
                <w:szCs w:val="21"/>
              </w:rPr>
            </w:pPr>
            <w:r>
              <w:rPr>
                <w:rFonts w:hint="eastAsia"/>
                <w:color w:val="auto"/>
                <w:szCs w:val="21"/>
              </w:rPr>
              <w:t>工艺</w:t>
            </w:r>
          </w:p>
        </w:tc>
        <w:tc>
          <w:tcPr>
            <w:tcW w:w="1753" w:type="dxa"/>
            <w:tcBorders>
              <w:tl2br w:val="nil"/>
              <w:tr2bl w:val="nil"/>
            </w:tcBorders>
            <w:vAlign w:val="center"/>
          </w:tcPr>
          <w:p>
            <w:pPr>
              <w:jc w:val="center"/>
              <w:rPr>
                <w:color w:val="auto"/>
                <w:szCs w:val="21"/>
              </w:rPr>
            </w:pPr>
            <w:r>
              <w:rPr>
                <w:rFonts w:hint="eastAsia"/>
                <w:color w:val="auto"/>
                <w:szCs w:val="21"/>
              </w:rPr>
              <w:t>是否为可行技术</w:t>
            </w:r>
          </w:p>
        </w:tc>
        <w:tc>
          <w:tcPr>
            <w:tcW w:w="1745" w:type="dxa"/>
            <w:vMerge w:val="continue"/>
            <w:tcBorders>
              <w:tl2br w:val="nil"/>
              <w:tr2bl w:val="nil"/>
            </w:tcBorders>
            <w:vAlign w:val="center"/>
          </w:tcPr>
          <w:p>
            <w:pPr>
              <w:jc w:val="center"/>
              <w:rPr>
                <w:color w:val="auto"/>
                <w:szCs w:val="21"/>
              </w:rPr>
            </w:pPr>
          </w:p>
        </w:tc>
        <w:tc>
          <w:tcPr>
            <w:tcW w:w="1393" w:type="dxa"/>
            <w:gridSpan w:val="2"/>
            <w:vMerge w:val="continue"/>
            <w:tcBorders>
              <w:tl2br w:val="nil"/>
              <w:tr2bl w:val="nil"/>
            </w:tcBorders>
            <w:vAlign w:val="center"/>
          </w:tcPr>
          <w:p>
            <w:pPr>
              <w:tabs>
                <w:tab w:val="left" w:pos="2552"/>
              </w:tabs>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744" w:type="dxa"/>
            <w:tcBorders>
              <w:tl2br w:val="nil"/>
              <w:tr2bl w:val="nil"/>
            </w:tcBorders>
            <w:vAlign w:val="center"/>
          </w:tcPr>
          <w:p>
            <w:pPr>
              <w:tabs>
                <w:tab w:val="left" w:pos="2552"/>
              </w:tabs>
              <w:jc w:val="center"/>
              <w:rPr>
                <w:color w:val="auto"/>
                <w:szCs w:val="21"/>
              </w:rPr>
            </w:pPr>
            <w:r>
              <w:rPr>
                <w:color w:val="auto"/>
                <w:szCs w:val="21"/>
              </w:rPr>
              <w:t>1</w:t>
            </w:r>
          </w:p>
        </w:tc>
        <w:tc>
          <w:tcPr>
            <w:tcW w:w="1272" w:type="dxa"/>
            <w:gridSpan w:val="2"/>
            <w:tcBorders>
              <w:tl2br w:val="nil"/>
              <w:tr2bl w:val="nil"/>
            </w:tcBorders>
            <w:vAlign w:val="center"/>
          </w:tcPr>
          <w:p>
            <w:pPr>
              <w:tabs>
                <w:tab w:val="left" w:pos="2552"/>
              </w:tabs>
              <w:jc w:val="center"/>
              <w:rPr>
                <w:color w:val="auto"/>
                <w:szCs w:val="21"/>
              </w:rPr>
            </w:pPr>
            <w:r>
              <w:rPr>
                <w:rFonts w:hint="eastAsia"/>
                <w:color w:val="auto"/>
                <w:szCs w:val="21"/>
              </w:rPr>
              <w:t>生活污水</w:t>
            </w:r>
          </w:p>
        </w:tc>
        <w:tc>
          <w:tcPr>
            <w:tcW w:w="2734"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C</w:t>
            </w:r>
            <w:r>
              <w:rPr>
                <w:color w:val="auto"/>
                <w:sz w:val="21"/>
                <w:szCs w:val="21"/>
              </w:rPr>
              <w:t>OD</w:t>
            </w:r>
            <w:r>
              <w:rPr>
                <w:rFonts w:hint="eastAsia"/>
                <w:color w:val="auto"/>
                <w:sz w:val="21"/>
                <w:szCs w:val="21"/>
                <w:lang w:eastAsia="zh-CN"/>
              </w:rPr>
              <w:t>、</w:t>
            </w:r>
            <w:r>
              <w:rPr>
                <w:rFonts w:hAnsi="宋体"/>
                <w:color w:val="auto"/>
                <w:sz w:val="21"/>
                <w:szCs w:val="21"/>
              </w:rPr>
              <w:t>BOD</w:t>
            </w:r>
            <w:r>
              <w:rPr>
                <w:rFonts w:hAnsi="宋体"/>
                <w:color w:val="auto"/>
                <w:sz w:val="21"/>
                <w:szCs w:val="21"/>
                <w:vertAlign w:val="subscript"/>
              </w:rPr>
              <w:t>5</w:t>
            </w:r>
            <w:r>
              <w:rPr>
                <w:rFonts w:hAnsi="宋体"/>
                <w:color w:val="auto"/>
                <w:sz w:val="21"/>
                <w:szCs w:val="21"/>
              </w:rPr>
              <w:t xml:space="preserve"> </w:t>
            </w:r>
            <w:r>
              <w:rPr>
                <w:rFonts w:hint="eastAsia" w:hAnsi="宋体"/>
                <w:color w:val="auto"/>
                <w:sz w:val="21"/>
                <w:szCs w:val="21"/>
                <w:lang w:eastAsia="zh-CN"/>
              </w:rPr>
              <w:t>、</w:t>
            </w:r>
            <w:r>
              <w:rPr>
                <w:rFonts w:hAnsi="宋体"/>
                <w:color w:val="auto"/>
                <w:sz w:val="21"/>
                <w:szCs w:val="21"/>
              </w:rPr>
              <w:t>SS</w:t>
            </w:r>
            <w:r>
              <w:rPr>
                <w:rFonts w:hint="eastAsia" w:hAnsi="宋体"/>
                <w:color w:val="auto"/>
                <w:sz w:val="21"/>
                <w:szCs w:val="21"/>
                <w:lang w:eastAsia="zh-CN"/>
              </w:rPr>
              <w:t>、</w:t>
            </w:r>
            <w:r>
              <w:rPr>
                <w:rFonts w:hint="eastAsia" w:hAnsi="宋体"/>
                <w:color w:val="auto"/>
                <w:sz w:val="21"/>
                <w:szCs w:val="21"/>
                <w:lang w:val="en-US" w:eastAsia="zh-CN"/>
              </w:rPr>
              <w:t>NH</w:t>
            </w:r>
            <w:r>
              <w:rPr>
                <w:rFonts w:hint="eastAsia" w:hAnsi="宋体"/>
                <w:color w:val="auto"/>
                <w:sz w:val="21"/>
                <w:szCs w:val="21"/>
                <w:vertAlign w:val="subscript"/>
                <w:lang w:val="en-US" w:eastAsia="zh-CN"/>
              </w:rPr>
              <w:t>3</w:t>
            </w:r>
            <w:r>
              <w:rPr>
                <w:rFonts w:hint="eastAsia" w:hAnsi="宋体"/>
                <w:color w:val="auto"/>
                <w:sz w:val="21"/>
                <w:szCs w:val="21"/>
                <w:lang w:val="en-US" w:eastAsia="zh-CN"/>
              </w:rPr>
              <w:t>-N</w:t>
            </w:r>
          </w:p>
        </w:tc>
        <w:tc>
          <w:tcPr>
            <w:tcW w:w="1978" w:type="dxa"/>
            <w:gridSpan w:val="4"/>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p>
        </w:tc>
        <w:tc>
          <w:tcPr>
            <w:tcW w:w="2179" w:type="dxa"/>
            <w:gridSpan w:val="2"/>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p>
        </w:tc>
        <w:tc>
          <w:tcPr>
            <w:tcW w:w="3395" w:type="dxa"/>
            <w:gridSpan w:val="2"/>
            <w:tcBorders>
              <w:tl2br w:val="nil"/>
              <w:tr2bl w:val="nil"/>
            </w:tcBorders>
            <w:vAlign w:val="center"/>
          </w:tcPr>
          <w:p>
            <w:pPr>
              <w:jc w:val="center"/>
              <w:rPr>
                <w:rFonts w:hint="eastAsia"/>
                <w:color w:val="auto"/>
                <w:szCs w:val="21"/>
              </w:rPr>
            </w:pPr>
            <w:r>
              <w:rPr>
                <w:rFonts w:hint="eastAsia"/>
                <w:color w:val="auto"/>
                <w:szCs w:val="21"/>
              </w:rPr>
              <w:t>排入福鼎市文渡污水处理厂处理后排入滞洪区</w:t>
            </w:r>
          </w:p>
        </w:tc>
        <w:tc>
          <w:tcPr>
            <w:tcW w:w="1339" w:type="dxa"/>
            <w:tcBorders>
              <w:tl2br w:val="nil"/>
              <w:tr2bl w:val="nil"/>
            </w:tcBorders>
            <w:vAlign w:val="center"/>
          </w:tcPr>
          <w:p>
            <w:pPr>
              <w:tabs>
                <w:tab w:val="left" w:pos="2552"/>
              </w:tabs>
              <w:jc w:val="center"/>
              <w:rPr>
                <w:color w:val="auto"/>
                <w:szCs w:val="21"/>
              </w:rPr>
            </w:pPr>
            <w:r>
              <w:rPr>
                <w:rFonts w:hint="eastAsia"/>
                <w:color w:val="auto"/>
                <w:szCs w:val="21"/>
              </w:rPr>
              <w:t>连续</w:t>
            </w:r>
          </w:p>
        </w:tc>
        <w:tc>
          <w:tcPr>
            <w:tcW w:w="1047" w:type="dxa"/>
            <w:tcBorders>
              <w:tl2br w:val="nil"/>
              <w:tr2bl w:val="nil"/>
            </w:tcBorders>
            <w:vAlign w:val="center"/>
          </w:tcPr>
          <w:p>
            <w:pPr>
              <w:jc w:val="center"/>
              <w:rPr>
                <w:color w:val="auto"/>
                <w:szCs w:val="21"/>
              </w:rPr>
            </w:pPr>
            <w:r>
              <w:rPr>
                <w:color w:val="auto"/>
                <w:szCs w:val="21"/>
              </w:rPr>
              <w:t>--</w:t>
            </w:r>
          </w:p>
        </w:tc>
        <w:tc>
          <w:tcPr>
            <w:tcW w:w="901" w:type="dxa"/>
            <w:gridSpan w:val="2"/>
            <w:tcBorders>
              <w:tl2br w:val="nil"/>
              <w:tr2bl w:val="nil"/>
            </w:tcBorders>
            <w:vAlign w:val="center"/>
          </w:tcPr>
          <w:p>
            <w:pPr>
              <w:tabs>
                <w:tab w:val="left" w:pos="2552"/>
              </w:tabs>
              <w:jc w:val="center"/>
              <w:rPr>
                <w:color w:val="auto"/>
                <w:szCs w:val="21"/>
              </w:rPr>
            </w:pPr>
            <w:r>
              <w:rPr>
                <w:rFonts w:hint="eastAsia"/>
                <w:color w:val="auto"/>
                <w:szCs w:val="21"/>
              </w:rPr>
              <w:t>化粪池</w:t>
            </w:r>
          </w:p>
        </w:tc>
        <w:tc>
          <w:tcPr>
            <w:tcW w:w="715" w:type="dxa"/>
            <w:tcBorders>
              <w:tl2br w:val="nil"/>
              <w:tr2bl w:val="nil"/>
            </w:tcBorders>
            <w:vAlign w:val="center"/>
          </w:tcPr>
          <w:p>
            <w:pPr>
              <w:jc w:val="center"/>
              <w:rPr>
                <w:color w:val="auto"/>
                <w:szCs w:val="21"/>
              </w:rPr>
            </w:pPr>
            <w:r>
              <w:rPr>
                <w:color w:val="auto"/>
                <w:szCs w:val="21"/>
              </w:rPr>
              <w:t>--</w:t>
            </w:r>
          </w:p>
        </w:tc>
        <w:tc>
          <w:tcPr>
            <w:tcW w:w="1753" w:type="dxa"/>
            <w:tcBorders>
              <w:tl2br w:val="nil"/>
              <w:tr2bl w:val="nil"/>
            </w:tcBorders>
            <w:vAlign w:val="center"/>
          </w:tcPr>
          <w:p>
            <w:pPr>
              <w:jc w:val="center"/>
              <w:rPr>
                <w:color w:val="auto"/>
                <w:szCs w:val="21"/>
              </w:rPr>
            </w:pPr>
            <w:r>
              <w:rPr>
                <w:rFonts w:hint="eastAsia"/>
                <w:color w:val="auto"/>
                <w:szCs w:val="21"/>
              </w:rPr>
              <w:t>是</w:t>
            </w:r>
          </w:p>
        </w:tc>
        <w:tc>
          <w:tcPr>
            <w:tcW w:w="1745" w:type="dxa"/>
            <w:tcBorders>
              <w:tl2br w:val="nil"/>
              <w:tr2bl w:val="nil"/>
            </w:tcBorders>
            <w:vAlign w:val="center"/>
          </w:tcPr>
          <w:p>
            <w:pPr>
              <w:jc w:val="center"/>
              <w:rPr>
                <w:color w:val="auto"/>
                <w:szCs w:val="21"/>
              </w:rPr>
            </w:pPr>
            <w:r>
              <w:rPr>
                <w:color w:val="auto"/>
                <w:szCs w:val="21"/>
              </w:rPr>
              <w:t>--</w:t>
            </w:r>
          </w:p>
        </w:tc>
        <w:tc>
          <w:tcPr>
            <w:tcW w:w="1393" w:type="dxa"/>
            <w:gridSpan w:val="2"/>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restart"/>
            <w:tcBorders>
              <w:tl2br w:val="nil"/>
              <w:tr2bl w:val="nil"/>
            </w:tcBorders>
            <w:vAlign w:val="center"/>
          </w:tcPr>
          <w:p>
            <w:pPr>
              <w:tabs>
                <w:tab w:val="left" w:pos="2552"/>
              </w:tabs>
              <w:jc w:val="center"/>
              <w:rPr>
                <w:color w:val="auto"/>
                <w:szCs w:val="21"/>
              </w:rPr>
            </w:pPr>
            <w:r>
              <w:rPr>
                <w:color w:val="auto"/>
                <w:szCs w:val="21"/>
              </w:rPr>
              <w:t>2</w:t>
            </w:r>
          </w:p>
        </w:tc>
        <w:tc>
          <w:tcPr>
            <w:tcW w:w="1272" w:type="dxa"/>
            <w:gridSpan w:val="2"/>
            <w:vMerge w:val="restart"/>
            <w:tcBorders>
              <w:tl2br w:val="nil"/>
              <w:tr2bl w:val="nil"/>
            </w:tcBorders>
            <w:vAlign w:val="center"/>
          </w:tcPr>
          <w:p>
            <w:pPr>
              <w:tabs>
                <w:tab w:val="left" w:pos="2552"/>
              </w:tabs>
              <w:jc w:val="center"/>
              <w:rPr>
                <w:color w:val="auto"/>
                <w:szCs w:val="21"/>
              </w:rPr>
            </w:pPr>
            <w:r>
              <w:rPr>
                <w:rFonts w:hint="eastAsia"/>
                <w:color w:val="auto"/>
                <w:szCs w:val="21"/>
              </w:rPr>
              <w:t>生产废水</w:t>
            </w:r>
          </w:p>
        </w:tc>
        <w:tc>
          <w:tcPr>
            <w:tcW w:w="1139" w:type="dxa"/>
            <w:gridSpan w:val="2"/>
            <w:vMerge w:val="restart"/>
            <w:tcBorders>
              <w:tl2br w:val="nil"/>
              <w:tr2bl w:val="nil"/>
            </w:tcBorders>
            <w:vAlign w:val="center"/>
          </w:tcPr>
          <w:p>
            <w:pPr>
              <w:jc w:val="center"/>
              <w:rPr>
                <w:color w:val="auto"/>
                <w:szCs w:val="21"/>
              </w:rPr>
            </w:pPr>
            <w:r>
              <w:rPr>
                <w:rFonts w:hint="eastAsia"/>
                <w:color w:val="auto"/>
                <w:szCs w:val="21"/>
              </w:rPr>
              <w:t>含铬废水</w:t>
            </w:r>
          </w:p>
        </w:tc>
        <w:tc>
          <w:tcPr>
            <w:tcW w:w="1595" w:type="dxa"/>
            <w:gridSpan w:val="2"/>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总铬</w:t>
            </w:r>
          </w:p>
        </w:tc>
        <w:tc>
          <w:tcPr>
            <w:tcW w:w="1978" w:type="dxa"/>
            <w:gridSpan w:val="4"/>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37.2</w:t>
            </w:r>
          </w:p>
        </w:tc>
        <w:tc>
          <w:tcPr>
            <w:tcW w:w="2179" w:type="dxa"/>
            <w:gridSpan w:val="2"/>
            <w:tcBorders>
              <w:tl2br w:val="nil"/>
              <w:tr2bl w:val="nil"/>
            </w:tcBorders>
            <w:vAlign w:val="center"/>
          </w:tcPr>
          <w:p>
            <w:pPr>
              <w:jc w:val="center"/>
              <w:rPr>
                <w:rFonts w:hint="default"/>
                <w:color w:val="auto"/>
                <w:szCs w:val="21"/>
                <w:lang w:val="en-US"/>
              </w:rPr>
            </w:pPr>
            <w:r>
              <w:rPr>
                <w:rFonts w:hint="default" w:ascii="Times New Roman" w:hAnsi="Times New Roman" w:eastAsia="宋体" w:cs="Times New Roman"/>
                <w:i w:val="0"/>
                <w:color w:val="auto"/>
                <w:kern w:val="0"/>
                <w:sz w:val="21"/>
                <w:szCs w:val="21"/>
                <w:u w:val="none"/>
                <w:lang w:val="en-US" w:eastAsia="zh-CN" w:bidi="ar"/>
              </w:rPr>
              <w:t>39.21</w:t>
            </w:r>
          </w:p>
        </w:tc>
        <w:tc>
          <w:tcPr>
            <w:tcW w:w="3395" w:type="dxa"/>
            <w:gridSpan w:val="2"/>
            <w:vMerge w:val="restart"/>
            <w:tcBorders>
              <w:tl2br w:val="nil"/>
              <w:tr2bl w:val="nil"/>
            </w:tcBorders>
            <w:vAlign w:val="center"/>
          </w:tcPr>
          <w:p>
            <w:pPr>
              <w:jc w:val="center"/>
              <w:rPr>
                <w:rFonts w:hint="eastAsia"/>
                <w:color w:val="auto"/>
                <w:szCs w:val="21"/>
              </w:rPr>
            </w:pPr>
            <w:r>
              <w:rPr>
                <w:rFonts w:hint="eastAsia"/>
                <w:color w:val="auto"/>
                <w:szCs w:val="21"/>
              </w:rPr>
              <w:t>经含铬废水管道进入集控中心含铬废水处理系统处理</w:t>
            </w:r>
          </w:p>
        </w:tc>
        <w:tc>
          <w:tcPr>
            <w:tcW w:w="1339" w:type="dxa"/>
            <w:vMerge w:val="restart"/>
            <w:tcBorders>
              <w:tl2br w:val="nil"/>
              <w:tr2bl w:val="nil"/>
            </w:tcBorders>
            <w:vAlign w:val="center"/>
          </w:tcPr>
          <w:p>
            <w:pPr>
              <w:tabs>
                <w:tab w:val="left" w:pos="2552"/>
              </w:tabs>
              <w:jc w:val="center"/>
              <w:rPr>
                <w:color w:val="auto"/>
                <w:szCs w:val="21"/>
              </w:rPr>
            </w:pPr>
            <w:r>
              <w:rPr>
                <w:rFonts w:hint="eastAsia"/>
                <w:color w:val="auto"/>
                <w:szCs w:val="21"/>
              </w:rPr>
              <w:t>连续</w:t>
            </w:r>
          </w:p>
        </w:tc>
        <w:tc>
          <w:tcPr>
            <w:tcW w:w="1047" w:type="dxa"/>
            <w:vMerge w:val="restart"/>
            <w:tcBorders>
              <w:tl2br w:val="nil"/>
              <w:tr2bl w:val="nil"/>
            </w:tcBorders>
            <w:vAlign w:val="center"/>
          </w:tcPr>
          <w:p>
            <w:pPr>
              <w:jc w:val="center"/>
              <w:rPr>
                <w:color w:val="auto"/>
                <w:szCs w:val="21"/>
              </w:rPr>
            </w:pPr>
            <w:r>
              <w:rPr>
                <w:color w:val="auto"/>
                <w:szCs w:val="21"/>
              </w:rPr>
              <w:t>--</w:t>
            </w:r>
          </w:p>
        </w:tc>
        <w:tc>
          <w:tcPr>
            <w:tcW w:w="901" w:type="dxa"/>
            <w:gridSpan w:val="2"/>
            <w:vMerge w:val="restart"/>
            <w:tcBorders>
              <w:tl2br w:val="nil"/>
              <w:tr2bl w:val="nil"/>
            </w:tcBorders>
            <w:vAlign w:val="center"/>
          </w:tcPr>
          <w:p>
            <w:pPr>
              <w:tabs>
                <w:tab w:val="left" w:pos="2552"/>
              </w:tabs>
              <w:jc w:val="center"/>
              <w:rPr>
                <w:color w:val="auto"/>
                <w:szCs w:val="21"/>
              </w:rPr>
            </w:pPr>
            <w:r>
              <w:rPr>
                <w:color w:val="auto"/>
                <w:szCs w:val="21"/>
              </w:rPr>
              <w:t>--</w:t>
            </w:r>
          </w:p>
        </w:tc>
        <w:tc>
          <w:tcPr>
            <w:tcW w:w="715" w:type="dxa"/>
            <w:vMerge w:val="restart"/>
            <w:tcBorders>
              <w:tl2br w:val="nil"/>
              <w:tr2bl w:val="nil"/>
            </w:tcBorders>
            <w:vAlign w:val="center"/>
          </w:tcPr>
          <w:p>
            <w:pPr>
              <w:jc w:val="center"/>
              <w:rPr>
                <w:color w:val="auto"/>
                <w:szCs w:val="21"/>
              </w:rPr>
            </w:pPr>
            <w:r>
              <w:rPr>
                <w:color w:val="auto"/>
                <w:szCs w:val="21"/>
              </w:rPr>
              <w:t>--</w:t>
            </w:r>
          </w:p>
        </w:tc>
        <w:tc>
          <w:tcPr>
            <w:tcW w:w="1753" w:type="dxa"/>
            <w:vMerge w:val="restart"/>
            <w:tcBorders>
              <w:tl2br w:val="nil"/>
              <w:tr2bl w:val="nil"/>
            </w:tcBorders>
            <w:vAlign w:val="center"/>
          </w:tcPr>
          <w:p>
            <w:pPr>
              <w:jc w:val="center"/>
              <w:rPr>
                <w:color w:val="auto"/>
                <w:szCs w:val="21"/>
              </w:rPr>
            </w:pPr>
            <w:r>
              <w:rPr>
                <w:rFonts w:hint="eastAsia"/>
                <w:color w:val="auto"/>
                <w:szCs w:val="21"/>
              </w:rPr>
              <w:t>是</w:t>
            </w:r>
          </w:p>
        </w:tc>
        <w:tc>
          <w:tcPr>
            <w:tcW w:w="1745" w:type="dxa"/>
            <w:vMerge w:val="restart"/>
            <w:tcBorders>
              <w:tl2br w:val="nil"/>
              <w:tr2bl w:val="nil"/>
            </w:tcBorders>
            <w:vAlign w:val="center"/>
          </w:tcPr>
          <w:p>
            <w:pPr>
              <w:jc w:val="center"/>
              <w:rPr>
                <w:color w:val="auto"/>
                <w:szCs w:val="21"/>
              </w:rPr>
            </w:pPr>
            <w:r>
              <w:rPr>
                <w:color w:val="auto"/>
                <w:szCs w:val="21"/>
              </w:rPr>
              <w:t>--</w:t>
            </w:r>
          </w:p>
        </w:tc>
        <w:tc>
          <w:tcPr>
            <w:tcW w:w="1393" w:type="dxa"/>
            <w:gridSpan w:val="2"/>
            <w:vMerge w:val="restart"/>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744" w:type="dxa"/>
            <w:vMerge w:val="continue"/>
            <w:tcBorders>
              <w:tl2br w:val="nil"/>
              <w:tr2bl w:val="nil"/>
            </w:tcBorders>
            <w:vAlign w:val="center"/>
          </w:tcPr>
          <w:p>
            <w:pPr>
              <w:tabs>
                <w:tab w:val="left" w:pos="2552"/>
              </w:tabs>
              <w:jc w:val="center"/>
              <w:rPr>
                <w:color w:val="auto"/>
                <w:szCs w:val="21"/>
              </w:rPr>
            </w:pPr>
          </w:p>
        </w:tc>
        <w:tc>
          <w:tcPr>
            <w:tcW w:w="1272" w:type="dxa"/>
            <w:gridSpan w:val="2"/>
            <w:vMerge w:val="continue"/>
            <w:tcBorders>
              <w:tl2br w:val="nil"/>
              <w:tr2bl w:val="nil"/>
            </w:tcBorders>
            <w:vAlign w:val="center"/>
          </w:tcPr>
          <w:p>
            <w:pPr>
              <w:tabs>
                <w:tab w:val="left" w:pos="2552"/>
              </w:tabs>
              <w:jc w:val="center"/>
              <w:rPr>
                <w:rFonts w:hint="eastAsia"/>
                <w:color w:val="auto"/>
                <w:szCs w:val="21"/>
              </w:rPr>
            </w:pPr>
          </w:p>
        </w:tc>
        <w:tc>
          <w:tcPr>
            <w:tcW w:w="1139" w:type="dxa"/>
            <w:gridSpan w:val="2"/>
            <w:vMerge w:val="continue"/>
            <w:tcBorders>
              <w:tl2br w:val="nil"/>
              <w:tr2bl w:val="nil"/>
            </w:tcBorders>
            <w:vAlign w:val="center"/>
          </w:tcPr>
          <w:p>
            <w:pPr>
              <w:jc w:val="center"/>
              <w:rPr>
                <w:rFonts w:hint="eastAsia"/>
                <w:color w:val="auto"/>
                <w:szCs w:val="21"/>
              </w:rPr>
            </w:pPr>
          </w:p>
        </w:tc>
        <w:tc>
          <w:tcPr>
            <w:tcW w:w="1595" w:type="dxa"/>
            <w:gridSpan w:val="2"/>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六价铬</w:t>
            </w:r>
          </w:p>
        </w:tc>
        <w:tc>
          <w:tcPr>
            <w:tcW w:w="1978" w:type="dxa"/>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0.041</w:t>
            </w:r>
          </w:p>
        </w:tc>
        <w:tc>
          <w:tcPr>
            <w:tcW w:w="2179" w:type="dxa"/>
            <w:gridSpan w:val="2"/>
            <w:tcBorders>
              <w:tl2br w:val="nil"/>
              <w:tr2bl w:val="nil"/>
            </w:tcBorders>
            <w:vAlign w:val="center"/>
          </w:tcPr>
          <w:p>
            <w:pPr>
              <w:jc w:val="center"/>
              <w:rPr>
                <w:rFonts w:hint="default"/>
                <w:color w:val="auto"/>
                <w:szCs w:val="21"/>
                <w:lang w:val="en-US"/>
              </w:rPr>
            </w:pPr>
            <w:r>
              <w:rPr>
                <w:rFonts w:hint="default" w:ascii="Times New Roman" w:hAnsi="Times New Roman" w:eastAsia="宋体" w:cs="Times New Roman"/>
                <w:i w:val="0"/>
                <w:color w:val="auto"/>
                <w:kern w:val="0"/>
                <w:sz w:val="21"/>
                <w:szCs w:val="21"/>
                <w:u w:val="none"/>
                <w:lang w:val="en-US" w:eastAsia="zh-CN" w:bidi="ar"/>
              </w:rPr>
              <w:t>0.043</w:t>
            </w:r>
          </w:p>
        </w:tc>
        <w:tc>
          <w:tcPr>
            <w:tcW w:w="3395" w:type="dxa"/>
            <w:gridSpan w:val="2"/>
            <w:vMerge w:val="continue"/>
            <w:tcBorders>
              <w:tl2br w:val="nil"/>
              <w:tr2bl w:val="nil"/>
            </w:tcBorders>
            <w:vAlign w:val="center"/>
          </w:tcPr>
          <w:p>
            <w:pPr>
              <w:jc w:val="center"/>
              <w:rPr>
                <w:rFonts w:hint="eastAsia"/>
                <w:color w:val="auto"/>
                <w:szCs w:val="21"/>
              </w:rPr>
            </w:pPr>
          </w:p>
        </w:tc>
        <w:tc>
          <w:tcPr>
            <w:tcW w:w="1339" w:type="dxa"/>
            <w:vMerge w:val="continue"/>
            <w:tcBorders>
              <w:tl2br w:val="nil"/>
              <w:tr2bl w:val="nil"/>
            </w:tcBorders>
            <w:vAlign w:val="center"/>
          </w:tcPr>
          <w:p>
            <w:pPr>
              <w:tabs>
                <w:tab w:val="left" w:pos="2552"/>
              </w:tabs>
              <w:jc w:val="center"/>
              <w:rPr>
                <w:rFonts w:hint="eastAsia"/>
                <w:color w:val="auto"/>
                <w:szCs w:val="21"/>
              </w:rPr>
            </w:pPr>
          </w:p>
        </w:tc>
        <w:tc>
          <w:tcPr>
            <w:tcW w:w="1047" w:type="dxa"/>
            <w:vMerge w:val="continue"/>
            <w:tcBorders>
              <w:tl2br w:val="nil"/>
              <w:tr2bl w:val="nil"/>
            </w:tcBorders>
            <w:vAlign w:val="center"/>
          </w:tcPr>
          <w:p>
            <w:pPr>
              <w:jc w:val="center"/>
              <w:rPr>
                <w:color w:val="auto"/>
                <w:szCs w:val="21"/>
              </w:rPr>
            </w:pPr>
          </w:p>
        </w:tc>
        <w:tc>
          <w:tcPr>
            <w:tcW w:w="901" w:type="dxa"/>
            <w:gridSpan w:val="2"/>
            <w:vMerge w:val="continue"/>
            <w:tcBorders>
              <w:tl2br w:val="nil"/>
              <w:tr2bl w:val="nil"/>
            </w:tcBorders>
            <w:vAlign w:val="center"/>
          </w:tcPr>
          <w:p>
            <w:pPr>
              <w:tabs>
                <w:tab w:val="left" w:pos="2552"/>
              </w:tabs>
              <w:jc w:val="center"/>
              <w:rPr>
                <w:color w:val="auto"/>
                <w:szCs w:val="21"/>
              </w:rPr>
            </w:pPr>
          </w:p>
        </w:tc>
        <w:tc>
          <w:tcPr>
            <w:tcW w:w="715" w:type="dxa"/>
            <w:vMerge w:val="continue"/>
            <w:tcBorders>
              <w:tl2br w:val="nil"/>
              <w:tr2bl w:val="nil"/>
            </w:tcBorders>
            <w:vAlign w:val="center"/>
          </w:tcPr>
          <w:p>
            <w:pPr>
              <w:jc w:val="center"/>
              <w:rPr>
                <w:color w:val="auto"/>
                <w:szCs w:val="21"/>
              </w:rPr>
            </w:pPr>
          </w:p>
        </w:tc>
        <w:tc>
          <w:tcPr>
            <w:tcW w:w="1753" w:type="dxa"/>
            <w:vMerge w:val="continue"/>
            <w:tcBorders>
              <w:tl2br w:val="nil"/>
              <w:tr2bl w:val="nil"/>
            </w:tcBorders>
            <w:vAlign w:val="center"/>
          </w:tcPr>
          <w:p>
            <w:pPr>
              <w:jc w:val="center"/>
              <w:rPr>
                <w:rFonts w:hint="eastAsia"/>
                <w:color w:val="auto"/>
                <w:szCs w:val="21"/>
              </w:rPr>
            </w:pPr>
          </w:p>
        </w:tc>
        <w:tc>
          <w:tcPr>
            <w:tcW w:w="1745" w:type="dxa"/>
            <w:vMerge w:val="continue"/>
            <w:tcBorders>
              <w:tl2br w:val="nil"/>
              <w:tr2bl w:val="nil"/>
            </w:tcBorders>
            <w:vAlign w:val="center"/>
          </w:tcPr>
          <w:p>
            <w:pPr>
              <w:jc w:val="center"/>
              <w:rPr>
                <w:color w:val="auto"/>
                <w:szCs w:val="21"/>
              </w:rPr>
            </w:pPr>
          </w:p>
        </w:tc>
        <w:tc>
          <w:tcPr>
            <w:tcW w:w="1393" w:type="dxa"/>
            <w:gridSpan w:val="2"/>
            <w:vMerge w:val="continue"/>
            <w:tcBorders>
              <w:tl2br w:val="nil"/>
              <w:tr2bl w:val="nil"/>
            </w:tcBorders>
            <w:vAlign w:val="center"/>
          </w:tcPr>
          <w:p>
            <w:pPr>
              <w:tabs>
                <w:tab w:val="left" w:pos="2552"/>
              </w:tabs>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139" w:type="dxa"/>
            <w:gridSpan w:val="2"/>
            <w:tcBorders>
              <w:tl2br w:val="nil"/>
              <w:tr2bl w:val="nil"/>
            </w:tcBorders>
            <w:vAlign w:val="center"/>
          </w:tcPr>
          <w:p>
            <w:pPr>
              <w:jc w:val="center"/>
              <w:rPr>
                <w:color w:val="auto"/>
                <w:szCs w:val="21"/>
              </w:rPr>
            </w:pPr>
            <w:r>
              <w:rPr>
                <w:rFonts w:hint="eastAsia"/>
                <w:color w:val="auto"/>
                <w:szCs w:val="21"/>
              </w:rPr>
              <w:t>含镍废水</w:t>
            </w:r>
          </w:p>
        </w:tc>
        <w:tc>
          <w:tcPr>
            <w:tcW w:w="1595" w:type="dxa"/>
            <w:gridSpan w:val="2"/>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总镍</w:t>
            </w:r>
          </w:p>
        </w:tc>
        <w:tc>
          <w:tcPr>
            <w:tcW w:w="1978" w:type="dxa"/>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75.6</w:t>
            </w:r>
          </w:p>
        </w:tc>
        <w:tc>
          <w:tcPr>
            <w:tcW w:w="2179" w:type="dxa"/>
            <w:gridSpan w:val="2"/>
            <w:tcBorders>
              <w:tl2br w:val="nil"/>
              <w:tr2bl w:val="nil"/>
            </w:tcBorders>
            <w:vAlign w:val="center"/>
          </w:tcPr>
          <w:p>
            <w:pPr>
              <w:jc w:val="center"/>
              <w:rPr>
                <w:rFonts w:hint="default"/>
                <w:color w:val="auto"/>
                <w:szCs w:val="21"/>
                <w:lang w:val="en-US"/>
              </w:rPr>
            </w:pPr>
            <w:r>
              <w:rPr>
                <w:rFonts w:hint="default" w:ascii="Times New Roman" w:hAnsi="Times New Roman" w:eastAsia="宋体" w:cs="Times New Roman"/>
                <w:i w:val="0"/>
                <w:color w:val="auto"/>
                <w:kern w:val="0"/>
                <w:sz w:val="21"/>
                <w:szCs w:val="21"/>
                <w:u w:val="none"/>
                <w:lang w:val="en-US" w:eastAsia="zh-CN" w:bidi="ar"/>
              </w:rPr>
              <w:t>85.58</w:t>
            </w:r>
          </w:p>
        </w:tc>
        <w:tc>
          <w:tcPr>
            <w:tcW w:w="3395" w:type="dxa"/>
            <w:gridSpan w:val="2"/>
            <w:tcBorders>
              <w:tl2br w:val="nil"/>
              <w:tr2bl w:val="nil"/>
            </w:tcBorders>
            <w:vAlign w:val="center"/>
          </w:tcPr>
          <w:p>
            <w:pPr>
              <w:jc w:val="center"/>
              <w:rPr>
                <w:rFonts w:hint="eastAsia"/>
                <w:color w:val="auto"/>
                <w:szCs w:val="21"/>
              </w:rPr>
            </w:pPr>
            <w:r>
              <w:rPr>
                <w:rFonts w:hint="eastAsia"/>
                <w:color w:val="auto"/>
                <w:szCs w:val="21"/>
              </w:rPr>
              <w:t>经含镍废水管道进入集控中心含镍废水处理系统处理</w:t>
            </w:r>
          </w:p>
        </w:tc>
        <w:tc>
          <w:tcPr>
            <w:tcW w:w="1339" w:type="dxa"/>
            <w:tcBorders>
              <w:tl2br w:val="nil"/>
              <w:tr2bl w:val="nil"/>
            </w:tcBorders>
            <w:vAlign w:val="center"/>
          </w:tcPr>
          <w:p>
            <w:pPr>
              <w:tabs>
                <w:tab w:val="left" w:pos="2552"/>
              </w:tabs>
              <w:jc w:val="center"/>
              <w:rPr>
                <w:color w:val="auto"/>
                <w:szCs w:val="21"/>
              </w:rPr>
            </w:pPr>
            <w:r>
              <w:rPr>
                <w:rFonts w:hint="eastAsia"/>
                <w:color w:val="auto"/>
                <w:szCs w:val="21"/>
              </w:rPr>
              <w:t>连续</w:t>
            </w:r>
          </w:p>
        </w:tc>
        <w:tc>
          <w:tcPr>
            <w:tcW w:w="1047" w:type="dxa"/>
            <w:tcBorders>
              <w:tl2br w:val="nil"/>
              <w:tr2bl w:val="nil"/>
            </w:tcBorders>
            <w:vAlign w:val="center"/>
          </w:tcPr>
          <w:p>
            <w:pPr>
              <w:jc w:val="center"/>
              <w:rPr>
                <w:color w:val="auto"/>
                <w:szCs w:val="21"/>
              </w:rPr>
            </w:pPr>
            <w:r>
              <w:rPr>
                <w:color w:val="auto"/>
                <w:szCs w:val="21"/>
              </w:rPr>
              <w:t>--</w:t>
            </w:r>
          </w:p>
        </w:tc>
        <w:tc>
          <w:tcPr>
            <w:tcW w:w="901" w:type="dxa"/>
            <w:gridSpan w:val="2"/>
            <w:tcBorders>
              <w:tl2br w:val="nil"/>
              <w:tr2bl w:val="nil"/>
            </w:tcBorders>
            <w:vAlign w:val="center"/>
          </w:tcPr>
          <w:p>
            <w:pPr>
              <w:tabs>
                <w:tab w:val="left" w:pos="2552"/>
              </w:tabs>
              <w:jc w:val="center"/>
              <w:rPr>
                <w:color w:val="auto"/>
                <w:szCs w:val="21"/>
              </w:rPr>
            </w:pPr>
            <w:r>
              <w:rPr>
                <w:color w:val="auto"/>
                <w:szCs w:val="21"/>
              </w:rPr>
              <w:t>--</w:t>
            </w:r>
          </w:p>
        </w:tc>
        <w:tc>
          <w:tcPr>
            <w:tcW w:w="715" w:type="dxa"/>
            <w:tcBorders>
              <w:tl2br w:val="nil"/>
              <w:tr2bl w:val="nil"/>
            </w:tcBorders>
            <w:vAlign w:val="center"/>
          </w:tcPr>
          <w:p>
            <w:pPr>
              <w:jc w:val="center"/>
              <w:rPr>
                <w:color w:val="auto"/>
                <w:szCs w:val="21"/>
              </w:rPr>
            </w:pPr>
            <w:r>
              <w:rPr>
                <w:color w:val="auto"/>
                <w:szCs w:val="21"/>
              </w:rPr>
              <w:t>--</w:t>
            </w:r>
          </w:p>
        </w:tc>
        <w:tc>
          <w:tcPr>
            <w:tcW w:w="1753" w:type="dxa"/>
            <w:tcBorders>
              <w:tl2br w:val="nil"/>
              <w:tr2bl w:val="nil"/>
            </w:tcBorders>
            <w:vAlign w:val="center"/>
          </w:tcPr>
          <w:p>
            <w:pPr>
              <w:jc w:val="center"/>
              <w:rPr>
                <w:color w:val="auto"/>
                <w:szCs w:val="21"/>
              </w:rPr>
            </w:pPr>
            <w:r>
              <w:rPr>
                <w:rFonts w:hint="eastAsia"/>
                <w:color w:val="auto"/>
                <w:szCs w:val="21"/>
              </w:rPr>
              <w:t>是</w:t>
            </w:r>
          </w:p>
        </w:tc>
        <w:tc>
          <w:tcPr>
            <w:tcW w:w="1745" w:type="dxa"/>
            <w:tcBorders>
              <w:tl2br w:val="nil"/>
              <w:tr2bl w:val="nil"/>
            </w:tcBorders>
            <w:vAlign w:val="center"/>
          </w:tcPr>
          <w:p>
            <w:pPr>
              <w:jc w:val="center"/>
              <w:rPr>
                <w:color w:val="auto"/>
                <w:szCs w:val="21"/>
              </w:rPr>
            </w:pPr>
            <w:r>
              <w:rPr>
                <w:color w:val="auto"/>
                <w:szCs w:val="21"/>
              </w:rPr>
              <w:t>--</w:t>
            </w:r>
          </w:p>
        </w:tc>
        <w:tc>
          <w:tcPr>
            <w:tcW w:w="1393" w:type="dxa"/>
            <w:gridSpan w:val="2"/>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139" w:type="dxa"/>
            <w:gridSpan w:val="2"/>
            <w:tcBorders>
              <w:tl2br w:val="nil"/>
              <w:tr2bl w:val="nil"/>
            </w:tcBorders>
            <w:vAlign w:val="center"/>
          </w:tcPr>
          <w:p>
            <w:pPr>
              <w:jc w:val="center"/>
              <w:rPr>
                <w:color w:val="auto"/>
                <w:szCs w:val="21"/>
              </w:rPr>
            </w:pPr>
            <w:r>
              <w:rPr>
                <w:rFonts w:hint="eastAsia"/>
                <w:color w:val="auto"/>
                <w:szCs w:val="21"/>
              </w:rPr>
              <w:t>含氰废水</w:t>
            </w:r>
          </w:p>
        </w:tc>
        <w:tc>
          <w:tcPr>
            <w:tcW w:w="1595" w:type="dxa"/>
            <w:gridSpan w:val="2"/>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总氰化物</w:t>
            </w:r>
          </w:p>
        </w:tc>
        <w:tc>
          <w:tcPr>
            <w:tcW w:w="1978" w:type="dxa"/>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0.004</w:t>
            </w:r>
          </w:p>
        </w:tc>
        <w:tc>
          <w:tcPr>
            <w:tcW w:w="2179" w:type="dxa"/>
            <w:gridSpan w:val="2"/>
            <w:tcBorders>
              <w:tl2br w:val="nil"/>
              <w:tr2bl w:val="nil"/>
            </w:tcBorders>
            <w:vAlign w:val="center"/>
          </w:tcPr>
          <w:p>
            <w:pPr>
              <w:jc w:val="center"/>
              <w:rPr>
                <w:rFonts w:hint="default"/>
                <w:color w:val="auto"/>
                <w:szCs w:val="21"/>
                <w:lang w:val="en-US"/>
              </w:rPr>
            </w:pPr>
            <w:r>
              <w:rPr>
                <w:rFonts w:hint="default" w:ascii="Times New Roman" w:hAnsi="Times New Roman" w:eastAsia="宋体" w:cs="Times New Roman"/>
                <w:i w:val="0"/>
                <w:color w:val="auto"/>
                <w:kern w:val="0"/>
                <w:sz w:val="21"/>
                <w:szCs w:val="21"/>
                <w:u w:val="none"/>
                <w:lang w:val="en-US" w:eastAsia="zh-CN" w:bidi="ar"/>
              </w:rPr>
              <w:t>0.012</w:t>
            </w:r>
          </w:p>
        </w:tc>
        <w:tc>
          <w:tcPr>
            <w:tcW w:w="3395" w:type="dxa"/>
            <w:gridSpan w:val="2"/>
            <w:tcBorders>
              <w:tl2br w:val="nil"/>
              <w:tr2bl w:val="nil"/>
            </w:tcBorders>
            <w:vAlign w:val="center"/>
          </w:tcPr>
          <w:p>
            <w:pPr>
              <w:jc w:val="center"/>
              <w:rPr>
                <w:rFonts w:hint="eastAsia"/>
                <w:color w:val="auto"/>
                <w:szCs w:val="21"/>
              </w:rPr>
            </w:pPr>
            <w:r>
              <w:rPr>
                <w:rFonts w:hint="eastAsia"/>
                <w:color w:val="auto"/>
                <w:szCs w:val="21"/>
              </w:rPr>
              <w:t>经含氰废水管道进入集控中心含氰废水处理系统处理</w:t>
            </w:r>
          </w:p>
        </w:tc>
        <w:tc>
          <w:tcPr>
            <w:tcW w:w="1339" w:type="dxa"/>
            <w:tcBorders>
              <w:tl2br w:val="nil"/>
              <w:tr2bl w:val="nil"/>
            </w:tcBorders>
            <w:vAlign w:val="center"/>
          </w:tcPr>
          <w:p>
            <w:pPr>
              <w:tabs>
                <w:tab w:val="left" w:pos="2552"/>
              </w:tabs>
              <w:jc w:val="center"/>
              <w:rPr>
                <w:color w:val="auto"/>
                <w:szCs w:val="21"/>
              </w:rPr>
            </w:pPr>
            <w:r>
              <w:rPr>
                <w:rFonts w:hint="eastAsia"/>
                <w:color w:val="auto"/>
                <w:szCs w:val="21"/>
              </w:rPr>
              <w:t>连续</w:t>
            </w:r>
          </w:p>
        </w:tc>
        <w:tc>
          <w:tcPr>
            <w:tcW w:w="1047" w:type="dxa"/>
            <w:tcBorders>
              <w:tl2br w:val="nil"/>
              <w:tr2bl w:val="nil"/>
            </w:tcBorders>
            <w:vAlign w:val="center"/>
          </w:tcPr>
          <w:p>
            <w:pPr>
              <w:jc w:val="center"/>
              <w:rPr>
                <w:color w:val="auto"/>
                <w:szCs w:val="21"/>
              </w:rPr>
            </w:pPr>
            <w:r>
              <w:rPr>
                <w:color w:val="auto"/>
                <w:szCs w:val="21"/>
              </w:rPr>
              <w:t>--</w:t>
            </w:r>
          </w:p>
        </w:tc>
        <w:tc>
          <w:tcPr>
            <w:tcW w:w="901" w:type="dxa"/>
            <w:gridSpan w:val="2"/>
            <w:tcBorders>
              <w:tl2br w:val="nil"/>
              <w:tr2bl w:val="nil"/>
            </w:tcBorders>
            <w:vAlign w:val="center"/>
          </w:tcPr>
          <w:p>
            <w:pPr>
              <w:tabs>
                <w:tab w:val="left" w:pos="2552"/>
              </w:tabs>
              <w:jc w:val="center"/>
              <w:rPr>
                <w:color w:val="auto"/>
                <w:szCs w:val="21"/>
              </w:rPr>
            </w:pPr>
            <w:r>
              <w:rPr>
                <w:color w:val="auto"/>
                <w:szCs w:val="21"/>
              </w:rPr>
              <w:t>--</w:t>
            </w:r>
          </w:p>
        </w:tc>
        <w:tc>
          <w:tcPr>
            <w:tcW w:w="715" w:type="dxa"/>
            <w:tcBorders>
              <w:tl2br w:val="nil"/>
              <w:tr2bl w:val="nil"/>
            </w:tcBorders>
            <w:vAlign w:val="center"/>
          </w:tcPr>
          <w:p>
            <w:pPr>
              <w:jc w:val="center"/>
              <w:rPr>
                <w:color w:val="auto"/>
                <w:szCs w:val="21"/>
              </w:rPr>
            </w:pPr>
            <w:r>
              <w:rPr>
                <w:color w:val="auto"/>
                <w:szCs w:val="21"/>
              </w:rPr>
              <w:t>--</w:t>
            </w:r>
          </w:p>
        </w:tc>
        <w:tc>
          <w:tcPr>
            <w:tcW w:w="1753" w:type="dxa"/>
            <w:tcBorders>
              <w:tl2br w:val="nil"/>
              <w:tr2bl w:val="nil"/>
            </w:tcBorders>
            <w:vAlign w:val="center"/>
          </w:tcPr>
          <w:p>
            <w:pPr>
              <w:jc w:val="center"/>
              <w:rPr>
                <w:color w:val="auto"/>
                <w:szCs w:val="21"/>
              </w:rPr>
            </w:pPr>
            <w:r>
              <w:rPr>
                <w:rFonts w:hint="eastAsia"/>
                <w:color w:val="auto"/>
                <w:szCs w:val="21"/>
              </w:rPr>
              <w:t>是</w:t>
            </w:r>
          </w:p>
        </w:tc>
        <w:tc>
          <w:tcPr>
            <w:tcW w:w="1745" w:type="dxa"/>
            <w:tcBorders>
              <w:tl2br w:val="nil"/>
              <w:tr2bl w:val="nil"/>
            </w:tcBorders>
            <w:vAlign w:val="center"/>
          </w:tcPr>
          <w:p>
            <w:pPr>
              <w:jc w:val="center"/>
              <w:rPr>
                <w:color w:val="auto"/>
                <w:szCs w:val="21"/>
              </w:rPr>
            </w:pPr>
            <w:r>
              <w:rPr>
                <w:color w:val="auto"/>
                <w:szCs w:val="21"/>
              </w:rPr>
              <w:t>--</w:t>
            </w:r>
          </w:p>
        </w:tc>
        <w:tc>
          <w:tcPr>
            <w:tcW w:w="1393" w:type="dxa"/>
            <w:gridSpan w:val="2"/>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139" w:type="dxa"/>
            <w:gridSpan w:val="2"/>
            <w:tcBorders>
              <w:tl2br w:val="nil"/>
              <w:tr2bl w:val="nil"/>
            </w:tcBorders>
            <w:vAlign w:val="center"/>
          </w:tcPr>
          <w:p>
            <w:pPr>
              <w:jc w:val="center"/>
              <w:rPr>
                <w:color w:val="auto"/>
                <w:szCs w:val="21"/>
              </w:rPr>
            </w:pPr>
            <w:r>
              <w:rPr>
                <w:rFonts w:hint="eastAsia"/>
                <w:color w:val="auto"/>
                <w:szCs w:val="21"/>
              </w:rPr>
              <w:t>含油废水</w:t>
            </w:r>
          </w:p>
        </w:tc>
        <w:tc>
          <w:tcPr>
            <w:tcW w:w="1595" w:type="dxa"/>
            <w:gridSpan w:val="2"/>
            <w:tcBorders>
              <w:tl2br w:val="nil"/>
              <w:tr2bl w:val="nil"/>
            </w:tcBorders>
            <w:vAlign w:val="center"/>
          </w:tcPr>
          <w:p>
            <w:pPr>
              <w:jc w:val="center"/>
              <w:rPr>
                <w:rFonts w:hint="eastAsia" w:eastAsia="宋体"/>
                <w:color w:val="auto"/>
                <w:szCs w:val="21"/>
                <w:lang w:eastAsia="zh-CN"/>
              </w:rPr>
            </w:pPr>
            <w:r>
              <w:rPr>
                <w:rFonts w:hint="eastAsia"/>
                <w:color w:val="auto"/>
                <w:szCs w:val="21"/>
                <w:lang w:eastAsia="zh-CN"/>
              </w:rPr>
              <w:t>石油类</w:t>
            </w:r>
          </w:p>
        </w:tc>
        <w:tc>
          <w:tcPr>
            <w:tcW w:w="1978" w:type="dxa"/>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37.7</w:t>
            </w:r>
          </w:p>
        </w:tc>
        <w:tc>
          <w:tcPr>
            <w:tcW w:w="2179" w:type="dxa"/>
            <w:gridSpan w:val="2"/>
            <w:tcBorders>
              <w:tl2br w:val="nil"/>
              <w:tr2bl w:val="nil"/>
            </w:tcBorders>
            <w:vAlign w:val="center"/>
          </w:tcPr>
          <w:p>
            <w:pPr>
              <w:jc w:val="center"/>
              <w:rPr>
                <w:rFonts w:hint="default"/>
                <w:color w:val="auto"/>
                <w:szCs w:val="21"/>
                <w:lang w:val="en-US"/>
              </w:rPr>
            </w:pPr>
            <w:r>
              <w:rPr>
                <w:rFonts w:hint="default" w:ascii="Times New Roman" w:hAnsi="Times New Roman" w:eastAsia="宋体" w:cs="Times New Roman"/>
                <w:i w:val="0"/>
                <w:color w:val="auto"/>
                <w:kern w:val="0"/>
                <w:sz w:val="21"/>
                <w:szCs w:val="21"/>
                <w:u w:val="none"/>
                <w:lang w:val="en-US" w:eastAsia="zh-CN" w:bidi="ar"/>
              </w:rPr>
              <w:t xml:space="preserve">79.55 </w:t>
            </w:r>
          </w:p>
        </w:tc>
        <w:tc>
          <w:tcPr>
            <w:tcW w:w="3395" w:type="dxa"/>
            <w:gridSpan w:val="2"/>
            <w:tcBorders>
              <w:tl2br w:val="nil"/>
              <w:tr2bl w:val="nil"/>
            </w:tcBorders>
            <w:vAlign w:val="center"/>
          </w:tcPr>
          <w:p>
            <w:pPr>
              <w:jc w:val="center"/>
              <w:rPr>
                <w:rFonts w:hint="eastAsia"/>
                <w:color w:val="auto"/>
                <w:szCs w:val="21"/>
              </w:rPr>
            </w:pPr>
            <w:r>
              <w:rPr>
                <w:rFonts w:hint="eastAsia"/>
                <w:color w:val="auto"/>
                <w:szCs w:val="21"/>
              </w:rPr>
              <w:t>经含油废水管道进入集控中心含油废水处理系统处理</w:t>
            </w:r>
          </w:p>
        </w:tc>
        <w:tc>
          <w:tcPr>
            <w:tcW w:w="1339" w:type="dxa"/>
            <w:tcBorders>
              <w:tl2br w:val="nil"/>
              <w:tr2bl w:val="nil"/>
            </w:tcBorders>
            <w:vAlign w:val="center"/>
          </w:tcPr>
          <w:p>
            <w:pPr>
              <w:tabs>
                <w:tab w:val="left" w:pos="2552"/>
              </w:tabs>
              <w:jc w:val="center"/>
              <w:rPr>
                <w:color w:val="auto"/>
                <w:szCs w:val="21"/>
              </w:rPr>
            </w:pPr>
            <w:r>
              <w:rPr>
                <w:rFonts w:hint="eastAsia"/>
                <w:color w:val="auto"/>
                <w:szCs w:val="21"/>
              </w:rPr>
              <w:t>连续</w:t>
            </w:r>
          </w:p>
        </w:tc>
        <w:tc>
          <w:tcPr>
            <w:tcW w:w="1047" w:type="dxa"/>
            <w:tcBorders>
              <w:tl2br w:val="nil"/>
              <w:tr2bl w:val="nil"/>
            </w:tcBorders>
            <w:vAlign w:val="center"/>
          </w:tcPr>
          <w:p>
            <w:pPr>
              <w:jc w:val="center"/>
              <w:rPr>
                <w:color w:val="auto"/>
                <w:szCs w:val="21"/>
              </w:rPr>
            </w:pPr>
            <w:r>
              <w:rPr>
                <w:color w:val="auto"/>
                <w:szCs w:val="21"/>
              </w:rPr>
              <w:t>--</w:t>
            </w:r>
          </w:p>
        </w:tc>
        <w:tc>
          <w:tcPr>
            <w:tcW w:w="901" w:type="dxa"/>
            <w:gridSpan w:val="2"/>
            <w:tcBorders>
              <w:tl2br w:val="nil"/>
              <w:tr2bl w:val="nil"/>
            </w:tcBorders>
            <w:vAlign w:val="center"/>
          </w:tcPr>
          <w:p>
            <w:pPr>
              <w:tabs>
                <w:tab w:val="left" w:pos="2552"/>
              </w:tabs>
              <w:jc w:val="center"/>
              <w:rPr>
                <w:color w:val="auto"/>
                <w:szCs w:val="21"/>
              </w:rPr>
            </w:pPr>
            <w:r>
              <w:rPr>
                <w:color w:val="auto"/>
                <w:szCs w:val="21"/>
              </w:rPr>
              <w:t>--</w:t>
            </w:r>
          </w:p>
        </w:tc>
        <w:tc>
          <w:tcPr>
            <w:tcW w:w="715" w:type="dxa"/>
            <w:tcBorders>
              <w:tl2br w:val="nil"/>
              <w:tr2bl w:val="nil"/>
            </w:tcBorders>
            <w:vAlign w:val="center"/>
          </w:tcPr>
          <w:p>
            <w:pPr>
              <w:jc w:val="center"/>
              <w:rPr>
                <w:color w:val="auto"/>
                <w:szCs w:val="21"/>
              </w:rPr>
            </w:pPr>
            <w:r>
              <w:rPr>
                <w:color w:val="auto"/>
                <w:szCs w:val="21"/>
              </w:rPr>
              <w:t>--</w:t>
            </w:r>
          </w:p>
        </w:tc>
        <w:tc>
          <w:tcPr>
            <w:tcW w:w="1753" w:type="dxa"/>
            <w:tcBorders>
              <w:tl2br w:val="nil"/>
              <w:tr2bl w:val="nil"/>
            </w:tcBorders>
            <w:vAlign w:val="center"/>
          </w:tcPr>
          <w:p>
            <w:pPr>
              <w:jc w:val="center"/>
              <w:rPr>
                <w:color w:val="auto"/>
                <w:szCs w:val="21"/>
              </w:rPr>
            </w:pPr>
            <w:r>
              <w:rPr>
                <w:rFonts w:hint="eastAsia"/>
                <w:color w:val="auto"/>
                <w:szCs w:val="21"/>
              </w:rPr>
              <w:t>是</w:t>
            </w:r>
          </w:p>
        </w:tc>
        <w:tc>
          <w:tcPr>
            <w:tcW w:w="1745" w:type="dxa"/>
            <w:tcBorders>
              <w:tl2br w:val="nil"/>
              <w:tr2bl w:val="nil"/>
            </w:tcBorders>
            <w:vAlign w:val="center"/>
          </w:tcPr>
          <w:p>
            <w:pPr>
              <w:jc w:val="center"/>
              <w:rPr>
                <w:color w:val="auto"/>
                <w:szCs w:val="21"/>
              </w:rPr>
            </w:pPr>
            <w:r>
              <w:rPr>
                <w:color w:val="auto"/>
                <w:szCs w:val="21"/>
              </w:rPr>
              <w:t>--</w:t>
            </w:r>
          </w:p>
        </w:tc>
        <w:tc>
          <w:tcPr>
            <w:tcW w:w="1393" w:type="dxa"/>
            <w:gridSpan w:val="2"/>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139" w:type="dxa"/>
            <w:gridSpan w:val="2"/>
            <w:vMerge w:val="restart"/>
            <w:tcBorders>
              <w:tl2br w:val="nil"/>
              <w:tr2bl w:val="nil"/>
            </w:tcBorders>
            <w:vAlign w:val="center"/>
          </w:tcPr>
          <w:p>
            <w:pPr>
              <w:jc w:val="center"/>
              <w:rPr>
                <w:color w:val="auto"/>
                <w:szCs w:val="21"/>
              </w:rPr>
            </w:pPr>
            <w:r>
              <w:rPr>
                <w:rFonts w:hint="eastAsia"/>
                <w:color w:val="auto"/>
                <w:szCs w:val="21"/>
              </w:rPr>
              <w:t>综合废水</w:t>
            </w:r>
          </w:p>
        </w:tc>
        <w:tc>
          <w:tcPr>
            <w:tcW w:w="1595" w:type="dxa"/>
            <w:gridSpan w:val="2"/>
            <w:tcBorders>
              <w:tl2br w:val="nil"/>
              <w:tr2bl w:val="nil"/>
            </w:tcBorders>
            <w:vAlign w:val="center"/>
          </w:tcPr>
          <w:p>
            <w:pPr>
              <w:jc w:val="center"/>
              <w:rPr>
                <w:rFonts w:hint="eastAsia"/>
                <w:color w:val="auto"/>
                <w:szCs w:val="21"/>
              </w:rPr>
            </w:pPr>
            <w:r>
              <w:rPr>
                <w:color w:val="auto"/>
                <w:szCs w:val="21"/>
              </w:rPr>
              <w:t>COD</w:t>
            </w:r>
          </w:p>
        </w:tc>
        <w:tc>
          <w:tcPr>
            <w:tcW w:w="1978" w:type="dxa"/>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156</w:t>
            </w:r>
          </w:p>
        </w:tc>
        <w:tc>
          <w:tcPr>
            <w:tcW w:w="2179" w:type="dxa"/>
            <w:gridSpan w:val="2"/>
            <w:tcBorders>
              <w:tl2br w:val="nil"/>
              <w:tr2bl w:val="nil"/>
            </w:tcBorders>
            <w:vAlign w:val="center"/>
          </w:tcPr>
          <w:p>
            <w:pPr>
              <w:jc w:val="center"/>
              <w:rPr>
                <w:rFonts w:hint="default"/>
                <w:color w:val="auto"/>
                <w:kern w:val="0"/>
                <w:szCs w:val="21"/>
                <w:lang w:val="en-US"/>
              </w:rPr>
            </w:pPr>
            <w:r>
              <w:rPr>
                <w:rFonts w:hint="default" w:ascii="Times New Roman" w:hAnsi="Times New Roman" w:eastAsia="宋体" w:cs="Times New Roman"/>
                <w:i w:val="0"/>
                <w:color w:val="auto"/>
                <w:kern w:val="0"/>
                <w:sz w:val="21"/>
                <w:szCs w:val="21"/>
                <w:u w:val="none"/>
                <w:lang w:val="en-US" w:eastAsia="zh-CN" w:bidi="ar"/>
              </w:rPr>
              <w:t>125.74</w:t>
            </w:r>
          </w:p>
        </w:tc>
        <w:tc>
          <w:tcPr>
            <w:tcW w:w="3395" w:type="dxa"/>
            <w:gridSpan w:val="2"/>
            <w:vMerge w:val="restart"/>
            <w:tcBorders>
              <w:tl2br w:val="nil"/>
              <w:tr2bl w:val="nil"/>
            </w:tcBorders>
            <w:vAlign w:val="center"/>
          </w:tcPr>
          <w:p>
            <w:pPr>
              <w:jc w:val="center"/>
              <w:rPr>
                <w:rFonts w:hint="eastAsia"/>
                <w:color w:val="auto"/>
                <w:kern w:val="0"/>
                <w:szCs w:val="21"/>
              </w:rPr>
            </w:pPr>
            <w:r>
              <w:rPr>
                <w:rFonts w:hint="eastAsia"/>
                <w:color w:val="auto"/>
                <w:kern w:val="0"/>
                <w:szCs w:val="21"/>
              </w:rPr>
              <w:t>经综合废水管道进入集控中心综合废水处理系统处理</w:t>
            </w:r>
          </w:p>
        </w:tc>
        <w:tc>
          <w:tcPr>
            <w:tcW w:w="1339" w:type="dxa"/>
            <w:vMerge w:val="restart"/>
            <w:tcBorders>
              <w:tl2br w:val="nil"/>
              <w:tr2bl w:val="nil"/>
            </w:tcBorders>
            <w:vAlign w:val="center"/>
          </w:tcPr>
          <w:p>
            <w:pPr>
              <w:tabs>
                <w:tab w:val="left" w:pos="2552"/>
              </w:tabs>
              <w:jc w:val="center"/>
              <w:rPr>
                <w:color w:val="auto"/>
                <w:szCs w:val="21"/>
              </w:rPr>
            </w:pPr>
            <w:r>
              <w:rPr>
                <w:rFonts w:hint="eastAsia"/>
                <w:color w:val="auto"/>
                <w:szCs w:val="21"/>
              </w:rPr>
              <w:t>连续</w:t>
            </w:r>
          </w:p>
        </w:tc>
        <w:tc>
          <w:tcPr>
            <w:tcW w:w="1047" w:type="dxa"/>
            <w:vMerge w:val="restart"/>
            <w:tcBorders>
              <w:tl2br w:val="nil"/>
              <w:tr2bl w:val="nil"/>
            </w:tcBorders>
            <w:vAlign w:val="center"/>
          </w:tcPr>
          <w:p>
            <w:pPr>
              <w:jc w:val="center"/>
              <w:rPr>
                <w:color w:val="auto"/>
                <w:szCs w:val="21"/>
              </w:rPr>
            </w:pPr>
            <w:r>
              <w:rPr>
                <w:color w:val="auto"/>
                <w:szCs w:val="21"/>
              </w:rPr>
              <w:t>--</w:t>
            </w:r>
          </w:p>
        </w:tc>
        <w:tc>
          <w:tcPr>
            <w:tcW w:w="901" w:type="dxa"/>
            <w:gridSpan w:val="2"/>
            <w:vMerge w:val="restart"/>
            <w:tcBorders>
              <w:tl2br w:val="nil"/>
              <w:tr2bl w:val="nil"/>
            </w:tcBorders>
            <w:vAlign w:val="center"/>
          </w:tcPr>
          <w:p>
            <w:pPr>
              <w:tabs>
                <w:tab w:val="left" w:pos="2552"/>
              </w:tabs>
              <w:jc w:val="center"/>
              <w:rPr>
                <w:color w:val="auto"/>
                <w:szCs w:val="21"/>
              </w:rPr>
            </w:pPr>
            <w:r>
              <w:rPr>
                <w:color w:val="auto"/>
                <w:szCs w:val="21"/>
              </w:rPr>
              <w:t>--</w:t>
            </w:r>
          </w:p>
        </w:tc>
        <w:tc>
          <w:tcPr>
            <w:tcW w:w="715" w:type="dxa"/>
            <w:vMerge w:val="restart"/>
            <w:tcBorders>
              <w:tl2br w:val="nil"/>
              <w:tr2bl w:val="nil"/>
            </w:tcBorders>
            <w:vAlign w:val="center"/>
          </w:tcPr>
          <w:p>
            <w:pPr>
              <w:jc w:val="center"/>
              <w:rPr>
                <w:color w:val="auto"/>
                <w:szCs w:val="21"/>
              </w:rPr>
            </w:pPr>
            <w:r>
              <w:rPr>
                <w:color w:val="auto"/>
                <w:szCs w:val="21"/>
              </w:rPr>
              <w:t>--</w:t>
            </w:r>
          </w:p>
        </w:tc>
        <w:tc>
          <w:tcPr>
            <w:tcW w:w="1753" w:type="dxa"/>
            <w:vMerge w:val="restart"/>
            <w:tcBorders>
              <w:tl2br w:val="nil"/>
              <w:tr2bl w:val="nil"/>
            </w:tcBorders>
            <w:vAlign w:val="center"/>
          </w:tcPr>
          <w:p>
            <w:pPr>
              <w:jc w:val="center"/>
              <w:rPr>
                <w:color w:val="auto"/>
                <w:szCs w:val="21"/>
              </w:rPr>
            </w:pPr>
            <w:r>
              <w:rPr>
                <w:rFonts w:hint="eastAsia"/>
                <w:color w:val="auto"/>
                <w:szCs w:val="21"/>
              </w:rPr>
              <w:t>是</w:t>
            </w:r>
          </w:p>
        </w:tc>
        <w:tc>
          <w:tcPr>
            <w:tcW w:w="1745" w:type="dxa"/>
            <w:vMerge w:val="restart"/>
            <w:tcBorders>
              <w:tl2br w:val="nil"/>
              <w:tr2bl w:val="nil"/>
            </w:tcBorders>
            <w:vAlign w:val="center"/>
          </w:tcPr>
          <w:p>
            <w:pPr>
              <w:jc w:val="center"/>
              <w:rPr>
                <w:color w:val="auto"/>
                <w:szCs w:val="21"/>
              </w:rPr>
            </w:pPr>
            <w:r>
              <w:rPr>
                <w:color w:val="auto"/>
                <w:szCs w:val="21"/>
              </w:rPr>
              <w:t>--</w:t>
            </w:r>
          </w:p>
        </w:tc>
        <w:tc>
          <w:tcPr>
            <w:tcW w:w="1393" w:type="dxa"/>
            <w:gridSpan w:val="2"/>
            <w:vMerge w:val="restart"/>
            <w:tcBorders>
              <w:tl2br w:val="nil"/>
              <w:tr2bl w:val="nil"/>
            </w:tcBorders>
            <w:vAlign w:val="center"/>
          </w:tcPr>
          <w:p>
            <w:pPr>
              <w:tabs>
                <w:tab w:val="left" w:pos="2552"/>
              </w:tabs>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tcBorders>
              <w:tl2br w:val="nil"/>
              <w:tr2bl w:val="nil"/>
            </w:tcBorders>
            <w:vAlign w:val="center"/>
          </w:tcPr>
          <w:p>
            <w:pPr>
              <w:widowControl/>
              <w:jc w:val="left"/>
              <w:rPr>
                <w:color w:val="auto"/>
                <w:szCs w:val="21"/>
              </w:rPr>
            </w:pPr>
          </w:p>
        </w:tc>
        <w:tc>
          <w:tcPr>
            <w:tcW w:w="1272" w:type="dxa"/>
            <w:gridSpan w:val="2"/>
            <w:vMerge w:val="continue"/>
            <w:tcBorders>
              <w:tl2br w:val="nil"/>
              <w:tr2bl w:val="nil"/>
            </w:tcBorders>
            <w:vAlign w:val="center"/>
          </w:tcPr>
          <w:p>
            <w:pPr>
              <w:widowControl/>
              <w:jc w:val="left"/>
              <w:rPr>
                <w:color w:val="auto"/>
                <w:szCs w:val="21"/>
              </w:rPr>
            </w:pPr>
          </w:p>
        </w:tc>
        <w:tc>
          <w:tcPr>
            <w:tcW w:w="1139" w:type="dxa"/>
            <w:gridSpan w:val="2"/>
            <w:vMerge w:val="continue"/>
            <w:tcBorders>
              <w:tl2br w:val="nil"/>
              <w:tr2bl w:val="nil"/>
            </w:tcBorders>
            <w:vAlign w:val="center"/>
          </w:tcPr>
          <w:p>
            <w:pPr>
              <w:jc w:val="center"/>
              <w:rPr>
                <w:rFonts w:hint="eastAsia"/>
                <w:color w:val="auto"/>
                <w:szCs w:val="21"/>
              </w:rPr>
            </w:pPr>
          </w:p>
        </w:tc>
        <w:tc>
          <w:tcPr>
            <w:tcW w:w="1595" w:type="dxa"/>
            <w:gridSpan w:val="2"/>
            <w:tcBorders>
              <w:tl2br w:val="nil"/>
              <w:tr2bl w:val="nil"/>
            </w:tcBorders>
            <w:vAlign w:val="center"/>
          </w:tcPr>
          <w:p>
            <w:pPr>
              <w:jc w:val="center"/>
              <w:rPr>
                <w:rFonts w:hint="eastAsia"/>
                <w:color w:val="auto"/>
                <w:szCs w:val="21"/>
              </w:rPr>
            </w:pPr>
            <w:r>
              <w:rPr>
                <w:color w:val="auto"/>
                <w:szCs w:val="21"/>
              </w:rPr>
              <w:t>NH</w:t>
            </w:r>
            <w:r>
              <w:rPr>
                <w:color w:val="auto"/>
                <w:szCs w:val="21"/>
                <w:vertAlign w:val="subscript"/>
              </w:rPr>
              <w:t>3</w:t>
            </w:r>
            <w:r>
              <w:rPr>
                <w:color w:val="auto"/>
                <w:szCs w:val="21"/>
              </w:rPr>
              <w:t>-N</w:t>
            </w:r>
          </w:p>
        </w:tc>
        <w:tc>
          <w:tcPr>
            <w:tcW w:w="1978" w:type="dxa"/>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169</w:t>
            </w:r>
          </w:p>
        </w:tc>
        <w:tc>
          <w:tcPr>
            <w:tcW w:w="2179" w:type="dxa"/>
            <w:gridSpan w:val="2"/>
            <w:tcBorders>
              <w:tl2br w:val="nil"/>
              <w:tr2bl w:val="nil"/>
            </w:tcBorders>
            <w:vAlign w:val="center"/>
          </w:tcPr>
          <w:p>
            <w:pPr>
              <w:jc w:val="center"/>
              <w:rPr>
                <w:rFonts w:hint="default"/>
                <w:color w:val="auto"/>
                <w:kern w:val="0"/>
                <w:szCs w:val="21"/>
                <w:lang w:val="en-US"/>
              </w:rPr>
            </w:pPr>
            <w:r>
              <w:rPr>
                <w:rFonts w:hint="default" w:ascii="Times New Roman" w:hAnsi="Times New Roman" w:eastAsia="宋体" w:cs="Times New Roman"/>
                <w:i w:val="0"/>
                <w:color w:val="auto"/>
                <w:kern w:val="0"/>
                <w:sz w:val="21"/>
                <w:szCs w:val="21"/>
                <w:u w:val="none"/>
                <w:lang w:val="en-US" w:eastAsia="zh-CN" w:bidi="ar"/>
              </w:rPr>
              <w:t xml:space="preserve">13.62 </w:t>
            </w:r>
          </w:p>
        </w:tc>
        <w:tc>
          <w:tcPr>
            <w:tcW w:w="3395" w:type="dxa"/>
            <w:gridSpan w:val="2"/>
            <w:vMerge w:val="continue"/>
            <w:tcBorders>
              <w:tl2br w:val="nil"/>
              <w:tr2bl w:val="nil"/>
            </w:tcBorders>
            <w:vAlign w:val="center"/>
          </w:tcPr>
          <w:p>
            <w:pPr>
              <w:jc w:val="center"/>
              <w:rPr>
                <w:rFonts w:hint="eastAsia"/>
                <w:color w:val="auto"/>
                <w:kern w:val="0"/>
                <w:szCs w:val="21"/>
              </w:rPr>
            </w:pPr>
          </w:p>
        </w:tc>
        <w:tc>
          <w:tcPr>
            <w:tcW w:w="1339" w:type="dxa"/>
            <w:vMerge w:val="continue"/>
            <w:tcBorders>
              <w:tl2br w:val="nil"/>
              <w:tr2bl w:val="nil"/>
            </w:tcBorders>
            <w:vAlign w:val="center"/>
          </w:tcPr>
          <w:p>
            <w:pPr>
              <w:tabs>
                <w:tab w:val="left" w:pos="2552"/>
              </w:tabs>
              <w:jc w:val="center"/>
              <w:rPr>
                <w:rFonts w:hint="eastAsia"/>
                <w:color w:val="auto"/>
                <w:szCs w:val="21"/>
              </w:rPr>
            </w:pPr>
          </w:p>
        </w:tc>
        <w:tc>
          <w:tcPr>
            <w:tcW w:w="1047" w:type="dxa"/>
            <w:vMerge w:val="continue"/>
            <w:tcBorders>
              <w:tl2br w:val="nil"/>
              <w:tr2bl w:val="nil"/>
            </w:tcBorders>
            <w:vAlign w:val="center"/>
          </w:tcPr>
          <w:p>
            <w:pPr>
              <w:jc w:val="center"/>
              <w:rPr>
                <w:color w:val="auto"/>
                <w:szCs w:val="21"/>
              </w:rPr>
            </w:pPr>
          </w:p>
        </w:tc>
        <w:tc>
          <w:tcPr>
            <w:tcW w:w="901" w:type="dxa"/>
            <w:gridSpan w:val="2"/>
            <w:vMerge w:val="continue"/>
            <w:tcBorders>
              <w:tl2br w:val="nil"/>
              <w:tr2bl w:val="nil"/>
            </w:tcBorders>
            <w:vAlign w:val="center"/>
          </w:tcPr>
          <w:p>
            <w:pPr>
              <w:tabs>
                <w:tab w:val="left" w:pos="2552"/>
              </w:tabs>
              <w:jc w:val="center"/>
              <w:rPr>
                <w:color w:val="auto"/>
                <w:szCs w:val="21"/>
              </w:rPr>
            </w:pPr>
          </w:p>
        </w:tc>
        <w:tc>
          <w:tcPr>
            <w:tcW w:w="715" w:type="dxa"/>
            <w:vMerge w:val="continue"/>
            <w:tcBorders>
              <w:tl2br w:val="nil"/>
              <w:tr2bl w:val="nil"/>
            </w:tcBorders>
            <w:vAlign w:val="center"/>
          </w:tcPr>
          <w:p>
            <w:pPr>
              <w:jc w:val="center"/>
              <w:rPr>
                <w:color w:val="auto"/>
                <w:szCs w:val="21"/>
              </w:rPr>
            </w:pPr>
          </w:p>
        </w:tc>
        <w:tc>
          <w:tcPr>
            <w:tcW w:w="1753" w:type="dxa"/>
            <w:vMerge w:val="continue"/>
            <w:tcBorders>
              <w:tl2br w:val="nil"/>
              <w:tr2bl w:val="nil"/>
            </w:tcBorders>
            <w:vAlign w:val="center"/>
          </w:tcPr>
          <w:p>
            <w:pPr>
              <w:jc w:val="center"/>
              <w:rPr>
                <w:rFonts w:hint="eastAsia"/>
                <w:color w:val="auto"/>
                <w:szCs w:val="21"/>
              </w:rPr>
            </w:pPr>
          </w:p>
        </w:tc>
        <w:tc>
          <w:tcPr>
            <w:tcW w:w="1745" w:type="dxa"/>
            <w:vMerge w:val="continue"/>
            <w:tcBorders>
              <w:tl2br w:val="nil"/>
              <w:tr2bl w:val="nil"/>
            </w:tcBorders>
            <w:vAlign w:val="center"/>
          </w:tcPr>
          <w:p>
            <w:pPr>
              <w:jc w:val="center"/>
              <w:rPr>
                <w:color w:val="auto"/>
                <w:szCs w:val="21"/>
              </w:rPr>
            </w:pPr>
          </w:p>
        </w:tc>
        <w:tc>
          <w:tcPr>
            <w:tcW w:w="1393" w:type="dxa"/>
            <w:gridSpan w:val="2"/>
            <w:vMerge w:val="continue"/>
            <w:tcBorders>
              <w:tl2br w:val="nil"/>
              <w:tr2bl w:val="nil"/>
            </w:tcBorders>
            <w:vAlign w:val="center"/>
          </w:tcPr>
          <w:p>
            <w:pPr>
              <w:tabs>
                <w:tab w:val="left" w:pos="2552"/>
              </w:tabs>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21195" w:type="dxa"/>
            <w:gridSpan w:val="24"/>
            <w:tcBorders>
              <w:tl2br w:val="nil"/>
              <w:tr2bl w:val="nil"/>
            </w:tcBorders>
            <w:vAlign w:val="center"/>
          </w:tcPr>
          <w:p>
            <w:pPr>
              <w:tabs>
                <w:tab w:val="left" w:pos="2552"/>
              </w:tabs>
              <w:jc w:val="center"/>
              <w:rPr>
                <w:color w:val="auto"/>
                <w:szCs w:val="21"/>
              </w:rPr>
            </w:pPr>
            <w:r>
              <w:rPr>
                <w:rFonts w:hint="eastAsia"/>
                <w:color w:val="auto"/>
                <w:szCs w:val="21"/>
              </w:rPr>
              <w:t>（</w:t>
            </w:r>
            <w:r>
              <w:rPr>
                <w:color w:val="auto"/>
                <w:szCs w:val="21"/>
              </w:rPr>
              <w:t>3</w:t>
            </w:r>
            <w:r>
              <w:rPr>
                <w:rFonts w:hint="eastAsia"/>
                <w:color w:val="auto"/>
                <w:szCs w:val="21"/>
              </w:rPr>
              <w:t>）噪声、固废、风险污染治理要求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44" w:type="dxa"/>
            <w:tcBorders>
              <w:tl2br w:val="nil"/>
              <w:tr2bl w:val="nil"/>
            </w:tcBorders>
            <w:vAlign w:val="center"/>
          </w:tcPr>
          <w:p>
            <w:pPr>
              <w:tabs>
                <w:tab w:val="left" w:pos="2552"/>
              </w:tabs>
              <w:jc w:val="center"/>
              <w:rPr>
                <w:color w:val="auto"/>
                <w:szCs w:val="21"/>
              </w:rPr>
            </w:pPr>
            <w:r>
              <w:rPr>
                <w:rFonts w:hint="eastAsia"/>
                <w:color w:val="auto"/>
                <w:szCs w:val="21"/>
              </w:rPr>
              <w:t>序号</w:t>
            </w:r>
          </w:p>
        </w:tc>
        <w:tc>
          <w:tcPr>
            <w:tcW w:w="2010" w:type="dxa"/>
            <w:gridSpan w:val="3"/>
            <w:tcBorders>
              <w:tl2br w:val="nil"/>
              <w:tr2bl w:val="nil"/>
            </w:tcBorders>
            <w:vAlign w:val="center"/>
          </w:tcPr>
          <w:p>
            <w:pPr>
              <w:tabs>
                <w:tab w:val="left" w:pos="2552"/>
              </w:tabs>
              <w:jc w:val="center"/>
              <w:rPr>
                <w:color w:val="auto"/>
                <w:szCs w:val="21"/>
              </w:rPr>
            </w:pPr>
            <w:r>
              <w:rPr>
                <w:rFonts w:hint="eastAsia"/>
                <w:color w:val="auto"/>
                <w:szCs w:val="21"/>
              </w:rPr>
              <w:t>类别</w:t>
            </w:r>
          </w:p>
        </w:tc>
        <w:tc>
          <w:tcPr>
            <w:tcW w:w="12259" w:type="dxa"/>
            <w:gridSpan w:val="14"/>
            <w:tcBorders>
              <w:tl2br w:val="nil"/>
              <w:tr2bl w:val="nil"/>
            </w:tcBorders>
            <w:vAlign w:val="center"/>
          </w:tcPr>
          <w:p>
            <w:pPr>
              <w:jc w:val="center"/>
              <w:rPr>
                <w:color w:val="auto"/>
                <w:szCs w:val="21"/>
              </w:rPr>
            </w:pPr>
            <w:r>
              <w:rPr>
                <w:rFonts w:hint="eastAsia"/>
                <w:color w:val="auto"/>
                <w:szCs w:val="21"/>
              </w:rPr>
              <w:t>建设单位拟采取的污染防治措施</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污染物管理要求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tcBorders>
              <w:tl2br w:val="nil"/>
              <w:tr2bl w:val="nil"/>
            </w:tcBorders>
            <w:vAlign w:val="center"/>
          </w:tcPr>
          <w:p>
            <w:pPr>
              <w:tabs>
                <w:tab w:val="left" w:pos="2552"/>
              </w:tabs>
              <w:jc w:val="center"/>
              <w:rPr>
                <w:color w:val="auto"/>
                <w:szCs w:val="21"/>
              </w:rPr>
            </w:pPr>
            <w:r>
              <w:rPr>
                <w:color w:val="auto"/>
                <w:szCs w:val="21"/>
              </w:rPr>
              <w:t>1</w:t>
            </w:r>
          </w:p>
        </w:tc>
        <w:tc>
          <w:tcPr>
            <w:tcW w:w="2010" w:type="dxa"/>
            <w:gridSpan w:val="3"/>
            <w:tcBorders>
              <w:tl2br w:val="nil"/>
              <w:tr2bl w:val="nil"/>
            </w:tcBorders>
            <w:vAlign w:val="center"/>
          </w:tcPr>
          <w:p>
            <w:pPr>
              <w:tabs>
                <w:tab w:val="left" w:pos="2552"/>
              </w:tabs>
              <w:jc w:val="center"/>
              <w:rPr>
                <w:color w:val="auto"/>
                <w:szCs w:val="21"/>
              </w:rPr>
            </w:pPr>
            <w:r>
              <w:rPr>
                <w:rFonts w:hint="eastAsia"/>
                <w:color w:val="auto"/>
                <w:szCs w:val="21"/>
              </w:rPr>
              <w:t>噪声</w:t>
            </w:r>
          </w:p>
        </w:tc>
        <w:tc>
          <w:tcPr>
            <w:tcW w:w="12259" w:type="dxa"/>
            <w:gridSpan w:val="14"/>
            <w:tcBorders>
              <w:tl2br w:val="nil"/>
              <w:tr2bl w:val="nil"/>
            </w:tcBorders>
            <w:vAlign w:val="center"/>
          </w:tcPr>
          <w:p>
            <w:pPr>
              <w:jc w:val="center"/>
              <w:rPr>
                <w:color w:val="auto"/>
                <w:szCs w:val="21"/>
              </w:rPr>
            </w:pPr>
            <w:r>
              <w:rPr>
                <w:rFonts w:hint="eastAsia"/>
                <w:color w:val="auto"/>
                <w:szCs w:val="21"/>
              </w:rPr>
              <w:t>高噪声设备拟安装减震垫、隔声、车间密闭等措施</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厂界噪声执行《工业企业厂界环境噪声排放标准》（</w:t>
            </w:r>
            <w:r>
              <w:rPr>
                <w:color w:val="auto"/>
                <w:szCs w:val="21"/>
              </w:rPr>
              <w:t>GB12348-2008</w:t>
            </w:r>
            <w:r>
              <w:rPr>
                <w:rFonts w:hint="eastAsia"/>
                <w:color w:val="auto"/>
                <w:szCs w:val="21"/>
              </w:rPr>
              <w:t>）中的</w:t>
            </w:r>
            <w:r>
              <w:rPr>
                <w:color w:val="auto"/>
                <w:szCs w:val="21"/>
              </w:rPr>
              <w:t>3</w:t>
            </w:r>
            <w:r>
              <w:rPr>
                <w:rFonts w:hint="eastAsia"/>
                <w:color w:val="auto"/>
                <w:szCs w:val="21"/>
              </w:rPr>
              <w:t>类标准（昼间</w:t>
            </w:r>
            <w:r>
              <w:rPr>
                <w:color w:val="auto"/>
                <w:szCs w:val="21"/>
              </w:rPr>
              <w:t>≤65dB</w:t>
            </w:r>
            <w:r>
              <w:rPr>
                <w:rFonts w:hint="eastAsia"/>
                <w:color w:val="auto"/>
                <w:szCs w:val="21"/>
              </w:rPr>
              <w:t>（</w:t>
            </w:r>
            <w:r>
              <w:rPr>
                <w:color w:val="auto"/>
                <w:szCs w:val="21"/>
              </w:rPr>
              <w:t>A</w:t>
            </w:r>
            <w:r>
              <w:rPr>
                <w:rFonts w:hint="eastAsia"/>
                <w:color w:val="auto"/>
                <w:szCs w:val="21"/>
              </w:rPr>
              <w:t>），夜间</w:t>
            </w:r>
            <w:r>
              <w:rPr>
                <w:color w:val="auto"/>
                <w:szCs w:val="21"/>
              </w:rPr>
              <w:t>≤55dB</w:t>
            </w:r>
            <w:r>
              <w:rPr>
                <w:rFonts w:hint="eastAsia"/>
                <w:color w:val="auto"/>
                <w:szCs w:val="21"/>
              </w:rPr>
              <w:t>（</w:t>
            </w:r>
            <w:r>
              <w:rPr>
                <w:color w:val="auto"/>
                <w:szCs w:val="21"/>
              </w:rPr>
              <w:t>A</w:t>
            </w: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restart"/>
            <w:tcBorders>
              <w:tl2br w:val="nil"/>
              <w:tr2bl w:val="nil"/>
            </w:tcBorders>
            <w:vAlign w:val="center"/>
          </w:tcPr>
          <w:p>
            <w:pPr>
              <w:tabs>
                <w:tab w:val="left" w:pos="2552"/>
              </w:tabs>
              <w:jc w:val="center"/>
              <w:rPr>
                <w:color w:val="auto"/>
                <w:szCs w:val="21"/>
              </w:rPr>
            </w:pPr>
            <w:r>
              <w:rPr>
                <w:color w:val="auto"/>
                <w:szCs w:val="21"/>
              </w:rPr>
              <w:t>2</w:t>
            </w:r>
          </w:p>
        </w:tc>
        <w:tc>
          <w:tcPr>
            <w:tcW w:w="565" w:type="dxa"/>
            <w:vMerge w:val="restart"/>
            <w:tcBorders>
              <w:tl2br w:val="nil"/>
              <w:tr2bl w:val="nil"/>
            </w:tcBorders>
            <w:vAlign w:val="center"/>
          </w:tcPr>
          <w:p>
            <w:pPr>
              <w:tabs>
                <w:tab w:val="left" w:pos="2552"/>
              </w:tabs>
              <w:jc w:val="center"/>
              <w:rPr>
                <w:color w:val="auto"/>
                <w:szCs w:val="21"/>
              </w:rPr>
            </w:pPr>
            <w:r>
              <w:rPr>
                <w:rFonts w:hint="eastAsia"/>
                <w:color w:val="auto"/>
                <w:szCs w:val="21"/>
              </w:rPr>
              <w:t>固体废物</w:t>
            </w:r>
          </w:p>
        </w:tc>
        <w:tc>
          <w:tcPr>
            <w:tcW w:w="1445" w:type="dxa"/>
            <w:gridSpan w:val="2"/>
            <w:tcBorders>
              <w:tl2br w:val="nil"/>
              <w:tr2bl w:val="nil"/>
            </w:tcBorders>
            <w:vAlign w:val="center"/>
          </w:tcPr>
          <w:p>
            <w:pPr>
              <w:tabs>
                <w:tab w:val="left" w:pos="2552"/>
              </w:tabs>
              <w:jc w:val="center"/>
              <w:rPr>
                <w:color w:val="auto"/>
                <w:szCs w:val="21"/>
              </w:rPr>
            </w:pPr>
            <w:r>
              <w:rPr>
                <w:rFonts w:hint="eastAsia"/>
                <w:color w:val="auto"/>
                <w:szCs w:val="21"/>
              </w:rPr>
              <w:t>生活垃圾</w:t>
            </w:r>
          </w:p>
        </w:tc>
        <w:tc>
          <w:tcPr>
            <w:tcW w:w="2471" w:type="dxa"/>
            <w:gridSpan w:val="5"/>
            <w:tcBorders>
              <w:tl2br w:val="nil"/>
              <w:tr2bl w:val="nil"/>
            </w:tcBorders>
            <w:vAlign w:val="center"/>
          </w:tcPr>
          <w:p>
            <w:pPr>
              <w:tabs>
                <w:tab w:val="left" w:pos="2552"/>
              </w:tabs>
              <w:jc w:val="center"/>
              <w:rPr>
                <w:rFonts w:hint="default" w:eastAsia="宋体"/>
                <w:color w:val="auto"/>
                <w:szCs w:val="21"/>
                <w:lang w:val="en-US" w:eastAsia="zh-CN"/>
              </w:rPr>
            </w:pPr>
            <w:r>
              <w:rPr>
                <w:rFonts w:hint="eastAsia"/>
                <w:color w:val="auto"/>
                <w:szCs w:val="21"/>
                <w:lang w:val="en-US" w:eastAsia="zh-CN"/>
              </w:rPr>
              <w:t>6.0t/a</w:t>
            </w:r>
          </w:p>
        </w:tc>
        <w:tc>
          <w:tcPr>
            <w:tcW w:w="9788" w:type="dxa"/>
            <w:gridSpan w:val="9"/>
            <w:tcBorders>
              <w:tl2br w:val="nil"/>
              <w:tr2bl w:val="nil"/>
            </w:tcBorders>
            <w:vAlign w:val="center"/>
          </w:tcPr>
          <w:p>
            <w:pPr>
              <w:jc w:val="center"/>
              <w:rPr>
                <w:color w:val="auto"/>
                <w:szCs w:val="21"/>
              </w:rPr>
            </w:pPr>
            <w:r>
              <w:rPr>
                <w:rFonts w:hint="eastAsia"/>
                <w:color w:val="auto"/>
                <w:szCs w:val="21"/>
              </w:rPr>
              <w:t>集中收集后委托环卫部门外运卫生填埋处置</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落实处置情况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vMerge w:val="continue"/>
            <w:tcBorders>
              <w:tl2br w:val="nil"/>
              <w:tr2bl w:val="nil"/>
            </w:tcBorders>
            <w:vAlign w:val="center"/>
          </w:tcPr>
          <w:p>
            <w:pPr>
              <w:widowControl/>
              <w:jc w:val="left"/>
              <w:rPr>
                <w:color w:val="auto"/>
                <w:szCs w:val="21"/>
              </w:rPr>
            </w:pPr>
          </w:p>
        </w:tc>
        <w:tc>
          <w:tcPr>
            <w:tcW w:w="565" w:type="dxa"/>
            <w:vMerge w:val="continue"/>
            <w:tcBorders>
              <w:tl2br w:val="nil"/>
              <w:tr2bl w:val="nil"/>
            </w:tcBorders>
            <w:vAlign w:val="center"/>
          </w:tcPr>
          <w:p>
            <w:pPr>
              <w:widowControl/>
              <w:jc w:val="left"/>
              <w:rPr>
                <w:color w:val="auto"/>
                <w:szCs w:val="21"/>
              </w:rPr>
            </w:pPr>
          </w:p>
        </w:tc>
        <w:tc>
          <w:tcPr>
            <w:tcW w:w="1445" w:type="dxa"/>
            <w:gridSpan w:val="2"/>
            <w:tcBorders>
              <w:tl2br w:val="nil"/>
              <w:tr2bl w:val="nil"/>
            </w:tcBorders>
            <w:vAlign w:val="center"/>
          </w:tcPr>
          <w:p>
            <w:pPr>
              <w:tabs>
                <w:tab w:val="left" w:pos="2552"/>
              </w:tabs>
              <w:jc w:val="center"/>
              <w:rPr>
                <w:color w:val="auto"/>
                <w:szCs w:val="21"/>
              </w:rPr>
            </w:pPr>
            <w:r>
              <w:rPr>
                <w:rFonts w:hint="eastAsia"/>
                <w:color w:val="auto"/>
                <w:szCs w:val="21"/>
              </w:rPr>
              <w:t>废包装材料</w:t>
            </w:r>
          </w:p>
        </w:tc>
        <w:tc>
          <w:tcPr>
            <w:tcW w:w="2471" w:type="dxa"/>
            <w:gridSpan w:val="5"/>
            <w:tcBorders>
              <w:tl2br w:val="nil"/>
              <w:tr2bl w:val="nil"/>
            </w:tcBorders>
            <w:vAlign w:val="center"/>
          </w:tcPr>
          <w:p>
            <w:pPr>
              <w:tabs>
                <w:tab w:val="left" w:pos="2552"/>
              </w:tabs>
              <w:jc w:val="center"/>
              <w:rPr>
                <w:rFonts w:hint="default" w:eastAsia="宋体"/>
                <w:color w:val="auto"/>
                <w:szCs w:val="21"/>
                <w:lang w:val="en-US" w:eastAsia="zh-CN"/>
              </w:rPr>
            </w:pPr>
            <w:r>
              <w:rPr>
                <w:rFonts w:hint="eastAsia"/>
                <w:color w:val="auto"/>
                <w:szCs w:val="21"/>
                <w:lang w:val="en-US" w:eastAsia="zh-CN"/>
              </w:rPr>
              <w:t>0.18t/a</w:t>
            </w:r>
          </w:p>
        </w:tc>
        <w:tc>
          <w:tcPr>
            <w:tcW w:w="9788" w:type="dxa"/>
            <w:gridSpan w:val="9"/>
            <w:tcBorders>
              <w:tl2br w:val="nil"/>
              <w:tr2bl w:val="nil"/>
            </w:tcBorders>
            <w:vAlign w:val="center"/>
          </w:tcPr>
          <w:p>
            <w:pPr>
              <w:jc w:val="center"/>
              <w:rPr>
                <w:color w:val="auto"/>
                <w:szCs w:val="21"/>
              </w:rPr>
            </w:pPr>
            <w:r>
              <w:rPr>
                <w:rFonts w:hint="eastAsia"/>
                <w:color w:val="auto"/>
                <w:szCs w:val="21"/>
              </w:rPr>
              <w:t>可用于原始用途</w:t>
            </w:r>
            <w:r>
              <w:rPr>
                <w:rFonts w:hint="eastAsia"/>
                <w:color w:val="auto"/>
              </w:rPr>
              <w:t>以定期由厂家回收用于其原始用途，不具备原始用途的废包装材料暂存在危废暂存间，收集后委托有资质的单位收集处置；</w:t>
            </w:r>
            <w:r>
              <w:rPr>
                <w:rFonts w:hint="eastAsia"/>
                <w:color w:val="auto"/>
                <w:szCs w:val="21"/>
              </w:rPr>
              <w:t>项目产生的危险废物依托集控中心统一管理</w:t>
            </w:r>
            <w:r>
              <w:rPr>
                <w:rFonts w:hint="eastAsia"/>
                <w:color w:val="auto"/>
              </w:rPr>
              <w:t>。</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落实处置情况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744" w:type="dxa"/>
            <w:vMerge w:val="continue"/>
            <w:tcBorders>
              <w:tl2br w:val="nil"/>
              <w:tr2bl w:val="nil"/>
            </w:tcBorders>
            <w:vAlign w:val="center"/>
          </w:tcPr>
          <w:p>
            <w:pPr>
              <w:widowControl/>
              <w:jc w:val="left"/>
              <w:rPr>
                <w:color w:val="auto"/>
                <w:szCs w:val="21"/>
              </w:rPr>
            </w:pPr>
          </w:p>
        </w:tc>
        <w:tc>
          <w:tcPr>
            <w:tcW w:w="565" w:type="dxa"/>
            <w:vMerge w:val="continue"/>
            <w:tcBorders>
              <w:tl2br w:val="nil"/>
              <w:tr2bl w:val="nil"/>
            </w:tcBorders>
            <w:vAlign w:val="center"/>
          </w:tcPr>
          <w:p>
            <w:pPr>
              <w:widowControl/>
              <w:jc w:val="left"/>
              <w:rPr>
                <w:color w:val="auto"/>
                <w:szCs w:val="21"/>
              </w:rPr>
            </w:pPr>
          </w:p>
        </w:tc>
        <w:tc>
          <w:tcPr>
            <w:tcW w:w="1445" w:type="dxa"/>
            <w:gridSpan w:val="2"/>
            <w:tcBorders>
              <w:tl2br w:val="nil"/>
              <w:tr2bl w:val="nil"/>
            </w:tcBorders>
            <w:vAlign w:val="center"/>
          </w:tcPr>
          <w:p>
            <w:pPr>
              <w:tabs>
                <w:tab w:val="left" w:pos="2552"/>
              </w:tabs>
              <w:jc w:val="center"/>
              <w:rPr>
                <w:color w:val="auto"/>
                <w:szCs w:val="21"/>
              </w:rPr>
            </w:pPr>
            <w:r>
              <w:rPr>
                <w:rFonts w:hint="eastAsia"/>
                <w:color w:val="auto"/>
                <w:szCs w:val="21"/>
              </w:rPr>
              <w:t>危险废物</w:t>
            </w:r>
          </w:p>
        </w:tc>
        <w:tc>
          <w:tcPr>
            <w:tcW w:w="2471" w:type="dxa"/>
            <w:gridSpan w:val="5"/>
            <w:tcBorders>
              <w:tl2br w:val="nil"/>
              <w:tr2bl w:val="nil"/>
            </w:tcBorders>
            <w:vAlign w:val="center"/>
          </w:tcPr>
          <w:p>
            <w:pPr>
              <w:tabs>
                <w:tab w:val="left" w:pos="2552"/>
              </w:tabs>
              <w:jc w:val="center"/>
              <w:rPr>
                <w:rFonts w:hint="default" w:eastAsia="宋体"/>
                <w:color w:val="auto"/>
                <w:szCs w:val="21"/>
                <w:lang w:val="en-US" w:eastAsia="zh-CN"/>
              </w:rPr>
            </w:pPr>
            <w:r>
              <w:rPr>
                <w:rFonts w:hint="eastAsia"/>
                <w:color w:val="auto"/>
                <w:szCs w:val="21"/>
                <w:lang w:val="en-US" w:eastAsia="zh-CN"/>
              </w:rPr>
              <w:t>0.945t/a</w:t>
            </w:r>
          </w:p>
        </w:tc>
        <w:tc>
          <w:tcPr>
            <w:tcW w:w="9788" w:type="dxa"/>
            <w:gridSpan w:val="9"/>
            <w:tcBorders>
              <w:tl2br w:val="nil"/>
              <w:tr2bl w:val="nil"/>
            </w:tcBorders>
            <w:vAlign w:val="center"/>
          </w:tcPr>
          <w:p>
            <w:pPr>
              <w:jc w:val="center"/>
              <w:rPr>
                <w:color w:val="auto"/>
                <w:szCs w:val="21"/>
              </w:rPr>
            </w:pPr>
            <w:r>
              <w:rPr>
                <w:rFonts w:hint="eastAsia"/>
                <w:color w:val="auto"/>
                <w:szCs w:val="21"/>
              </w:rPr>
              <w:t>危废暂存于集控中心已建入驻企业危废暂存间内，产生的危险废物依托集控中心统一管理</w:t>
            </w:r>
            <w:r>
              <w:rPr>
                <w:rFonts w:hint="eastAsia"/>
                <w:color w:val="auto"/>
              </w:rPr>
              <w:t>。</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落实处置情况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744" w:type="dxa"/>
            <w:tcBorders>
              <w:tl2br w:val="nil"/>
              <w:tr2bl w:val="nil"/>
            </w:tcBorders>
            <w:vAlign w:val="center"/>
          </w:tcPr>
          <w:p>
            <w:pPr>
              <w:tabs>
                <w:tab w:val="left" w:pos="2552"/>
              </w:tabs>
              <w:jc w:val="center"/>
              <w:rPr>
                <w:color w:val="auto"/>
                <w:szCs w:val="21"/>
              </w:rPr>
            </w:pPr>
            <w:r>
              <w:rPr>
                <w:color w:val="auto"/>
                <w:szCs w:val="21"/>
              </w:rPr>
              <w:t>3</w:t>
            </w:r>
          </w:p>
        </w:tc>
        <w:tc>
          <w:tcPr>
            <w:tcW w:w="2010" w:type="dxa"/>
            <w:gridSpan w:val="3"/>
            <w:tcBorders>
              <w:tl2br w:val="nil"/>
              <w:tr2bl w:val="nil"/>
            </w:tcBorders>
            <w:vAlign w:val="center"/>
          </w:tcPr>
          <w:p>
            <w:pPr>
              <w:tabs>
                <w:tab w:val="left" w:pos="2552"/>
              </w:tabs>
              <w:jc w:val="center"/>
              <w:rPr>
                <w:color w:val="auto"/>
                <w:szCs w:val="21"/>
              </w:rPr>
            </w:pPr>
            <w:r>
              <w:rPr>
                <w:rFonts w:hint="eastAsia"/>
                <w:color w:val="auto"/>
                <w:szCs w:val="21"/>
              </w:rPr>
              <w:t>环境风险</w:t>
            </w:r>
          </w:p>
        </w:tc>
        <w:tc>
          <w:tcPr>
            <w:tcW w:w="12259" w:type="dxa"/>
            <w:gridSpan w:val="14"/>
            <w:tcBorders>
              <w:tl2br w:val="nil"/>
              <w:tr2bl w:val="nil"/>
            </w:tcBorders>
            <w:vAlign w:val="center"/>
          </w:tcPr>
          <w:p>
            <w:pPr>
              <w:jc w:val="center"/>
              <w:rPr>
                <w:color w:val="auto"/>
                <w:szCs w:val="21"/>
              </w:rPr>
            </w:pPr>
            <w:r>
              <w:rPr>
                <w:rFonts w:hint="eastAsia"/>
                <w:color w:val="auto"/>
                <w:szCs w:val="21"/>
              </w:rPr>
              <w:t>设置含氰废水事故池（0.3m</w:t>
            </w:r>
            <w:r>
              <w:rPr>
                <w:rFonts w:hint="eastAsia"/>
                <w:color w:val="auto"/>
                <w:szCs w:val="21"/>
                <w:vertAlign w:val="superscript"/>
              </w:rPr>
              <w:t>3</w:t>
            </w:r>
            <w:r>
              <w:rPr>
                <w:rFonts w:hint="eastAsia"/>
                <w:color w:val="auto"/>
                <w:szCs w:val="21"/>
              </w:rPr>
              <w:t>）、含油废水事故池（5.52m</w:t>
            </w:r>
            <w:r>
              <w:rPr>
                <w:rFonts w:hint="eastAsia"/>
                <w:color w:val="auto"/>
                <w:szCs w:val="21"/>
                <w:vertAlign w:val="superscript"/>
              </w:rPr>
              <w:t>3</w:t>
            </w:r>
            <w:r>
              <w:rPr>
                <w:rFonts w:hint="eastAsia"/>
                <w:color w:val="auto"/>
                <w:szCs w:val="21"/>
              </w:rPr>
              <w:t>）、含镍废水事故池（0.52m</w:t>
            </w:r>
            <w:r>
              <w:rPr>
                <w:rFonts w:hint="eastAsia"/>
                <w:color w:val="auto"/>
                <w:szCs w:val="21"/>
                <w:vertAlign w:val="superscript"/>
              </w:rPr>
              <w:t>3</w:t>
            </w:r>
            <w:r>
              <w:rPr>
                <w:rFonts w:hint="eastAsia"/>
                <w:color w:val="auto"/>
                <w:szCs w:val="21"/>
              </w:rPr>
              <w:t>）、含铬废水事故池（18.89m</w:t>
            </w:r>
            <w:r>
              <w:rPr>
                <w:rFonts w:hint="eastAsia"/>
                <w:color w:val="auto"/>
                <w:szCs w:val="21"/>
                <w:vertAlign w:val="superscript"/>
              </w:rPr>
              <w:t>3</w:t>
            </w:r>
            <w:r>
              <w:rPr>
                <w:rFonts w:hint="eastAsia"/>
                <w:color w:val="auto"/>
                <w:szCs w:val="21"/>
              </w:rPr>
              <w:t>）、综合废水事故池（9.82m</w:t>
            </w:r>
            <w:r>
              <w:rPr>
                <w:rFonts w:hint="eastAsia"/>
                <w:color w:val="auto"/>
                <w:szCs w:val="21"/>
                <w:vertAlign w:val="superscript"/>
              </w:rPr>
              <w:t>3</w:t>
            </w:r>
            <w:r>
              <w:rPr>
                <w:rFonts w:hint="eastAsia"/>
                <w:color w:val="auto"/>
                <w:szCs w:val="21"/>
              </w:rPr>
              <w:t>），分别储存各类事故废水及泄露的槽液</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落实设置情况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44" w:type="dxa"/>
            <w:tcBorders>
              <w:tl2br w:val="nil"/>
              <w:tr2bl w:val="nil"/>
            </w:tcBorders>
            <w:vAlign w:val="center"/>
          </w:tcPr>
          <w:p>
            <w:pPr>
              <w:tabs>
                <w:tab w:val="left" w:pos="2552"/>
              </w:tabs>
              <w:jc w:val="center"/>
              <w:rPr>
                <w:color w:val="auto"/>
                <w:szCs w:val="21"/>
              </w:rPr>
            </w:pPr>
            <w:r>
              <w:rPr>
                <w:color w:val="auto"/>
                <w:szCs w:val="21"/>
              </w:rPr>
              <w:t>4</w:t>
            </w:r>
          </w:p>
        </w:tc>
        <w:tc>
          <w:tcPr>
            <w:tcW w:w="2010" w:type="dxa"/>
            <w:gridSpan w:val="3"/>
            <w:tcBorders>
              <w:tl2br w:val="nil"/>
              <w:tr2bl w:val="nil"/>
            </w:tcBorders>
            <w:vAlign w:val="center"/>
          </w:tcPr>
          <w:p>
            <w:pPr>
              <w:tabs>
                <w:tab w:val="left" w:pos="2552"/>
              </w:tabs>
              <w:jc w:val="center"/>
              <w:rPr>
                <w:color w:val="auto"/>
                <w:szCs w:val="21"/>
              </w:rPr>
            </w:pPr>
            <w:r>
              <w:rPr>
                <w:rFonts w:hint="eastAsia"/>
                <w:color w:val="auto"/>
                <w:szCs w:val="21"/>
              </w:rPr>
              <w:t>环境管理</w:t>
            </w:r>
          </w:p>
        </w:tc>
        <w:tc>
          <w:tcPr>
            <w:tcW w:w="12259" w:type="dxa"/>
            <w:gridSpan w:val="14"/>
            <w:tcBorders>
              <w:tl2br w:val="nil"/>
              <w:tr2bl w:val="nil"/>
            </w:tcBorders>
            <w:vAlign w:val="center"/>
          </w:tcPr>
          <w:p>
            <w:pPr>
              <w:jc w:val="center"/>
              <w:rPr>
                <w:color w:val="auto"/>
                <w:szCs w:val="21"/>
              </w:rPr>
            </w:pPr>
            <w:r>
              <w:rPr>
                <w:rFonts w:hint="eastAsia"/>
                <w:color w:val="auto"/>
                <w:szCs w:val="21"/>
              </w:rPr>
              <w:t>施工期：落实</w:t>
            </w:r>
            <w:r>
              <w:rPr>
                <w:color w:val="auto"/>
                <w:szCs w:val="21"/>
              </w:rPr>
              <w:t>“</w:t>
            </w:r>
            <w:r>
              <w:rPr>
                <w:rFonts w:hint="eastAsia"/>
                <w:color w:val="auto"/>
                <w:szCs w:val="21"/>
              </w:rPr>
              <w:t>三同时</w:t>
            </w:r>
            <w:r>
              <w:rPr>
                <w:color w:val="auto"/>
                <w:szCs w:val="21"/>
              </w:rPr>
              <w:t>”</w:t>
            </w:r>
            <w:r>
              <w:rPr>
                <w:rFonts w:hint="eastAsia"/>
                <w:color w:val="auto"/>
                <w:szCs w:val="21"/>
              </w:rPr>
              <w:t>制度。</w:t>
            </w:r>
          </w:p>
          <w:p>
            <w:pPr>
              <w:jc w:val="center"/>
              <w:rPr>
                <w:color w:val="auto"/>
                <w:szCs w:val="21"/>
              </w:rPr>
            </w:pPr>
            <w:r>
              <w:rPr>
                <w:rFonts w:hint="eastAsia"/>
                <w:color w:val="auto"/>
                <w:szCs w:val="21"/>
              </w:rPr>
              <w:t>运营期：建立环保管理机构，配备环保管理人员，落实报告书的管理和监测计划，规范化排污口，建立环保台账</w:t>
            </w:r>
          </w:p>
        </w:tc>
        <w:tc>
          <w:tcPr>
            <w:tcW w:w="6182" w:type="dxa"/>
            <w:gridSpan w:val="6"/>
            <w:tcBorders>
              <w:tl2br w:val="nil"/>
              <w:tr2bl w:val="nil"/>
            </w:tcBorders>
            <w:vAlign w:val="center"/>
          </w:tcPr>
          <w:p>
            <w:pPr>
              <w:tabs>
                <w:tab w:val="left" w:pos="2552"/>
              </w:tabs>
              <w:jc w:val="center"/>
              <w:rPr>
                <w:color w:val="auto"/>
                <w:szCs w:val="21"/>
              </w:rPr>
            </w:pPr>
            <w:r>
              <w:rPr>
                <w:rFonts w:hint="eastAsia"/>
                <w:color w:val="auto"/>
                <w:szCs w:val="21"/>
              </w:rPr>
              <w:t>落实本报告书提出的各项环境管理措施</w:t>
            </w:r>
          </w:p>
        </w:tc>
      </w:tr>
    </w:tbl>
    <w:p>
      <w:pPr>
        <w:pStyle w:val="72"/>
        <w:ind w:firstLine="480"/>
        <w:rPr>
          <w:color w:val="auto"/>
          <w:highlight w:val="yellow"/>
        </w:rPr>
        <w:sectPr>
          <w:pgSz w:w="23814" w:h="16839" w:orient="landscape"/>
          <w:pgMar w:top="1417" w:right="1418" w:bottom="1417" w:left="1418" w:header="992" w:footer="992" w:gutter="0"/>
          <w:pgBorders>
            <w:top w:val="none" w:sz="0" w:space="0"/>
            <w:left w:val="none" w:sz="0" w:space="0"/>
            <w:bottom w:val="none" w:sz="0" w:space="0"/>
            <w:right w:val="none" w:sz="0" w:space="0"/>
          </w:pgBorders>
          <w:cols w:space="0" w:num="1"/>
          <w:docGrid w:linePitch="312" w:charSpace="0"/>
        </w:sectPr>
      </w:pPr>
    </w:p>
    <w:p>
      <w:pPr>
        <w:snapToGrid w:val="0"/>
        <w:spacing w:before="156" w:beforeLines="50" w:line="360" w:lineRule="auto"/>
        <w:outlineLvl w:val="1"/>
        <w:rPr>
          <w:b/>
          <w:bCs/>
          <w:color w:val="auto"/>
          <w:sz w:val="28"/>
          <w:szCs w:val="28"/>
        </w:rPr>
      </w:pPr>
      <w:bookmarkStart w:id="47" w:name="_Toc7999"/>
      <w:r>
        <w:rPr>
          <w:b/>
          <w:bCs/>
          <w:color w:val="auto"/>
          <w:sz w:val="28"/>
          <w:szCs w:val="28"/>
        </w:rPr>
        <w:t>11.3排污口规范化建设与环境监测计划</w:t>
      </w:r>
      <w:bookmarkEnd w:id="47"/>
    </w:p>
    <w:p>
      <w:pPr>
        <w:spacing w:before="156" w:beforeLines="50" w:after="156" w:afterLines="50" w:line="360" w:lineRule="auto"/>
        <w:outlineLvl w:val="2"/>
        <w:rPr>
          <w:b/>
          <w:color w:val="auto"/>
          <w:sz w:val="24"/>
        </w:rPr>
      </w:pPr>
      <w:r>
        <w:rPr>
          <w:b/>
          <w:color w:val="auto"/>
          <w:sz w:val="24"/>
        </w:rPr>
        <w:t>11.3.1排污口规范化建设内容</w:t>
      </w:r>
    </w:p>
    <w:p>
      <w:pPr>
        <w:pStyle w:val="50"/>
        <w:rPr>
          <w:color w:val="auto"/>
          <w:szCs w:val="24"/>
        </w:rPr>
      </w:pPr>
      <w:r>
        <w:rPr>
          <w:rFonts w:hint="eastAsia"/>
          <w:color w:val="auto"/>
          <w:szCs w:val="24"/>
        </w:rPr>
        <w:t>本项目废水依托集控中心污水站处理，但本项目仍需规范的排污衔接口，因此本项目需规范的排放口主要有废水排放口、废气排气口。</w:t>
      </w:r>
    </w:p>
    <w:p>
      <w:pPr>
        <w:pStyle w:val="50"/>
        <w:rPr>
          <w:color w:val="auto"/>
          <w:szCs w:val="24"/>
        </w:rPr>
      </w:pPr>
      <w:r>
        <w:rPr>
          <w:color w:val="auto"/>
          <w:szCs w:val="24"/>
        </w:rPr>
        <w:t xml:space="preserve">(1) </w:t>
      </w:r>
      <w:r>
        <w:rPr>
          <w:rFonts w:hint="eastAsia"/>
          <w:color w:val="auto"/>
          <w:szCs w:val="24"/>
        </w:rPr>
        <w:t>废水规范化排放口：厂区污水站应建有规范化排污口，能够满足监测采样要求，厂区废水进入集控中心污水站进一步深度处理达标后排入园区污水处理厂。</w:t>
      </w:r>
    </w:p>
    <w:p>
      <w:pPr>
        <w:pStyle w:val="50"/>
        <w:rPr>
          <w:color w:val="auto"/>
          <w:szCs w:val="24"/>
        </w:rPr>
      </w:pPr>
      <w:r>
        <w:rPr>
          <w:color w:val="auto"/>
          <w:szCs w:val="24"/>
        </w:rPr>
        <w:t xml:space="preserve">(2) </w:t>
      </w:r>
      <w:r>
        <w:rPr>
          <w:rFonts w:hint="eastAsia"/>
          <w:color w:val="auto"/>
          <w:szCs w:val="24"/>
        </w:rPr>
        <w:t>废气排放口：本项目排气筒都应在其排放口和预留监测口设立明显标志，废气采样口设置必须符合《污染源监测技术规范》规定的高度和要求，便于采样、监测的要求，并得到授权的环境监察支队和环境监测中心站共同确认。</w:t>
      </w:r>
    </w:p>
    <w:p>
      <w:pPr>
        <w:jc w:val="center"/>
        <w:rPr>
          <w:color w:val="auto"/>
        </w:rPr>
      </w:pPr>
      <w:r>
        <w:rPr>
          <w:color w:val="auto"/>
        </w:rPr>
        <w:drawing>
          <wp:inline distT="0" distB="0" distL="0" distR="0">
            <wp:extent cx="5770245" cy="1615440"/>
            <wp:effectExtent l="0" t="0" r="1905" b="381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51" cstate="print"/>
                    <a:srcRect/>
                    <a:stretch>
                      <a:fillRect/>
                    </a:stretch>
                  </pic:blipFill>
                  <pic:spPr>
                    <a:xfrm>
                      <a:off x="0" y="0"/>
                      <a:ext cx="5770245" cy="1615440"/>
                    </a:xfrm>
                    <a:prstGeom prst="rect">
                      <a:avLst/>
                    </a:prstGeom>
                    <a:noFill/>
                    <a:ln w="9525">
                      <a:noFill/>
                      <a:miter lim="800000"/>
                      <a:headEnd/>
                      <a:tailEnd/>
                    </a:ln>
                  </pic:spPr>
                </pic:pic>
              </a:graphicData>
            </a:graphic>
          </wp:inline>
        </w:drawing>
      </w:r>
    </w:p>
    <w:p>
      <w:pPr>
        <w:jc w:val="center"/>
        <w:rPr>
          <w:b/>
          <w:color w:val="auto"/>
          <w:sz w:val="24"/>
        </w:rPr>
      </w:pPr>
      <w:r>
        <w:rPr>
          <w:rFonts w:hint="eastAsia"/>
          <w:b/>
          <w:color w:val="auto"/>
          <w:sz w:val="24"/>
        </w:rPr>
        <w:t>图11.3</w:t>
      </w:r>
      <w:r>
        <w:rPr>
          <w:b/>
          <w:color w:val="auto"/>
          <w:sz w:val="24"/>
        </w:rPr>
        <w:t xml:space="preserve">-1    </w:t>
      </w:r>
      <w:r>
        <w:rPr>
          <w:rFonts w:hint="eastAsia"/>
          <w:b/>
          <w:color w:val="auto"/>
          <w:sz w:val="24"/>
        </w:rPr>
        <w:t>各排污口（源）标志牌设置示意图</w:t>
      </w:r>
    </w:p>
    <w:p>
      <w:pPr>
        <w:pStyle w:val="50"/>
        <w:rPr>
          <w:color w:val="auto"/>
          <w:szCs w:val="24"/>
        </w:rPr>
      </w:pPr>
      <w:r>
        <w:rPr>
          <w:rFonts w:hint="eastAsia"/>
          <w:color w:val="auto"/>
          <w:szCs w:val="24"/>
        </w:rPr>
        <w:t>根据现场调查，本评价要求建设单位按照《关于开展排放口规范化整治工作的通知》（环发〔</w:t>
      </w:r>
      <w:r>
        <w:rPr>
          <w:color w:val="auto"/>
          <w:szCs w:val="24"/>
        </w:rPr>
        <w:t>1999</w:t>
      </w:r>
      <w:r>
        <w:rPr>
          <w:rFonts w:hint="eastAsia"/>
          <w:color w:val="auto"/>
          <w:szCs w:val="24"/>
        </w:rPr>
        <w:t>〕</w:t>
      </w:r>
      <w:r>
        <w:rPr>
          <w:color w:val="auto"/>
          <w:szCs w:val="24"/>
        </w:rPr>
        <w:t>24</w:t>
      </w:r>
      <w:r>
        <w:rPr>
          <w:rFonts w:hint="eastAsia"/>
          <w:color w:val="auto"/>
          <w:szCs w:val="24"/>
        </w:rPr>
        <w:t>号）和《排污口规范化整治技术要求（试行）》（环监〔</w:t>
      </w:r>
      <w:r>
        <w:rPr>
          <w:color w:val="auto"/>
          <w:szCs w:val="24"/>
        </w:rPr>
        <w:t>1996</w:t>
      </w:r>
      <w:r>
        <w:rPr>
          <w:rFonts w:hint="eastAsia"/>
          <w:color w:val="auto"/>
          <w:szCs w:val="24"/>
        </w:rPr>
        <w:t>〕</w:t>
      </w:r>
      <w:r>
        <w:rPr>
          <w:color w:val="auto"/>
          <w:szCs w:val="24"/>
        </w:rPr>
        <w:t>470</w:t>
      </w:r>
      <w:r>
        <w:rPr>
          <w:rFonts w:hint="eastAsia"/>
          <w:color w:val="auto"/>
          <w:szCs w:val="24"/>
        </w:rPr>
        <w:t>号）等文件要求，进行排污口规范化设置工作。</w:t>
      </w:r>
    </w:p>
    <w:p>
      <w:pPr>
        <w:pStyle w:val="50"/>
        <w:rPr>
          <w:color w:val="auto"/>
          <w:szCs w:val="24"/>
        </w:rPr>
      </w:pPr>
      <w:r>
        <w:rPr>
          <w:rFonts w:hint="eastAsia"/>
          <w:color w:val="auto"/>
          <w:szCs w:val="24"/>
        </w:rPr>
        <w:t>①在各排污口处设立较明显的排污口标志牌，其上应注明主要排放污染物的名称；规范排污口标识。</w:t>
      </w:r>
    </w:p>
    <w:p>
      <w:pPr>
        <w:pStyle w:val="50"/>
        <w:rPr>
          <w:color w:val="auto"/>
          <w:szCs w:val="24"/>
        </w:rPr>
      </w:pPr>
      <w:r>
        <w:rPr>
          <w:rFonts w:hint="eastAsia"/>
          <w:color w:val="auto"/>
          <w:szCs w:val="24"/>
        </w:rPr>
        <w:t>②如实填写《中华人民共和国规范化排污口标志登记证》的有关内容，由环保主管部门签发登记证。</w:t>
      </w:r>
    </w:p>
    <w:p>
      <w:pPr>
        <w:pStyle w:val="50"/>
        <w:rPr>
          <w:color w:val="auto"/>
          <w:szCs w:val="24"/>
        </w:rPr>
      </w:pPr>
      <w:r>
        <w:rPr>
          <w:rFonts w:hint="eastAsia"/>
          <w:color w:val="auto"/>
          <w:szCs w:val="24"/>
        </w:rPr>
        <w:t>③将有关排污口的情况如：排污口的性质、编号、排污口的位置；主要排放的污染物种类、数量、浓度、排放规律、排放去向；污染治理设施的运行情况等进行建档管理，并报送环保主管部门备案。</w:t>
      </w:r>
    </w:p>
    <w:p>
      <w:pPr>
        <w:pStyle w:val="50"/>
        <w:rPr>
          <w:color w:val="auto"/>
          <w:szCs w:val="24"/>
        </w:rPr>
      </w:pPr>
      <w:r>
        <w:rPr>
          <w:rFonts w:hint="eastAsia"/>
          <w:color w:val="auto"/>
          <w:szCs w:val="24"/>
        </w:rPr>
        <w:t>④按照排污口规范管理及排放口环境保护图形标志管理有关规定，在排污口附近设置环境保护图形标志牌，根据《环境保护图形标志》实施细则，填写本工程的主要污染物；标志牌必须保持清晰、完整，发现形象损坏、颜色污染或有变化、退色等不符合图形标志标准的情况，应及时修复或更换，检查时间至少每年一次。</w:t>
      </w:r>
    </w:p>
    <w:p>
      <w:pPr>
        <w:pStyle w:val="50"/>
        <w:rPr>
          <w:color w:val="auto"/>
          <w:szCs w:val="24"/>
        </w:rPr>
      </w:pPr>
      <w:r>
        <w:rPr>
          <w:rFonts w:hint="eastAsia"/>
          <w:color w:val="auto"/>
          <w:szCs w:val="24"/>
        </w:rPr>
        <w:t>⑤排放口规范化整治要遵循便于采集样品、便于监测计量、便于日常监督管理的原则，严格按排放口规范化整治技术要求进行。</w:t>
      </w:r>
    </w:p>
    <w:p>
      <w:pPr>
        <w:spacing w:line="360" w:lineRule="auto"/>
        <w:ind w:firstLine="480" w:firstLineChars="200"/>
        <w:rPr>
          <w:color w:val="auto"/>
          <w:kern w:val="0"/>
          <w:sz w:val="24"/>
        </w:rPr>
      </w:pPr>
      <w:r>
        <w:rPr>
          <w:rFonts w:hint="eastAsia"/>
          <w:color w:val="auto"/>
          <w:sz w:val="24"/>
        </w:rPr>
        <w:t>⑥环境保护图形标志牌设置位置应距污染物排放口及固体废物堆放场或采样点较近且醒目处，设置高度一般为标志牌上缘距离地面约</w:t>
      </w:r>
      <w:r>
        <w:rPr>
          <w:color w:val="auto"/>
          <w:sz w:val="24"/>
        </w:rPr>
        <w:t>2m</w:t>
      </w:r>
      <w:r>
        <w:rPr>
          <w:rFonts w:hint="eastAsia"/>
          <w:color w:val="auto"/>
          <w:sz w:val="24"/>
        </w:rPr>
        <w:t>。</w:t>
      </w:r>
    </w:p>
    <w:p>
      <w:pPr>
        <w:spacing w:before="156" w:beforeLines="50" w:after="156" w:afterLines="50" w:line="360" w:lineRule="auto"/>
        <w:outlineLvl w:val="2"/>
        <w:rPr>
          <w:b/>
          <w:color w:val="auto"/>
          <w:sz w:val="24"/>
        </w:rPr>
      </w:pPr>
      <w:r>
        <w:rPr>
          <w:b/>
          <w:color w:val="auto"/>
          <w:sz w:val="24"/>
        </w:rPr>
        <w:t>11.3.2环境监测计划</w:t>
      </w:r>
    </w:p>
    <w:p>
      <w:pPr>
        <w:pStyle w:val="50"/>
        <w:rPr>
          <w:color w:val="auto"/>
          <w:szCs w:val="24"/>
        </w:rPr>
      </w:pPr>
      <w:r>
        <w:rPr>
          <w:rFonts w:hint="eastAsia"/>
          <w:color w:val="auto"/>
          <w:szCs w:val="24"/>
        </w:rPr>
        <w:t>（</w:t>
      </w:r>
      <w:r>
        <w:rPr>
          <w:color w:val="auto"/>
          <w:szCs w:val="24"/>
        </w:rPr>
        <w:t>1</w:t>
      </w:r>
      <w:r>
        <w:rPr>
          <w:rFonts w:hint="eastAsia"/>
          <w:color w:val="auto"/>
          <w:szCs w:val="24"/>
        </w:rPr>
        <w:t>）监测内容</w:t>
      </w:r>
    </w:p>
    <w:p>
      <w:pPr>
        <w:pStyle w:val="50"/>
        <w:rPr>
          <w:color w:val="auto"/>
          <w:szCs w:val="24"/>
        </w:rPr>
      </w:pPr>
      <w:r>
        <w:rPr>
          <w:rFonts w:hint="eastAsia"/>
          <w:color w:val="auto"/>
          <w:szCs w:val="24"/>
        </w:rPr>
        <w:t>①污染源排放监测</w:t>
      </w:r>
    </w:p>
    <w:p>
      <w:pPr>
        <w:pStyle w:val="50"/>
        <w:rPr>
          <w:color w:val="auto"/>
          <w:szCs w:val="24"/>
        </w:rPr>
      </w:pPr>
      <w:r>
        <w:rPr>
          <w:rFonts w:hint="eastAsia"/>
          <w:color w:val="auto"/>
          <w:szCs w:val="24"/>
        </w:rPr>
        <w:t>包括废气污染源（以有组织或无组织形式排入环境）、废水污染源（直接排入环境或排入公共污水处理系统）及噪声污染等。</w:t>
      </w:r>
    </w:p>
    <w:p>
      <w:pPr>
        <w:pStyle w:val="50"/>
        <w:rPr>
          <w:color w:val="auto"/>
          <w:szCs w:val="24"/>
        </w:rPr>
      </w:pPr>
      <w:r>
        <w:rPr>
          <w:rFonts w:hint="eastAsia"/>
          <w:color w:val="auto"/>
          <w:szCs w:val="24"/>
        </w:rPr>
        <w:t>②周边环境质量影响监测</w:t>
      </w:r>
    </w:p>
    <w:p>
      <w:pPr>
        <w:pStyle w:val="50"/>
        <w:rPr>
          <w:color w:val="auto"/>
          <w:szCs w:val="24"/>
        </w:rPr>
      </w:pPr>
      <w:r>
        <w:rPr>
          <w:rFonts w:hint="eastAsia"/>
          <w:color w:val="auto"/>
          <w:szCs w:val="24"/>
        </w:rPr>
        <w:t>污染物排放标准、环境影响评价文件及其批复或其他环境管理有明确要求的，排污单位应按照要求对其周边相应的空气、地表水、地下水、土壤等环境质量开展监测；其他排污单位根据实际情况确定是否开展周边环境质量影响监测。</w:t>
      </w:r>
    </w:p>
    <w:p>
      <w:pPr>
        <w:pStyle w:val="50"/>
        <w:rPr>
          <w:color w:val="auto"/>
          <w:szCs w:val="24"/>
        </w:rPr>
      </w:pPr>
      <w:r>
        <w:rPr>
          <w:rFonts w:hint="eastAsia"/>
          <w:color w:val="auto"/>
          <w:szCs w:val="24"/>
        </w:rPr>
        <w:t>（</w:t>
      </w:r>
      <w:r>
        <w:rPr>
          <w:color w:val="auto"/>
          <w:szCs w:val="24"/>
        </w:rPr>
        <w:t>2</w:t>
      </w:r>
      <w:r>
        <w:rPr>
          <w:rFonts w:hint="eastAsia"/>
          <w:color w:val="auto"/>
          <w:szCs w:val="24"/>
        </w:rPr>
        <w:t>）监测方法</w:t>
      </w:r>
    </w:p>
    <w:p>
      <w:pPr>
        <w:pStyle w:val="50"/>
        <w:rPr>
          <w:color w:val="auto"/>
          <w:szCs w:val="24"/>
        </w:rPr>
      </w:pPr>
      <w:r>
        <w:rPr>
          <w:rFonts w:hint="eastAsia"/>
          <w:color w:val="auto"/>
          <w:szCs w:val="24"/>
        </w:rPr>
        <w:t>排放源按《建设项目环保设施竣工验收监测技术要求》实施。设有在线监测系统的点位，可以利用在线监测的数据。</w:t>
      </w:r>
    </w:p>
    <w:p>
      <w:pPr>
        <w:pStyle w:val="50"/>
        <w:rPr>
          <w:color w:val="auto"/>
          <w:szCs w:val="24"/>
        </w:rPr>
      </w:pPr>
      <w:r>
        <w:rPr>
          <w:rFonts w:hint="eastAsia"/>
          <w:color w:val="auto"/>
          <w:szCs w:val="24"/>
        </w:rPr>
        <w:t>为了方便监测人员对排气筒进行监测，企业应按照《固定污染源排气中颗粒物测定与气态污染物采样方</w:t>
      </w:r>
      <w:r>
        <w:rPr>
          <w:rFonts w:hint="default" w:ascii="Times New Roman" w:hAnsi="Times New Roman" w:cs="Times New Roman"/>
          <w:color w:val="auto"/>
          <w:szCs w:val="24"/>
        </w:rPr>
        <w:t>法》</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GB/T16157-1996</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的规</w:t>
      </w:r>
      <w:r>
        <w:rPr>
          <w:rFonts w:hint="eastAsia"/>
          <w:color w:val="auto"/>
          <w:szCs w:val="24"/>
        </w:rPr>
        <w:t>定要求，在排气筒上预留永久性采样监测孔。发生污染事故时，增加监测频次，按照应急监测要求进行监测。</w:t>
      </w:r>
    </w:p>
    <w:p>
      <w:pPr>
        <w:pStyle w:val="79"/>
        <w:ind w:firstLine="465" w:firstLineChars="0"/>
        <w:rPr>
          <w:color w:val="auto"/>
        </w:rPr>
      </w:pPr>
      <w:r>
        <w:rPr>
          <w:rFonts w:hint="eastAsia"/>
          <w:color w:val="auto"/>
        </w:rPr>
        <w:t>（</w:t>
      </w:r>
      <w:r>
        <w:rPr>
          <w:color w:val="auto"/>
        </w:rPr>
        <w:t>3</w:t>
      </w:r>
      <w:r>
        <w:rPr>
          <w:rFonts w:hint="eastAsia"/>
          <w:color w:val="auto"/>
        </w:rPr>
        <w:t>）污染源排放监测计划</w:t>
      </w:r>
    </w:p>
    <w:p>
      <w:pPr>
        <w:pStyle w:val="79"/>
        <w:ind w:firstLine="465" w:firstLineChars="0"/>
        <w:rPr>
          <w:rFonts w:cs="Times New Roman"/>
          <w:color w:val="auto"/>
        </w:rPr>
      </w:pPr>
      <w:r>
        <w:rPr>
          <w:rFonts w:cs="Times New Roman"/>
          <w:color w:val="auto"/>
        </w:rPr>
        <w:t>污染源排放监测计划见表</w:t>
      </w:r>
      <w:r>
        <w:rPr>
          <w:rFonts w:hint="eastAsia" w:cs="Times New Roman"/>
          <w:color w:val="auto"/>
        </w:rPr>
        <w:t>11</w:t>
      </w:r>
      <w:r>
        <w:rPr>
          <w:rFonts w:cs="Times New Roman"/>
          <w:color w:val="auto"/>
        </w:rPr>
        <w:t>.3-</w:t>
      </w:r>
      <w:r>
        <w:rPr>
          <w:rFonts w:hint="eastAsia" w:cs="Times New Roman"/>
          <w:color w:val="auto"/>
        </w:rPr>
        <w:t>1</w:t>
      </w:r>
      <w:r>
        <w:rPr>
          <w:rFonts w:cs="Times New Roman"/>
          <w:color w:val="auto"/>
        </w:rPr>
        <w:t>。</w:t>
      </w:r>
    </w:p>
    <w:p>
      <w:pPr>
        <w:pStyle w:val="79"/>
        <w:ind w:firstLine="465" w:firstLineChars="0"/>
        <w:rPr>
          <w:rFonts w:cs="Times New Roman"/>
          <w:color w:val="auto"/>
        </w:rPr>
        <w:sectPr>
          <w:pgSz w:w="11906" w:h="16838"/>
          <w:pgMar w:top="1417" w:right="1418" w:bottom="1417" w:left="1418" w:header="851" w:footer="992" w:gutter="0"/>
          <w:pgBorders>
            <w:top w:val="none" w:sz="0" w:space="0"/>
            <w:left w:val="none" w:sz="0" w:space="0"/>
            <w:bottom w:val="none" w:sz="0" w:space="0"/>
            <w:right w:val="none" w:sz="0" w:space="0"/>
          </w:pgBorders>
          <w:cols w:space="0" w:num="1"/>
          <w:docGrid w:type="lines" w:linePitch="312" w:charSpace="0"/>
        </w:sectPr>
      </w:pPr>
      <w:r>
        <w:rPr>
          <w:rFonts w:cs="Times New Roman"/>
          <w:color w:val="auto"/>
        </w:rPr>
        <w:t>考虑到污染物随空气扩散对周边居民点的影响，结合《排污单位自行监测技术指南 总则》(HJ819-2017)和《排污许可证申请与核发技术规范 电镀工业》中相关要求，本次评价要求建设单位实施环境质量现状跟踪监测计划。根据项目污染物特征，现状监测计划见表</w:t>
      </w:r>
      <w:r>
        <w:rPr>
          <w:rFonts w:hint="eastAsia" w:cs="Times New Roman"/>
          <w:color w:val="auto"/>
        </w:rPr>
        <w:t>11</w:t>
      </w:r>
      <w:r>
        <w:rPr>
          <w:rFonts w:cs="Times New Roman"/>
          <w:color w:val="auto"/>
        </w:rPr>
        <w:t>.3-</w:t>
      </w:r>
      <w:r>
        <w:rPr>
          <w:rFonts w:hint="eastAsia" w:cs="Times New Roman"/>
          <w:color w:val="auto"/>
        </w:rPr>
        <w:t>2</w:t>
      </w:r>
      <w:r>
        <w:rPr>
          <w:rFonts w:cs="Times New Roman"/>
          <w:color w:val="auto"/>
        </w:rPr>
        <w:t>。</w:t>
      </w:r>
    </w:p>
    <w:p>
      <w:pPr>
        <w:pStyle w:val="79"/>
        <w:ind w:firstLine="465" w:firstLineChars="0"/>
        <w:jc w:val="center"/>
        <w:rPr>
          <w:rFonts w:cs="Times New Roman"/>
          <w:b/>
          <w:color w:val="auto"/>
          <w:highlight w:val="none"/>
        </w:rPr>
      </w:pPr>
      <w:r>
        <w:rPr>
          <w:rFonts w:cs="Times New Roman"/>
          <w:b/>
          <w:color w:val="auto"/>
          <w:highlight w:val="none"/>
        </w:rPr>
        <w:t>表</w:t>
      </w:r>
      <w:r>
        <w:rPr>
          <w:rFonts w:hint="eastAsia" w:cs="Times New Roman"/>
          <w:b/>
          <w:color w:val="auto"/>
          <w:highlight w:val="none"/>
        </w:rPr>
        <w:t>11</w:t>
      </w:r>
      <w:r>
        <w:rPr>
          <w:rFonts w:cs="Times New Roman"/>
          <w:b/>
          <w:color w:val="auto"/>
          <w:highlight w:val="none"/>
        </w:rPr>
        <w:t>.3-1 运营期污染源监测计划</w:t>
      </w:r>
    </w:p>
    <w:tbl>
      <w:tblPr>
        <w:tblStyle w:val="22"/>
        <w:tblW w:w="1446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57"/>
        <w:gridCol w:w="2190"/>
        <w:gridCol w:w="2760"/>
        <w:gridCol w:w="2100"/>
        <w:gridCol w:w="4335"/>
        <w:gridCol w:w="20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tcBorders>
              <w:top w:val="single" w:color="auto" w:sz="12" w:space="0"/>
              <w:left w:val="nil"/>
              <w:bottom w:val="single" w:color="auto" w:sz="6" w:space="0"/>
              <w:right w:val="single" w:color="auto" w:sz="6" w:space="0"/>
            </w:tcBorders>
            <w:vAlign w:val="center"/>
          </w:tcPr>
          <w:p>
            <w:pPr>
              <w:pStyle w:val="41"/>
              <w:rPr>
                <w:color w:val="auto"/>
                <w:highlight w:val="none"/>
              </w:rPr>
            </w:pPr>
            <w:r>
              <w:rPr>
                <w:rFonts w:hint="eastAsia"/>
                <w:color w:val="auto"/>
                <w:highlight w:val="none"/>
              </w:rPr>
              <w:t>污染物</w:t>
            </w:r>
          </w:p>
        </w:tc>
        <w:tc>
          <w:tcPr>
            <w:tcW w:w="2190" w:type="dxa"/>
            <w:tcBorders>
              <w:top w:val="single" w:color="auto" w:sz="12" w:space="0"/>
              <w:left w:val="single" w:color="auto" w:sz="6" w:space="0"/>
              <w:bottom w:val="single" w:color="auto" w:sz="6" w:space="0"/>
              <w:right w:val="single" w:color="auto" w:sz="6" w:space="0"/>
            </w:tcBorders>
            <w:vAlign w:val="center"/>
          </w:tcPr>
          <w:p>
            <w:pPr>
              <w:pStyle w:val="41"/>
              <w:rPr>
                <w:color w:val="auto"/>
                <w:highlight w:val="none"/>
              </w:rPr>
            </w:pPr>
            <w:r>
              <w:rPr>
                <w:rFonts w:hint="eastAsia"/>
                <w:color w:val="auto"/>
                <w:highlight w:val="none"/>
              </w:rPr>
              <w:t>监测点位</w:t>
            </w:r>
          </w:p>
        </w:tc>
        <w:tc>
          <w:tcPr>
            <w:tcW w:w="2760" w:type="dxa"/>
            <w:tcBorders>
              <w:top w:val="single" w:color="auto" w:sz="12" w:space="0"/>
              <w:left w:val="single" w:color="auto" w:sz="6" w:space="0"/>
              <w:bottom w:val="single" w:color="auto" w:sz="6" w:space="0"/>
              <w:right w:val="single" w:color="auto" w:sz="6" w:space="0"/>
            </w:tcBorders>
            <w:vAlign w:val="center"/>
          </w:tcPr>
          <w:p>
            <w:pPr>
              <w:pStyle w:val="41"/>
              <w:rPr>
                <w:color w:val="auto"/>
                <w:highlight w:val="none"/>
              </w:rPr>
            </w:pPr>
            <w:r>
              <w:rPr>
                <w:rFonts w:hint="eastAsia"/>
                <w:color w:val="auto"/>
                <w:highlight w:val="none"/>
              </w:rPr>
              <w:t>监测项目</w:t>
            </w:r>
          </w:p>
        </w:tc>
        <w:tc>
          <w:tcPr>
            <w:tcW w:w="2100" w:type="dxa"/>
            <w:tcBorders>
              <w:top w:val="single" w:color="auto" w:sz="12" w:space="0"/>
              <w:left w:val="single" w:color="auto" w:sz="6" w:space="0"/>
              <w:bottom w:val="single" w:color="auto" w:sz="6" w:space="0"/>
              <w:right w:val="single" w:color="auto" w:sz="6" w:space="0"/>
            </w:tcBorders>
            <w:vAlign w:val="center"/>
          </w:tcPr>
          <w:p>
            <w:pPr>
              <w:pStyle w:val="41"/>
              <w:rPr>
                <w:color w:val="auto"/>
                <w:highlight w:val="none"/>
              </w:rPr>
            </w:pPr>
            <w:r>
              <w:rPr>
                <w:rFonts w:hint="eastAsia"/>
                <w:color w:val="auto"/>
                <w:highlight w:val="none"/>
              </w:rPr>
              <w:t>监测频率</w:t>
            </w:r>
          </w:p>
        </w:tc>
        <w:tc>
          <w:tcPr>
            <w:tcW w:w="4335" w:type="dxa"/>
            <w:tcBorders>
              <w:top w:val="single" w:color="auto" w:sz="12" w:space="0"/>
              <w:left w:val="single" w:color="auto" w:sz="6" w:space="0"/>
              <w:bottom w:val="single" w:color="auto" w:sz="6" w:space="0"/>
              <w:right w:val="single" w:color="auto" w:sz="6" w:space="0"/>
            </w:tcBorders>
            <w:vAlign w:val="center"/>
          </w:tcPr>
          <w:p>
            <w:pPr>
              <w:pStyle w:val="41"/>
              <w:rPr>
                <w:color w:val="auto"/>
                <w:highlight w:val="none"/>
              </w:rPr>
            </w:pPr>
            <w:r>
              <w:rPr>
                <w:rFonts w:hint="eastAsia"/>
                <w:color w:val="auto"/>
                <w:highlight w:val="none"/>
              </w:rPr>
              <w:t>执行标准</w:t>
            </w:r>
          </w:p>
        </w:tc>
        <w:tc>
          <w:tcPr>
            <w:tcW w:w="2018" w:type="dxa"/>
            <w:tcBorders>
              <w:top w:val="single" w:color="auto" w:sz="12" w:space="0"/>
              <w:left w:val="single" w:color="auto" w:sz="6" w:space="0"/>
              <w:bottom w:val="single" w:color="auto" w:sz="6" w:space="0"/>
              <w:right w:val="nil"/>
            </w:tcBorders>
            <w:vAlign w:val="center"/>
          </w:tcPr>
          <w:p>
            <w:pPr>
              <w:pStyle w:val="41"/>
              <w:rPr>
                <w:color w:val="auto"/>
                <w:highlight w:val="none"/>
              </w:rPr>
            </w:pPr>
            <w:r>
              <w:rPr>
                <w:rFonts w:hint="eastAsia"/>
                <w:color w:val="auto"/>
                <w:highlight w:val="none"/>
              </w:rPr>
              <w:t>监测单位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restart"/>
            <w:tcBorders>
              <w:top w:val="single" w:color="auto" w:sz="6" w:space="0"/>
              <w:left w:val="nil"/>
              <w:bottom w:val="single" w:color="auto" w:sz="6" w:space="0"/>
              <w:right w:val="single" w:color="auto" w:sz="6" w:space="0"/>
            </w:tcBorders>
            <w:vAlign w:val="center"/>
          </w:tcPr>
          <w:p>
            <w:pPr>
              <w:pStyle w:val="41"/>
              <w:rPr>
                <w:color w:val="auto"/>
              </w:rPr>
            </w:pPr>
            <w:r>
              <w:rPr>
                <w:rFonts w:hint="eastAsia"/>
                <w:color w:val="auto"/>
              </w:rPr>
              <w:t>废气</w:t>
            </w: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碱液喷淋塔排气筒（</w:t>
            </w:r>
            <w:r>
              <w:rPr>
                <w:color w:val="auto"/>
              </w:rPr>
              <w:t>1#</w:t>
            </w:r>
            <w:r>
              <w:rPr>
                <w:rFonts w:hint="eastAsia"/>
                <w:color w:val="auto"/>
              </w:rPr>
              <w:t>排气筒）</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硫酸雾、氯化氢、氟化物、温度、排放浓度、排放速率</w:t>
            </w:r>
          </w:p>
        </w:tc>
        <w:tc>
          <w:tcPr>
            <w:tcW w:w="210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半年一次、每次监测</w:t>
            </w:r>
            <w:r>
              <w:rPr>
                <w:color w:val="auto"/>
              </w:rPr>
              <w:t>2</w:t>
            </w:r>
            <w:r>
              <w:rPr>
                <w:rFonts w:hint="eastAsia"/>
                <w:color w:val="auto"/>
              </w:rPr>
              <w:t>天，</w:t>
            </w:r>
            <w:r>
              <w:rPr>
                <w:color w:val="auto"/>
              </w:rPr>
              <w:t>4</w:t>
            </w:r>
            <w:r>
              <w:rPr>
                <w:rFonts w:hint="eastAsia"/>
                <w:color w:val="auto"/>
              </w:rPr>
              <w:t>次</w:t>
            </w:r>
            <w:r>
              <w:rPr>
                <w:color w:val="auto"/>
              </w:rPr>
              <w:t>/</w:t>
            </w:r>
            <w:r>
              <w:rPr>
                <w:rFonts w:hint="eastAsia"/>
                <w:color w:val="auto"/>
              </w:rPr>
              <w:t>天</w:t>
            </w:r>
          </w:p>
        </w:tc>
        <w:tc>
          <w:tcPr>
            <w:tcW w:w="4335" w:type="dxa"/>
            <w:vMerge w:val="restart"/>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硫酸雾、氯化氢、氟化物、铬酸雾、氰化氢排放执行《电镀污染物排放标准》（</w:t>
            </w:r>
            <w:r>
              <w:rPr>
                <w:color w:val="auto"/>
              </w:rPr>
              <w:t>GB21900-2008</w:t>
            </w:r>
            <w:r>
              <w:rPr>
                <w:rFonts w:hint="eastAsia"/>
                <w:color w:val="auto"/>
              </w:rPr>
              <w:t>）表</w:t>
            </w:r>
            <w:r>
              <w:rPr>
                <w:color w:val="auto"/>
              </w:rPr>
              <w:t>5</w:t>
            </w:r>
            <w:r>
              <w:rPr>
                <w:rFonts w:hint="eastAsia"/>
                <w:color w:val="auto"/>
              </w:rPr>
              <w:t>新建企业大气污染物排放限值（从严5</w:t>
            </w:r>
            <w:r>
              <w:rPr>
                <w:color w:val="auto"/>
              </w:rPr>
              <w:t>0</w:t>
            </w:r>
            <w:r>
              <w:rPr>
                <w:rFonts w:hint="eastAsia"/>
                <w:color w:val="auto"/>
              </w:rPr>
              <w:t>%执行），详见表</w:t>
            </w:r>
            <w:r>
              <w:rPr>
                <w:color w:val="auto"/>
              </w:rPr>
              <w:t>3.4-10</w:t>
            </w:r>
          </w:p>
        </w:tc>
        <w:tc>
          <w:tcPr>
            <w:tcW w:w="2018" w:type="dxa"/>
            <w:tcBorders>
              <w:top w:val="single" w:color="auto" w:sz="6" w:space="0"/>
              <w:left w:val="single" w:color="auto" w:sz="6" w:space="0"/>
              <w:bottom w:val="single" w:color="auto" w:sz="6" w:space="0"/>
              <w:right w:val="nil"/>
            </w:tcBorders>
            <w:vAlign w:val="center"/>
          </w:tcPr>
          <w:p>
            <w:pPr>
              <w:pStyle w:val="41"/>
              <w:rPr>
                <w:color w:val="auto"/>
              </w:rPr>
            </w:pPr>
            <w:r>
              <w:rPr>
                <w:rFonts w:hint="eastAsia"/>
                <w:color w:val="auto"/>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left w:val="nil"/>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氰净化塔排气筒</w:t>
            </w:r>
          </w:p>
          <w:p>
            <w:pPr>
              <w:pStyle w:val="41"/>
              <w:rPr>
                <w:color w:val="auto"/>
              </w:rPr>
            </w:pPr>
            <w:r>
              <w:rPr>
                <w:rFonts w:hint="eastAsia"/>
                <w:color w:val="auto"/>
              </w:rPr>
              <w:t>（2</w:t>
            </w:r>
            <w:r>
              <w:rPr>
                <w:color w:val="auto"/>
              </w:rPr>
              <w:t>#</w:t>
            </w:r>
            <w:r>
              <w:rPr>
                <w:rFonts w:hint="eastAsia"/>
                <w:color w:val="auto"/>
              </w:rPr>
              <w:t>排气筒）</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氰化氢、温度、排放浓度、排放速率</w:t>
            </w:r>
          </w:p>
        </w:tc>
        <w:tc>
          <w:tcPr>
            <w:tcW w:w="210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半年一次、每次监测</w:t>
            </w:r>
            <w:r>
              <w:rPr>
                <w:color w:val="auto"/>
              </w:rPr>
              <w:t>2</w:t>
            </w:r>
            <w:r>
              <w:rPr>
                <w:rFonts w:hint="eastAsia"/>
                <w:color w:val="auto"/>
              </w:rPr>
              <w:t>天，</w:t>
            </w:r>
            <w:r>
              <w:rPr>
                <w:color w:val="auto"/>
              </w:rPr>
              <w:t>4</w:t>
            </w:r>
            <w:r>
              <w:rPr>
                <w:rFonts w:hint="eastAsia"/>
                <w:color w:val="auto"/>
              </w:rPr>
              <w:t>次</w:t>
            </w:r>
            <w:r>
              <w:rPr>
                <w:color w:val="auto"/>
              </w:rPr>
              <w:t>/</w:t>
            </w:r>
            <w:r>
              <w:rPr>
                <w:rFonts w:hint="eastAsia"/>
                <w:color w:val="auto"/>
              </w:rPr>
              <w:t>天</w:t>
            </w:r>
          </w:p>
        </w:tc>
        <w:tc>
          <w:tcPr>
            <w:tcW w:w="4335" w:type="dxa"/>
            <w:vMerge w:val="continue"/>
            <w:tcBorders>
              <w:left w:val="single" w:color="auto" w:sz="6" w:space="0"/>
              <w:right w:val="single" w:color="auto" w:sz="6" w:space="0"/>
            </w:tcBorders>
            <w:vAlign w:val="center"/>
          </w:tcPr>
          <w:p>
            <w:pPr>
              <w:pStyle w:val="41"/>
              <w:rPr>
                <w:color w:val="auto"/>
              </w:rPr>
            </w:pPr>
          </w:p>
        </w:tc>
        <w:tc>
          <w:tcPr>
            <w:tcW w:w="2018" w:type="dxa"/>
            <w:tcBorders>
              <w:top w:val="single" w:color="auto" w:sz="6" w:space="0"/>
              <w:left w:val="single" w:color="auto" w:sz="6" w:space="0"/>
              <w:bottom w:val="single" w:color="auto" w:sz="6" w:space="0"/>
              <w:right w:val="nil"/>
            </w:tcBorders>
            <w:vAlign w:val="center"/>
          </w:tcPr>
          <w:p>
            <w:pPr>
              <w:pStyle w:val="41"/>
              <w:rPr>
                <w:color w:val="auto"/>
              </w:rPr>
            </w:pPr>
            <w:r>
              <w:rPr>
                <w:rFonts w:hint="eastAsia"/>
                <w:color w:val="auto"/>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left w:val="nil"/>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网格净化器排气筒</w:t>
            </w:r>
          </w:p>
          <w:p>
            <w:pPr>
              <w:pStyle w:val="41"/>
              <w:rPr>
                <w:color w:val="auto"/>
              </w:rPr>
            </w:pPr>
            <w:r>
              <w:rPr>
                <w:rFonts w:hint="eastAsia"/>
                <w:color w:val="auto"/>
              </w:rPr>
              <w:t>（3</w:t>
            </w:r>
            <w:r>
              <w:rPr>
                <w:color w:val="auto"/>
              </w:rPr>
              <w:t>#</w:t>
            </w:r>
            <w:r>
              <w:rPr>
                <w:rFonts w:hint="eastAsia"/>
                <w:color w:val="auto"/>
              </w:rPr>
              <w:t>排气筒）</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铬酸雾、温度、排放浓度、排放速率</w:t>
            </w:r>
          </w:p>
        </w:tc>
        <w:tc>
          <w:tcPr>
            <w:tcW w:w="210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半年一次、每次监测</w:t>
            </w:r>
            <w:r>
              <w:rPr>
                <w:color w:val="auto"/>
              </w:rPr>
              <w:t>2</w:t>
            </w:r>
            <w:r>
              <w:rPr>
                <w:rFonts w:hint="eastAsia"/>
                <w:color w:val="auto"/>
              </w:rPr>
              <w:t>天，</w:t>
            </w:r>
            <w:r>
              <w:rPr>
                <w:color w:val="auto"/>
              </w:rPr>
              <w:t>4</w:t>
            </w:r>
            <w:r>
              <w:rPr>
                <w:rFonts w:hint="eastAsia"/>
                <w:color w:val="auto"/>
              </w:rPr>
              <w:t>次</w:t>
            </w:r>
            <w:r>
              <w:rPr>
                <w:color w:val="auto"/>
              </w:rPr>
              <w:t>/</w:t>
            </w:r>
            <w:r>
              <w:rPr>
                <w:rFonts w:hint="eastAsia"/>
                <w:color w:val="auto"/>
              </w:rPr>
              <w:t>天</w:t>
            </w:r>
          </w:p>
        </w:tc>
        <w:tc>
          <w:tcPr>
            <w:tcW w:w="4335" w:type="dxa"/>
            <w:vMerge w:val="continue"/>
            <w:tcBorders>
              <w:left w:val="single" w:color="auto" w:sz="6" w:space="0"/>
              <w:right w:val="single" w:color="auto" w:sz="6" w:space="0"/>
            </w:tcBorders>
            <w:vAlign w:val="center"/>
          </w:tcPr>
          <w:p>
            <w:pPr>
              <w:pStyle w:val="41"/>
              <w:rPr>
                <w:color w:val="auto"/>
              </w:rPr>
            </w:pPr>
          </w:p>
        </w:tc>
        <w:tc>
          <w:tcPr>
            <w:tcW w:w="2018" w:type="dxa"/>
            <w:tcBorders>
              <w:top w:val="single" w:color="auto" w:sz="6" w:space="0"/>
              <w:left w:val="single" w:color="auto" w:sz="6" w:space="0"/>
              <w:bottom w:val="single" w:color="auto" w:sz="6" w:space="0"/>
              <w:right w:val="nil"/>
            </w:tcBorders>
            <w:vAlign w:val="center"/>
          </w:tcPr>
          <w:p>
            <w:pPr>
              <w:pStyle w:val="41"/>
              <w:rPr>
                <w:color w:val="auto"/>
              </w:rPr>
            </w:pPr>
            <w:r>
              <w:rPr>
                <w:rFonts w:hint="eastAsia"/>
                <w:color w:val="auto"/>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top w:val="single" w:color="auto" w:sz="6" w:space="0"/>
              <w:left w:val="nil"/>
              <w:bottom w:val="single" w:color="auto" w:sz="6" w:space="0"/>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厂界四周无组织废气</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硫酸雾、氯化氢、氟化物、氰化氢、铬酸雾</w:t>
            </w:r>
          </w:p>
        </w:tc>
        <w:tc>
          <w:tcPr>
            <w:tcW w:w="210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每年一次、每次监测</w:t>
            </w:r>
            <w:r>
              <w:rPr>
                <w:color w:val="auto"/>
              </w:rPr>
              <w:t>2</w:t>
            </w:r>
            <w:r>
              <w:rPr>
                <w:rFonts w:hint="eastAsia"/>
                <w:color w:val="auto"/>
              </w:rPr>
              <w:t>天，</w:t>
            </w:r>
            <w:r>
              <w:rPr>
                <w:color w:val="auto"/>
              </w:rPr>
              <w:t>4</w:t>
            </w:r>
            <w:r>
              <w:rPr>
                <w:rFonts w:hint="eastAsia"/>
                <w:color w:val="auto"/>
              </w:rPr>
              <w:t>次</w:t>
            </w:r>
            <w:r>
              <w:rPr>
                <w:color w:val="auto"/>
              </w:rPr>
              <w:t>/</w:t>
            </w:r>
            <w:r>
              <w:rPr>
                <w:rFonts w:hint="eastAsia"/>
                <w:color w:val="auto"/>
              </w:rPr>
              <w:t>天</w:t>
            </w:r>
          </w:p>
        </w:tc>
        <w:tc>
          <w:tcPr>
            <w:tcW w:w="4335"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2018" w:type="dxa"/>
            <w:tcBorders>
              <w:top w:val="single" w:color="auto" w:sz="6" w:space="0"/>
              <w:left w:val="single" w:color="auto" w:sz="6" w:space="0"/>
              <w:bottom w:val="single" w:color="auto" w:sz="6" w:space="0"/>
              <w:right w:val="nil"/>
            </w:tcBorders>
            <w:vAlign w:val="center"/>
          </w:tcPr>
          <w:p>
            <w:pPr>
              <w:pStyle w:val="41"/>
              <w:rPr>
                <w:color w:val="auto"/>
              </w:rPr>
            </w:pPr>
            <w:r>
              <w:rPr>
                <w:rFonts w:hint="eastAsia"/>
                <w:color w:val="auto"/>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restart"/>
            <w:tcBorders>
              <w:top w:val="single" w:color="auto" w:sz="6" w:space="0"/>
              <w:left w:val="nil"/>
              <w:bottom w:val="single" w:color="auto" w:sz="6" w:space="0"/>
              <w:right w:val="single" w:color="auto" w:sz="6" w:space="0"/>
            </w:tcBorders>
            <w:vAlign w:val="center"/>
          </w:tcPr>
          <w:p>
            <w:pPr>
              <w:pStyle w:val="41"/>
              <w:rPr>
                <w:color w:val="auto"/>
              </w:rPr>
            </w:pPr>
            <w:r>
              <w:rPr>
                <w:rFonts w:hint="eastAsia"/>
                <w:color w:val="auto"/>
              </w:rPr>
              <w:t>废水</w:t>
            </w: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化粪池排放口</w:t>
            </w:r>
          </w:p>
        </w:tc>
        <w:tc>
          <w:tcPr>
            <w:tcW w:w="9195" w:type="dxa"/>
            <w:gridSpan w:val="3"/>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依托集控中心，不单独进行检测</w:t>
            </w:r>
          </w:p>
        </w:tc>
        <w:tc>
          <w:tcPr>
            <w:tcW w:w="2018" w:type="dxa"/>
            <w:tcBorders>
              <w:top w:val="single" w:color="auto" w:sz="6" w:space="0"/>
              <w:left w:val="single" w:color="auto" w:sz="6" w:space="0"/>
              <w:bottom w:val="single" w:color="auto" w:sz="6" w:space="0"/>
              <w:right w:val="nil"/>
            </w:tcBorders>
            <w:vAlign w:val="center"/>
          </w:tcPr>
          <w:p>
            <w:pPr>
              <w:pStyle w:val="41"/>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top w:val="single" w:color="auto" w:sz="6" w:space="0"/>
              <w:left w:val="nil"/>
              <w:bottom w:val="single" w:color="auto" w:sz="6" w:space="0"/>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含铬废水排放口</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废水排放量、总铬、六价铬、氟化物</w:t>
            </w:r>
          </w:p>
        </w:tc>
        <w:tc>
          <w:tcPr>
            <w:tcW w:w="2100" w:type="dxa"/>
            <w:vMerge w:val="restart"/>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每</w:t>
            </w:r>
            <w:r>
              <w:rPr>
                <w:rFonts w:hint="eastAsia"/>
                <w:color w:val="auto"/>
                <w:lang w:eastAsia="zh-CN"/>
              </w:rPr>
              <w:t>季度</w:t>
            </w:r>
            <w:r>
              <w:rPr>
                <w:rFonts w:hint="eastAsia"/>
                <w:color w:val="auto"/>
              </w:rPr>
              <w:t>一次、每次监测</w:t>
            </w:r>
            <w:r>
              <w:rPr>
                <w:color w:val="auto"/>
              </w:rPr>
              <w:t>2</w:t>
            </w:r>
            <w:r>
              <w:rPr>
                <w:rFonts w:hint="eastAsia"/>
                <w:color w:val="auto"/>
              </w:rPr>
              <w:t>天，</w:t>
            </w:r>
            <w:r>
              <w:rPr>
                <w:color w:val="auto"/>
              </w:rPr>
              <w:t>3</w:t>
            </w:r>
            <w:r>
              <w:rPr>
                <w:rFonts w:hint="eastAsia"/>
                <w:color w:val="auto"/>
              </w:rPr>
              <w:t>次</w:t>
            </w:r>
            <w:r>
              <w:rPr>
                <w:color w:val="auto"/>
              </w:rPr>
              <w:t>/</w:t>
            </w:r>
            <w:r>
              <w:rPr>
                <w:rFonts w:hint="eastAsia"/>
                <w:color w:val="auto"/>
              </w:rPr>
              <w:t>天</w:t>
            </w:r>
          </w:p>
        </w:tc>
        <w:tc>
          <w:tcPr>
            <w:tcW w:w="4335" w:type="dxa"/>
            <w:vMerge w:val="restart"/>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电镀集控中心的接管要求，见表</w:t>
            </w:r>
            <w:r>
              <w:rPr>
                <w:color w:val="auto"/>
              </w:rPr>
              <w:t>-3.4-9</w:t>
            </w:r>
          </w:p>
        </w:tc>
        <w:tc>
          <w:tcPr>
            <w:tcW w:w="2018" w:type="dxa"/>
            <w:vMerge w:val="restart"/>
            <w:tcBorders>
              <w:top w:val="single" w:color="auto" w:sz="6" w:space="0"/>
              <w:left w:val="single" w:color="auto" w:sz="6" w:space="0"/>
              <w:bottom w:val="single" w:color="auto" w:sz="6" w:space="0"/>
              <w:right w:val="nil"/>
            </w:tcBorders>
            <w:vAlign w:val="center"/>
          </w:tcPr>
          <w:p>
            <w:pPr>
              <w:pStyle w:val="41"/>
              <w:rPr>
                <w:color w:val="auto"/>
              </w:rPr>
            </w:pPr>
            <w:r>
              <w:rPr>
                <w:rFonts w:hint="eastAsia"/>
                <w:color w:val="auto"/>
              </w:rPr>
              <w:t>企业自行委托监测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top w:val="single" w:color="auto" w:sz="6" w:space="0"/>
              <w:left w:val="nil"/>
              <w:bottom w:val="single" w:color="auto" w:sz="6" w:space="0"/>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含镍废水排放口</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废水排放量、总镍</w:t>
            </w:r>
          </w:p>
        </w:tc>
        <w:tc>
          <w:tcPr>
            <w:tcW w:w="2100"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4335"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2018" w:type="dxa"/>
            <w:vMerge w:val="continue"/>
            <w:tcBorders>
              <w:top w:val="single" w:color="auto" w:sz="6" w:space="0"/>
              <w:left w:val="single" w:color="auto" w:sz="6" w:space="0"/>
              <w:bottom w:val="single" w:color="auto" w:sz="6" w:space="0"/>
              <w:right w:val="nil"/>
            </w:tcBorders>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top w:val="single" w:color="auto" w:sz="6" w:space="0"/>
              <w:left w:val="nil"/>
              <w:bottom w:val="single" w:color="auto" w:sz="6" w:space="0"/>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含氰废水排放口</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废水排放量、总氰</w:t>
            </w:r>
          </w:p>
        </w:tc>
        <w:tc>
          <w:tcPr>
            <w:tcW w:w="2100"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4335"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2018" w:type="dxa"/>
            <w:vMerge w:val="continue"/>
            <w:tcBorders>
              <w:top w:val="single" w:color="auto" w:sz="6" w:space="0"/>
              <w:left w:val="single" w:color="auto" w:sz="6" w:space="0"/>
              <w:bottom w:val="single" w:color="auto" w:sz="6" w:space="0"/>
              <w:right w:val="nil"/>
            </w:tcBorders>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top w:val="single" w:color="auto" w:sz="6" w:space="0"/>
              <w:left w:val="nil"/>
              <w:bottom w:val="single" w:color="auto" w:sz="6" w:space="0"/>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含油废水排放口</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废水排放量、石油类</w:t>
            </w:r>
          </w:p>
        </w:tc>
        <w:tc>
          <w:tcPr>
            <w:tcW w:w="2100"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4335"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2018" w:type="dxa"/>
            <w:vMerge w:val="continue"/>
            <w:tcBorders>
              <w:top w:val="single" w:color="auto" w:sz="6" w:space="0"/>
              <w:left w:val="single" w:color="auto" w:sz="6" w:space="0"/>
              <w:bottom w:val="single" w:color="auto" w:sz="6" w:space="0"/>
              <w:right w:val="nil"/>
            </w:tcBorders>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vMerge w:val="continue"/>
            <w:tcBorders>
              <w:top w:val="single" w:color="auto" w:sz="6" w:space="0"/>
              <w:left w:val="nil"/>
              <w:bottom w:val="single" w:color="auto" w:sz="6" w:space="0"/>
              <w:right w:val="single" w:color="auto" w:sz="6" w:space="0"/>
            </w:tcBorders>
            <w:vAlign w:val="center"/>
          </w:tcPr>
          <w:p>
            <w:pPr>
              <w:pStyle w:val="41"/>
              <w:rPr>
                <w:color w:val="auto"/>
              </w:rPr>
            </w:pPr>
          </w:p>
        </w:tc>
        <w:tc>
          <w:tcPr>
            <w:tcW w:w="219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综合废水排放口</w:t>
            </w:r>
          </w:p>
        </w:tc>
        <w:tc>
          <w:tcPr>
            <w:tcW w:w="2760" w:type="dxa"/>
            <w:tcBorders>
              <w:top w:val="single" w:color="auto" w:sz="6" w:space="0"/>
              <w:left w:val="single" w:color="auto" w:sz="6" w:space="0"/>
              <w:bottom w:val="single" w:color="auto" w:sz="6" w:space="0"/>
              <w:right w:val="single" w:color="auto" w:sz="6" w:space="0"/>
            </w:tcBorders>
            <w:vAlign w:val="center"/>
          </w:tcPr>
          <w:p>
            <w:pPr>
              <w:pStyle w:val="41"/>
              <w:rPr>
                <w:color w:val="auto"/>
              </w:rPr>
            </w:pPr>
            <w:r>
              <w:rPr>
                <w:rFonts w:hint="eastAsia"/>
                <w:color w:val="auto"/>
              </w:rPr>
              <w:t>废水排放量、p</w:t>
            </w:r>
            <w:r>
              <w:rPr>
                <w:color w:val="auto"/>
              </w:rPr>
              <w:t>H</w:t>
            </w:r>
            <w:r>
              <w:rPr>
                <w:rFonts w:hint="eastAsia"/>
                <w:color w:val="auto"/>
              </w:rPr>
              <w:t>、</w:t>
            </w:r>
            <w:r>
              <w:rPr>
                <w:color w:val="auto"/>
              </w:rPr>
              <w:t>COD</w:t>
            </w:r>
            <w:r>
              <w:rPr>
                <w:rFonts w:hint="eastAsia"/>
                <w:color w:val="auto"/>
              </w:rPr>
              <w:t>、</w:t>
            </w:r>
          </w:p>
          <w:p>
            <w:pPr>
              <w:pStyle w:val="41"/>
              <w:rPr>
                <w:rFonts w:hint="eastAsia" w:eastAsia="宋体"/>
                <w:color w:val="auto"/>
                <w:lang w:eastAsia="zh-CN"/>
              </w:rPr>
            </w:pPr>
            <w:r>
              <w:rPr>
                <w:rFonts w:hint="eastAsia"/>
                <w:color w:val="auto"/>
              </w:rPr>
              <w:t>氨氮</w:t>
            </w:r>
            <w:r>
              <w:rPr>
                <w:rFonts w:hint="eastAsia"/>
                <w:color w:val="auto"/>
                <w:lang w:eastAsia="zh-CN"/>
              </w:rPr>
              <w:t>、总铜</w:t>
            </w:r>
          </w:p>
        </w:tc>
        <w:tc>
          <w:tcPr>
            <w:tcW w:w="2100"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4335" w:type="dxa"/>
            <w:vMerge w:val="continue"/>
            <w:tcBorders>
              <w:top w:val="single" w:color="auto" w:sz="6" w:space="0"/>
              <w:left w:val="single" w:color="auto" w:sz="6" w:space="0"/>
              <w:bottom w:val="single" w:color="auto" w:sz="6" w:space="0"/>
              <w:right w:val="single" w:color="auto" w:sz="6" w:space="0"/>
            </w:tcBorders>
            <w:vAlign w:val="center"/>
          </w:tcPr>
          <w:p>
            <w:pPr>
              <w:pStyle w:val="41"/>
              <w:rPr>
                <w:color w:val="auto"/>
              </w:rPr>
            </w:pPr>
          </w:p>
        </w:tc>
        <w:tc>
          <w:tcPr>
            <w:tcW w:w="2018" w:type="dxa"/>
            <w:vMerge w:val="continue"/>
            <w:tcBorders>
              <w:top w:val="single" w:color="auto" w:sz="6" w:space="0"/>
              <w:left w:val="single" w:color="auto" w:sz="6" w:space="0"/>
              <w:bottom w:val="single" w:color="auto" w:sz="6" w:space="0"/>
              <w:right w:val="nil"/>
            </w:tcBorders>
            <w:vAlign w:val="center"/>
          </w:tcPr>
          <w:p>
            <w:pPr>
              <w:pStyle w:val="41"/>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057" w:type="dxa"/>
            <w:tcBorders>
              <w:top w:val="single" w:color="auto" w:sz="6" w:space="0"/>
              <w:left w:val="nil"/>
              <w:bottom w:val="single" w:color="auto" w:sz="12" w:space="0"/>
              <w:right w:val="single" w:color="auto" w:sz="6" w:space="0"/>
            </w:tcBorders>
            <w:vAlign w:val="center"/>
          </w:tcPr>
          <w:p>
            <w:pPr>
              <w:pStyle w:val="41"/>
              <w:rPr>
                <w:color w:val="auto"/>
              </w:rPr>
            </w:pPr>
            <w:r>
              <w:rPr>
                <w:rFonts w:hint="eastAsia"/>
                <w:color w:val="auto"/>
              </w:rPr>
              <w:t>噪声</w:t>
            </w:r>
          </w:p>
        </w:tc>
        <w:tc>
          <w:tcPr>
            <w:tcW w:w="2190" w:type="dxa"/>
            <w:tcBorders>
              <w:top w:val="single" w:color="auto" w:sz="6" w:space="0"/>
              <w:left w:val="single" w:color="auto" w:sz="6" w:space="0"/>
              <w:bottom w:val="single" w:color="auto" w:sz="12" w:space="0"/>
              <w:right w:val="single" w:color="auto" w:sz="6" w:space="0"/>
            </w:tcBorders>
            <w:vAlign w:val="center"/>
          </w:tcPr>
          <w:p>
            <w:pPr>
              <w:pStyle w:val="41"/>
              <w:rPr>
                <w:color w:val="auto"/>
              </w:rPr>
            </w:pPr>
            <w:r>
              <w:rPr>
                <w:rFonts w:hint="eastAsia"/>
                <w:color w:val="auto"/>
              </w:rPr>
              <w:t>厂界四周</w:t>
            </w:r>
          </w:p>
        </w:tc>
        <w:tc>
          <w:tcPr>
            <w:tcW w:w="2760" w:type="dxa"/>
            <w:tcBorders>
              <w:top w:val="single" w:color="auto" w:sz="6" w:space="0"/>
              <w:left w:val="single" w:color="auto" w:sz="6" w:space="0"/>
              <w:bottom w:val="single" w:color="auto" w:sz="12" w:space="0"/>
              <w:right w:val="single" w:color="auto" w:sz="6" w:space="0"/>
            </w:tcBorders>
            <w:vAlign w:val="center"/>
          </w:tcPr>
          <w:p>
            <w:pPr>
              <w:pStyle w:val="41"/>
              <w:rPr>
                <w:color w:val="auto"/>
              </w:rPr>
            </w:pPr>
            <w:r>
              <w:rPr>
                <w:color w:val="auto"/>
              </w:rPr>
              <w:t>Leq(A)</w:t>
            </w:r>
          </w:p>
        </w:tc>
        <w:tc>
          <w:tcPr>
            <w:tcW w:w="2100" w:type="dxa"/>
            <w:tcBorders>
              <w:top w:val="single" w:color="auto" w:sz="6" w:space="0"/>
              <w:left w:val="single" w:color="auto" w:sz="6" w:space="0"/>
              <w:bottom w:val="single" w:color="auto" w:sz="12" w:space="0"/>
              <w:right w:val="single" w:color="auto" w:sz="6" w:space="0"/>
            </w:tcBorders>
            <w:vAlign w:val="center"/>
          </w:tcPr>
          <w:p>
            <w:pPr>
              <w:pStyle w:val="41"/>
              <w:rPr>
                <w:color w:val="auto"/>
              </w:rPr>
            </w:pPr>
            <w:r>
              <w:rPr>
                <w:rFonts w:hint="eastAsia"/>
                <w:color w:val="auto"/>
              </w:rPr>
              <w:t>每季度一次，每次监测</w:t>
            </w:r>
            <w:r>
              <w:rPr>
                <w:color w:val="auto"/>
              </w:rPr>
              <w:t>2</w:t>
            </w:r>
            <w:r>
              <w:rPr>
                <w:rFonts w:hint="eastAsia"/>
                <w:color w:val="auto"/>
              </w:rPr>
              <w:t>天</w:t>
            </w:r>
          </w:p>
        </w:tc>
        <w:tc>
          <w:tcPr>
            <w:tcW w:w="4335" w:type="dxa"/>
            <w:tcBorders>
              <w:top w:val="single" w:color="auto" w:sz="6" w:space="0"/>
              <w:left w:val="single" w:color="auto" w:sz="6" w:space="0"/>
              <w:bottom w:val="single" w:color="auto" w:sz="12" w:space="0"/>
              <w:right w:val="single" w:color="auto" w:sz="6" w:space="0"/>
            </w:tcBorders>
            <w:vAlign w:val="center"/>
          </w:tcPr>
          <w:p>
            <w:pPr>
              <w:pStyle w:val="41"/>
              <w:rPr>
                <w:color w:val="auto"/>
              </w:rPr>
            </w:pPr>
            <w:r>
              <w:rPr>
                <w:rFonts w:hint="eastAsia"/>
                <w:color w:val="auto"/>
              </w:rPr>
              <w:t>《工业企业厂界环境噪声排放标准》（</w:t>
            </w:r>
            <w:r>
              <w:rPr>
                <w:color w:val="auto"/>
              </w:rPr>
              <w:t>GB12348-2008</w:t>
            </w:r>
            <w:r>
              <w:rPr>
                <w:rFonts w:hint="eastAsia"/>
                <w:color w:val="auto"/>
              </w:rPr>
              <w:t>）中的</w:t>
            </w:r>
            <w:r>
              <w:rPr>
                <w:color w:val="auto"/>
              </w:rPr>
              <w:t>3</w:t>
            </w:r>
            <w:r>
              <w:rPr>
                <w:rFonts w:hint="eastAsia"/>
                <w:color w:val="auto"/>
              </w:rPr>
              <w:t>类标准，昼间</w:t>
            </w:r>
            <w:r>
              <w:rPr>
                <w:color w:val="auto"/>
              </w:rPr>
              <w:t>65dB</w:t>
            </w:r>
            <w:r>
              <w:rPr>
                <w:rFonts w:hint="eastAsia"/>
                <w:color w:val="auto"/>
              </w:rPr>
              <w:t>（</w:t>
            </w:r>
            <w:r>
              <w:rPr>
                <w:color w:val="auto"/>
              </w:rPr>
              <w:t>A</w:t>
            </w:r>
            <w:r>
              <w:rPr>
                <w:rFonts w:hint="eastAsia"/>
                <w:color w:val="auto"/>
              </w:rPr>
              <w:t>），夜间</w:t>
            </w:r>
            <w:r>
              <w:rPr>
                <w:color w:val="auto"/>
              </w:rPr>
              <w:t>55 dB</w:t>
            </w:r>
            <w:r>
              <w:rPr>
                <w:rFonts w:hint="eastAsia"/>
                <w:color w:val="auto"/>
              </w:rPr>
              <w:t>（</w:t>
            </w:r>
            <w:r>
              <w:rPr>
                <w:color w:val="auto"/>
              </w:rPr>
              <w:t>A</w:t>
            </w:r>
            <w:r>
              <w:rPr>
                <w:rFonts w:hint="eastAsia"/>
                <w:color w:val="auto"/>
              </w:rPr>
              <w:t>）</w:t>
            </w:r>
          </w:p>
        </w:tc>
        <w:tc>
          <w:tcPr>
            <w:tcW w:w="2018" w:type="dxa"/>
            <w:tcBorders>
              <w:top w:val="single" w:color="auto" w:sz="6" w:space="0"/>
              <w:left w:val="single" w:color="auto" w:sz="6" w:space="0"/>
              <w:bottom w:val="single" w:color="auto" w:sz="12" w:space="0"/>
              <w:right w:val="nil"/>
            </w:tcBorders>
            <w:vAlign w:val="center"/>
          </w:tcPr>
          <w:p>
            <w:pPr>
              <w:pStyle w:val="41"/>
              <w:rPr>
                <w:color w:val="auto"/>
              </w:rPr>
            </w:pPr>
            <w:r>
              <w:rPr>
                <w:rFonts w:hint="eastAsia"/>
                <w:color w:val="auto"/>
              </w:rPr>
              <w:t>企业自行委托监测</w:t>
            </w:r>
          </w:p>
        </w:tc>
      </w:tr>
    </w:tbl>
    <w:p>
      <w:pPr>
        <w:pStyle w:val="79"/>
        <w:ind w:firstLine="465" w:firstLineChars="0"/>
        <w:jc w:val="center"/>
        <w:rPr>
          <w:rFonts w:cs="Times New Roman"/>
          <w:b/>
          <w:color w:val="auto"/>
          <w:highlight w:val="yellow"/>
        </w:rPr>
      </w:pPr>
    </w:p>
    <w:p>
      <w:pPr>
        <w:pStyle w:val="79"/>
        <w:ind w:firstLine="465" w:firstLineChars="0"/>
        <w:jc w:val="center"/>
        <w:rPr>
          <w:rFonts w:cs="Times New Roman"/>
          <w:b/>
          <w:color w:val="auto"/>
          <w:highlight w:val="yellow"/>
        </w:rPr>
      </w:pPr>
    </w:p>
    <w:p>
      <w:pPr>
        <w:pStyle w:val="79"/>
        <w:ind w:firstLine="465" w:firstLineChars="0"/>
        <w:jc w:val="center"/>
        <w:rPr>
          <w:rFonts w:cs="Times New Roman"/>
          <w:b/>
          <w:color w:val="auto"/>
          <w:highlight w:val="yellow"/>
        </w:rPr>
      </w:pPr>
    </w:p>
    <w:p>
      <w:pPr>
        <w:pStyle w:val="79"/>
        <w:ind w:firstLine="465" w:firstLineChars="0"/>
        <w:jc w:val="center"/>
        <w:rPr>
          <w:rFonts w:hint="eastAsia" w:cs="Times New Roman"/>
          <w:b/>
          <w:color w:val="auto"/>
          <w:highlight w:val="yellow"/>
        </w:rPr>
      </w:pPr>
    </w:p>
    <w:p>
      <w:pPr>
        <w:pStyle w:val="79"/>
        <w:ind w:firstLine="465" w:firstLineChars="0"/>
        <w:jc w:val="center"/>
        <w:rPr>
          <w:rFonts w:cs="Times New Roman"/>
          <w:b/>
          <w:color w:val="auto"/>
        </w:rPr>
      </w:pPr>
      <w:r>
        <w:rPr>
          <w:rFonts w:cs="Times New Roman"/>
          <w:b/>
          <w:color w:val="auto"/>
        </w:rPr>
        <w:t>表</w:t>
      </w:r>
      <w:r>
        <w:rPr>
          <w:rFonts w:hint="eastAsia" w:cs="Times New Roman"/>
          <w:b/>
          <w:color w:val="auto"/>
        </w:rPr>
        <w:t>11</w:t>
      </w:r>
      <w:r>
        <w:rPr>
          <w:rFonts w:cs="Times New Roman"/>
          <w:b/>
          <w:color w:val="auto"/>
        </w:rPr>
        <w:t>.3-2运营期环境现状监测计划</w:t>
      </w:r>
    </w:p>
    <w:tbl>
      <w:tblPr>
        <w:tblStyle w:val="22"/>
        <w:tblW w:w="14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567"/>
        <w:gridCol w:w="2475"/>
        <w:gridCol w:w="2520"/>
        <w:gridCol w:w="2355"/>
        <w:gridCol w:w="3720"/>
        <w:gridCol w:w="1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c>
          <w:tcPr>
            <w:tcW w:w="1567" w:type="dxa"/>
            <w:tcBorders>
              <w:tl2br w:val="nil"/>
              <w:tr2bl w:val="nil"/>
            </w:tcBorders>
            <w:vAlign w:val="center"/>
          </w:tcPr>
          <w:p>
            <w:pPr>
              <w:pStyle w:val="79"/>
              <w:spacing w:before="120" w:after="120" w:line="240" w:lineRule="auto"/>
              <w:ind w:firstLine="0" w:firstLineChars="0"/>
              <w:jc w:val="center"/>
              <w:rPr>
                <w:rFonts w:cs="Times New Roman"/>
                <w:color w:val="auto"/>
                <w:sz w:val="21"/>
                <w:szCs w:val="21"/>
              </w:rPr>
            </w:pPr>
            <w:r>
              <w:rPr>
                <w:rFonts w:hint="eastAsia" w:cs="Times New Roman"/>
                <w:color w:val="auto"/>
                <w:sz w:val="21"/>
                <w:szCs w:val="21"/>
              </w:rPr>
              <w:t>污染物</w:t>
            </w:r>
          </w:p>
        </w:tc>
        <w:tc>
          <w:tcPr>
            <w:tcW w:w="2475" w:type="dxa"/>
            <w:tcBorders>
              <w:tl2br w:val="nil"/>
              <w:tr2bl w:val="nil"/>
            </w:tcBorders>
            <w:vAlign w:val="center"/>
          </w:tcPr>
          <w:p>
            <w:pPr>
              <w:pStyle w:val="79"/>
              <w:spacing w:line="240" w:lineRule="auto"/>
              <w:ind w:firstLine="0" w:firstLineChars="0"/>
              <w:jc w:val="center"/>
              <w:rPr>
                <w:rFonts w:cs="Times New Roman"/>
                <w:color w:val="auto"/>
                <w:sz w:val="21"/>
                <w:szCs w:val="21"/>
              </w:rPr>
            </w:pPr>
            <w:r>
              <w:rPr>
                <w:rFonts w:hint="eastAsia" w:cs="Times New Roman"/>
                <w:color w:val="auto"/>
                <w:sz w:val="21"/>
                <w:szCs w:val="21"/>
              </w:rPr>
              <w:t>监测点位</w:t>
            </w:r>
          </w:p>
        </w:tc>
        <w:tc>
          <w:tcPr>
            <w:tcW w:w="2520" w:type="dxa"/>
            <w:tcBorders>
              <w:tl2br w:val="nil"/>
              <w:tr2bl w:val="nil"/>
            </w:tcBorders>
            <w:vAlign w:val="center"/>
          </w:tcPr>
          <w:p>
            <w:pPr>
              <w:pStyle w:val="79"/>
              <w:spacing w:line="240" w:lineRule="auto"/>
              <w:ind w:firstLine="0" w:firstLineChars="0"/>
              <w:jc w:val="center"/>
              <w:rPr>
                <w:rFonts w:cs="Times New Roman"/>
                <w:color w:val="auto"/>
                <w:sz w:val="21"/>
                <w:szCs w:val="21"/>
              </w:rPr>
            </w:pPr>
            <w:r>
              <w:rPr>
                <w:rFonts w:hint="eastAsia" w:cs="Times New Roman"/>
                <w:color w:val="auto"/>
                <w:sz w:val="21"/>
                <w:szCs w:val="21"/>
              </w:rPr>
              <w:t>监测项目</w:t>
            </w:r>
          </w:p>
        </w:tc>
        <w:tc>
          <w:tcPr>
            <w:tcW w:w="2355" w:type="dxa"/>
            <w:tcBorders>
              <w:tl2br w:val="nil"/>
              <w:tr2bl w:val="nil"/>
            </w:tcBorders>
            <w:vAlign w:val="center"/>
          </w:tcPr>
          <w:p>
            <w:pPr>
              <w:pStyle w:val="79"/>
              <w:spacing w:line="240" w:lineRule="auto"/>
              <w:ind w:firstLine="0" w:firstLineChars="0"/>
              <w:jc w:val="center"/>
              <w:rPr>
                <w:rFonts w:cs="Times New Roman"/>
                <w:color w:val="auto"/>
                <w:sz w:val="21"/>
                <w:szCs w:val="21"/>
              </w:rPr>
            </w:pPr>
            <w:r>
              <w:rPr>
                <w:rFonts w:hint="eastAsia" w:cs="Times New Roman"/>
                <w:color w:val="auto"/>
                <w:sz w:val="21"/>
                <w:szCs w:val="21"/>
              </w:rPr>
              <w:t>监测频率</w:t>
            </w:r>
          </w:p>
        </w:tc>
        <w:tc>
          <w:tcPr>
            <w:tcW w:w="3720" w:type="dxa"/>
            <w:tcBorders>
              <w:tl2br w:val="nil"/>
              <w:tr2bl w:val="nil"/>
            </w:tcBorders>
            <w:vAlign w:val="center"/>
          </w:tcPr>
          <w:p>
            <w:pPr>
              <w:pStyle w:val="79"/>
              <w:spacing w:line="240" w:lineRule="auto"/>
              <w:ind w:firstLine="0" w:firstLineChars="0"/>
              <w:jc w:val="center"/>
              <w:rPr>
                <w:rFonts w:cs="Times New Roman"/>
                <w:color w:val="auto"/>
                <w:sz w:val="21"/>
                <w:szCs w:val="21"/>
              </w:rPr>
            </w:pPr>
            <w:r>
              <w:rPr>
                <w:rFonts w:hint="eastAsia" w:cs="Times New Roman"/>
                <w:color w:val="auto"/>
                <w:sz w:val="21"/>
                <w:szCs w:val="21"/>
              </w:rPr>
              <w:t>执行标准</w:t>
            </w:r>
          </w:p>
        </w:tc>
        <w:tc>
          <w:tcPr>
            <w:tcW w:w="1583" w:type="dxa"/>
            <w:tcBorders>
              <w:tl2br w:val="nil"/>
              <w:tr2bl w:val="nil"/>
            </w:tcBorders>
            <w:vAlign w:val="center"/>
          </w:tcPr>
          <w:p>
            <w:pPr>
              <w:pStyle w:val="79"/>
              <w:spacing w:line="240" w:lineRule="auto"/>
              <w:ind w:firstLine="0" w:firstLineChars="0"/>
              <w:jc w:val="center"/>
              <w:rPr>
                <w:rFonts w:cs="Times New Roman"/>
                <w:color w:val="auto"/>
                <w:sz w:val="21"/>
                <w:szCs w:val="21"/>
              </w:rPr>
            </w:pPr>
            <w:r>
              <w:rPr>
                <w:rFonts w:hint="eastAsia" w:cs="Times New Roman"/>
                <w:color w:val="auto"/>
                <w:sz w:val="21"/>
                <w:szCs w:val="21"/>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c>
          <w:tcPr>
            <w:tcW w:w="1567" w:type="dxa"/>
            <w:tcBorders>
              <w:tl2br w:val="nil"/>
              <w:tr2bl w:val="nil"/>
            </w:tcBorders>
            <w:vAlign w:val="center"/>
          </w:tcPr>
          <w:p>
            <w:pPr>
              <w:pStyle w:val="69"/>
              <w:spacing w:line="240" w:lineRule="auto"/>
              <w:ind w:firstLine="0" w:firstLineChars="0"/>
              <w:jc w:val="center"/>
              <w:rPr>
                <w:color w:val="auto"/>
                <w:kern w:val="2"/>
                <w:sz w:val="21"/>
                <w:szCs w:val="21"/>
              </w:rPr>
            </w:pPr>
            <w:r>
              <w:rPr>
                <w:rFonts w:hint="eastAsia"/>
                <w:color w:val="auto"/>
                <w:kern w:val="2"/>
                <w:sz w:val="21"/>
                <w:szCs w:val="21"/>
              </w:rPr>
              <w:t>环境空气</w:t>
            </w:r>
          </w:p>
        </w:tc>
        <w:tc>
          <w:tcPr>
            <w:tcW w:w="11070" w:type="dxa"/>
            <w:gridSpan w:val="4"/>
            <w:tcBorders>
              <w:tl2br w:val="nil"/>
              <w:tr2bl w:val="nil"/>
            </w:tcBorders>
            <w:vAlign w:val="center"/>
          </w:tcPr>
          <w:p>
            <w:pPr>
              <w:pStyle w:val="69"/>
              <w:spacing w:line="240" w:lineRule="auto"/>
              <w:ind w:firstLine="0" w:firstLineChars="0"/>
              <w:jc w:val="center"/>
              <w:rPr>
                <w:color w:val="auto"/>
                <w:kern w:val="2"/>
                <w:sz w:val="21"/>
                <w:szCs w:val="21"/>
              </w:rPr>
            </w:pPr>
            <w:r>
              <w:rPr>
                <w:rFonts w:hint="eastAsia"/>
                <w:color w:val="auto"/>
                <w:kern w:val="2"/>
                <w:sz w:val="21"/>
                <w:szCs w:val="21"/>
              </w:rPr>
              <w:t>根据新导则环境质量现状监测项目排放污染物</w:t>
            </w:r>
            <w:r>
              <w:rPr>
                <w:color w:val="auto"/>
                <w:kern w:val="2"/>
                <w:sz w:val="21"/>
                <w:szCs w:val="21"/>
              </w:rPr>
              <w:t>Pi</w:t>
            </w:r>
            <w:r>
              <w:rPr>
                <w:rFonts w:hint="eastAsia"/>
                <w:color w:val="auto"/>
                <w:kern w:val="2"/>
                <w:sz w:val="21"/>
                <w:szCs w:val="21"/>
              </w:rPr>
              <w:t>≥</w:t>
            </w:r>
            <w:r>
              <w:rPr>
                <w:color w:val="auto"/>
                <w:kern w:val="2"/>
                <w:sz w:val="21"/>
                <w:szCs w:val="21"/>
              </w:rPr>
              <w:t>1%</w:t>
            </w:r>
            <w:r>
              <w:rPr>
                <w:rFonts w:hint="eastAsia"/>
                <w:color w:val="auto"/>
                <w:kern w:val="2"/>
                <w:sz w:val="21"/>
                <w:szCs w:val="21"/>
              </w:rPr>
              <w:t>的其他污染物，本项目要求监测氯化氢、氟化物</w:t>
            </w:r>
          </w:p>
        </w:tc>
        <w:tc>
          <w:tcPr>
            <w:tcW w:w="1583" w:type="dxa"/>
            <w:vMerge w:val="restart"/>
            <w:tcBorders>
              <w:tl2br w:val="nil"/>
              <w:tr2bl w:val="nil"/>
            </w:tcBorders>
            <w:vAlign w:val="center"/>
          </w:tcPr>
          <w:p>
            <w:pPr>
              <w:pStyle w:val="69"/>
              <w:spacing w:line="240" w:lineRule="auto"/>
              <w:ind w:firstLine="0" w:firstLineChars="0"/>
              <w:jc w:val="center"/>
              <w:rPr>
                <w:color w:val="auto"/>
                <w:kern w:val="2"/>
                <w:sz w:val="21"/>
                <w:szCs w:val="21"/>
              </w:rPr>
            </w:pPr>
            <w:r>
              <w:rPr>
                <w:rFonts w:hint="eastAsia"/>
                <w:color w:val="auto"/>
                <w:kern w:val="2"/>
                <w:sz w:val="21"/>
                <w:szCs w:val="21"/>
              </w:rPr>
              <w:t>由集控中心统一委托检测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c>
          <w:tcPr>
            <w:tcW w:w="1567" w:type="dxa"/>
            <w:tcBorders>
              <w:tl2br w:val="nil"/>
              <w:tr2bl w:val="nil"/>
            </w:tcBorders>
            <w:vAlign w:val="center"/>
          </w:tcPr>
          <w:p>
            <w:pPr>
              <w:pStyle w:val="69"/>
              <w:spacing w:line="240" w:lineRule="auto"/>
              <w:ind w:firstLine="0" w:firstLineChars="0"/>
              <w:jc w:val="center"/>
              <w:rPr>
                <w:color w:val="auto"/>
                <w:kern w:val="2"/>
                <w:sz w:val="21"/>
                <w:szCs w:val="21"/>
                <w:highlight w:val="none"/>
              </w:rPr>
            </w:pPr>
            <w:r>
              <w:rPr>
                <w:rFonts w:hint="eastAsia"/>
                <w:color w:val="auto"/>
                <w:kern w:val="2"/>
                <w:sz w:val="21"/>
                <w:szCs w:val="21"/>
                <w:highlight w:val="none"/>
              </w:rPr>
              <w:t>地表水</w:t>
            </w:r>
          </w:p>
        </w:tc>
        <w:tc>
          <w:tcPr>
            <w:tcW w:w="2475" w:type="dxa"/>
            <w:tcBorders>
              <w:tl2br w:val="nil"/>
              <w:tr2bl w:val="nil"/>
            </w:tcBorders>
            <w:vAlign w:val="center"/>
          </w:tcPr>
          <w:p>
            <w:pPr>
              <w:pStyle w:val="69"/>
              <w:spacing w:line="240" w:lineRule="auto"/>
              <w:ind w:firstLine="0" w:firstLineChars="0"/>
              <w:jc w:val="center"/>
              <w:rPr>
                <w:color w:val="auto"/>
                <w:kern w:val="2"/>
                <w:sz w:val="21"/>
                <w:szCs w:val="21"/>
                <w:highlight w:val="none"/>
              </w:rPr>
            </w:pPr>
            <w:r>
              <w:rPr>
                <w:rFonts w:hint="eastAsia"/>
                <w:color w:val="auto"/>
                <w:kern w:val="2"/>
                <w:sz w:val="21"/>
                <w:szCs w:val="21"/>
                <w:highlight w:val="none"/>
              </w:rPr>
              <w:t>与本环评监测点位一致，监测柏洋溪、滞洪区排海口断面，点位见图</w:t>
            </w:r>
            <w:r>
              <w:rPr>
                <w:color w:val="auto"/>
                <w:kern w:val="2"/>
                <w:sz w:val="21"/>
                <w:szCs w:val="21"/>
                <w:highlight w:val="none"/>
              </w:rPr>
              <w:t>3.2-1</w:t>
            </w:r>
          </w:p>
        </w:tc>
        <w:tc>
          <w:tcPr>
            <w:tcW w:w="2520" w:type="dxa"/>
            <w:tcBorders>
              <w:tl2br w:val="nil"/>
              <w:tr2bl w:val="nil"/>
            </w:tcBorders>
            <w:vAlign w:val="center"/>
          </w:tcPr>
          <w:p>
            <w:pPr>
              <w:pStyle w:val="69"/>
              <w:spacing w:line="240" w:lineRule="auto"/>
              <w:ind w:firstLine="0" w:firstLineChars="0"/>
              <w:jc w:val="center"/>
              <w:rPr>
                <w:color w:val="auto"/>
                <w:kern w:val="2"/>
                <w:sz w:val="21"/>
                <w:szCs w:val="21"/>
                <w:highlight w:val="none"/>
              </w:rPr>
            </w:pPr>
            <w:r>
              <w:rPr>
                <w:color w:val="auto"/>
                <w:kern w:val="2"/>
                <w:sz w:val="21"/>
                <w:szCs w:val="21"/>
                <w:highlight w:val="none"/>
              </w:rPr>
              <w:t>pH</w:t>
            </w:r>
            <w:r>
              <w:rPr>
                <w:rFonts w:hint="eastAsia"/>
                <w:color w:val="auto"/>
                <w:kern w:val="2"/>
                <w:sz w:val="21"/>
                <w:szCs w:val="21"/>
                <w:highlight w:val="none"/>
              </w:rPr>
              <w:t>、</w:t>
            </w:r>
            <w:r>
              <w:rPr>
                <w:color w:val="auto"/>
                <w:kern w:val="2"/>
                <w:sz w:val="21"/>
                <w:szCs w:val="21"/>
                <w:highlight w:val="none"/>
              </w:rPr>
              <w:t>COD</w:t>
            </w:r>
            <w:r>
              <w:rPr>
                <w:rFonts w:hint="eastAsia"/>
                <w:color w:val="auto"/>
                <w:kern w:val="2"/>
                <w:sz w:val="21"/>
                <w:szCs w:val="21"/>
                <w:highlight w:val="none"/>
              </w:rPr>
              <w:t>、石油类、氨氮、总铬、六价铬、总镍、总氰化物</w:t>
            </w:r>
          </w:p>
        </w:tc>
        <w:tc>
          <w:tcPr>
            <w:tcW w:w="2355" w:type="dxa"/>
            <w:tcBorders>
              <w:tl2br w:val="nil"/>
              <w:tr2bl w:val="nil"/>
            </w:tcBorders>
            <w:vAlign w:val="center"/>
          </w:tcPr>
          <w:p>
            <w:pPr>
              <w:pStyle w:val="79"/>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每年监测一次，每次监测</w:t>
            </w:r>
            <w:r>
              <w:rPr>
                <w:rFonts w:cs="Times New Roman"/>
                <w:color w:val="auto"/>
                <w:sz w:val="21"/>
                <w:szCs w:val="21"/>
                <w:highlight w:val="none"/>
              </w:rPr>
              <w:t>2</w:t>
            </w:r>
            <w:r>
              <w:rPr>
                <w:rFonts w:hint="eastAsia" w:cs="Times New Roman"/>
                <w:color w:val="auto"/>
                <w:sz w:val="21"/>
                <w:szCs w:val="21"/>
                <w:highlight w:val="none"/>
              </w:rPr>
              <w:t>天，</w:t>
            </w:r>
            <w:r>
              <w:rPr>
                <w:rFonts w:cs="Times New Roman"/>
                <w:color w:val="auto"/>
                <w:sz w:val="21"/>
                <w:szCs w:val="21"/>
                <w:highlight w:val="none"/>
              </w:rPr>
              <w:t>1</w:t>
            </w:r>
            <w:r>
              <w:rPr>
                <w:rFonts w:hint="eastAsia" w:cs="Times New Roman"/>
                <w:color w:val="auto"/>
                <w:sz w:val="21"/>
                <w:szCs w:val="21"/>
                <w:highlight w:val="none"/>
              </w:rPr>
              <w:t>次</w:t>
            </w:r>
            <w:r>
              <w:rPr>
                <w:rFonts w:cs="Times New Roman"/>
                <w:color w:val="auto"/>
                <w:sz w:val="21"/>
                <w:szCs w:val="21"/>
                <w:highlight w:val="none"/>
              </w:rPr>
              <w:t>/</w:t>
            </w:r>
            <w:r>
              <w:rPr>
                <w:rFonts w:hint="eastAsia" w:cs="Times New Roman"/>
                <w:color w:val="auto"/>
                <w:sz w:val="21"/>
                <w:szCs w:val="21"/>
                <w:highlight w:val="none"/>
              </w:rPr>
              <w:t>天</w:t>
            </w:r>
          </w:p>
        </w:tc>
        <w:tc>
          <w:tcPr>
            <w:tcW w:w="3720" w:type="dxa"/>
            <w:tcBorders>
              <w:tl2br w:val="nil"/>
              <w:tr2bl w:val="nil"/>
            </w:tcBorders>
            <w:vAlign w:val="center"/>
          </w:tcPr>
          <w:p>
            <w:pPr>
              <w:pStyle w:val="69"/>
              <w:spacing w:line="240" w:lineRule="auto"/>
              <w:ind w:firstLine="0" w:firstLineChars="0"/>
              <w:jc w:val="center"/>
              <w:rPr>
                <w:color w:val="auto"/>
                <w:kern w:val="2"/>
                <w:sz w:val="21"/>
                <w:szCs w:val="21"/>
              </w:rPr>
            </w:pPr>
            <w:r>
              <w:rPr>
                <w:rFonts w:hint="eastAsia" w:ascii="宋体" w:hAnsi="宋体" w:cs="宋体"/>
                <w:color w:val="auto"/>
                <w:kern w:val="2"/>
                <w:sz w:val="21"/>
                <w:szCs w:val="21"/>
              </w:rPr>
              <w:t>《地表水环境质量标准》（</w:t>
            </w:r>
            <w:r>
              <w:rPr>
                <w:color w:val="auto"/>
                <w:kern w:val="2"/>
                <w:sz w:val="21"/>
                <w:szCs w:val="21"/>
              </w:rPr>
              <w:t>GB3838-2002</w:t>
            </w:r>
            <w:r>
              <w:rPr>
                <w:rFonts w:hint="eastAsia" w:ascii="宋体" w:hAnsi="宋体" w:cs="宋体"/>
                <w:color w:val="auto"/>
                <w:kern w:val="2"/>
                <w:sz w:val="21"/>
                <w:szCs w:val="21"/>
              </w:rPr>
              <w:t>）表</w:t>
            </w:r>
            <w:r>
              <w:rPr>
                <w:color w:val="auto"/>
                <w:kern w:val="2"/>
                <w:sz w:val="21"/>
                <w:szCs w:val="21"/>
              </w:rPr>
              <w:t>1</w:t>
            </w:r>
            <w:r>
              <w:rPr>
                <w:rFonts w:hint="eastAsia" w:ascii="宋体" w:hAnsi="宋体" w:cs="宋体"/>
                <w:color w:val="auto"/>
                <w:kern w:val="2"/>
                <w:sz w:val="21"/>
                <w:szCs w:val="21"/>
              </w:rPr>
              <w:t>中Ⅲ类水质标准</w:t>
            </w:r>
          </w:p>
        </w:tc>
        <w:tc>
          <w:tcPr>
            <w:tcW w:w="1583" w:type="dxa"/>
            <w:tcBorders>
              <w:tl2br w:val="nil"/>
              <w:tr2bl w:val="nil"/>
            </w:tcBorders>
            <w:vAlign w:val="center"/>
          </w:tcPr>
          <w:p>
            <w:pPr>
              <w:widowControl/>
              <w:jc w:val="center"/>
              <w:rPr>
                <w:color w:val="auto"/>
                <w:szCs w:val="21"/>
                <w:highlight w:val="yellow"/>
              </w:rPr>
            </w:pPr>
            <w:r>
              <w:rPr>
                <w:rFonts w:hint="eastAsia"/>
                <w:color w:val="auto"/>
                <w:kern w:val="2"/>
                <w:sz w:val="21"/>
                <w:szCs w:val="21"/>
              </w:rPr>
              <w:t>由集控中心统一委托检测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c>
          <w:tcPr>
            <w:tcW w:w="1567" w:type="dxa"/>
            <w:tcBorders>
              <w:tl2br w:val="nil"/>
              <w:tr2bl w:val="nil"/>
            </w:tcBorders>
            <w:vAlign w:val="center"/>
          </w:tcPr>
          <w:p>
            <w:pPr>
              <w:pStyle w:val="79"/>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地下水</w:t>
            </w:r>
          </w:p>
        </w:tc>
        <w:tc>
          <w:tcPr>
            <w:tcW w:w="2475" w:type="dxa"/>
            <w:tcBorders>
              <w:tl2br w:val="nil"/>
              <w:tr2bl w:val="nil"/>
            </w:tcBorders>
            <w:vAlign w:val="center"/>
          </w:tcPr>
          <w:p>
            <w:pPr>
              <w:pStyle w:val="79"/>
              <w:spacing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依托集控中心的监控井</w:t>
            </w:r>
          </w:p>
        </w:tc>
        <w:tc>
          <w:tcPr>
            <w:tcW w:w="2520" w:type="dxa"/>
            <w:tcBorders>
              <w:tl2br w:val="nil"/>
              <w:tr2bl w:val="nil"/>
            </w:tcBorders>
            <w:vAlign w:val="center"/>
          </w:tcPr>
          <w:p>
            <w:pPr>
              <w:pStyle w:val="79"/>
              <w:spacing w:line="240" w:lineRule="auto"/>
              <w:ind w:firstLine="0" w:firstLineChars="0"/>
              <w:jc w:val="center"/>
              <w:rPr>
                <w:rFonts w:cs="Times New Roman"/>
                <w:color w:val="auto"/>
                <w:sz w:val="21"/>
                <w:szCs w:val="21"/>
                <w:highlight w:val="none"/>
              </w:rPr>
            </w:pPr>
            <w:r>
              <w:rPr>
                <w:rFonts w:cs="Times New Roman"/>
                <w:color w:val="auto"/>
                <w:sz w:val="21"/>
                <w:szCs w:val="21"/>
                <w:highlight w:val="none"/>
              </w:rPr>
              <w:t>pH</w:t>
            </w:r>
            <w:r>
              <w:rPr>
                <w:rFonts w:hint="eastAsia" w:cs="Times New Roman"/>
                <w:color w:val="auto"/>
                <w:sz w:val="21"/>
                <w:szCs w:val="21"/>
                <w:highlight w:val="none"/>
              </w:rPr>
              <w:t>、氨氮、耗氧量、总硬度、硫酸盐、亚硝酸盐、总铬、总镍、</w:t>
            </w:r>
            <w:r>
              <w:rPr>
                <w:rFonts w:hint="eastAsia" w:cs="Times New Roman"/>
                <w:color w:val="auto"/>
                <w:sz w:val="21"/>
                <w:szCs w:val="21"/>
                <w:highlight w:val="none"/>
                <w:lang w:eastAsia="zh-CN"/>
              </w:rPr>
              <w:t>总铜、</w:t>
            </w:r>
            <w:r>
              <w:rPr>
                <w:rFonts w:hint="eastAsia" w:cs="Times New Roman"/>
                <w:color w:val="auto"/>
                <w:sz w:val="21"/>
                <w:szCs w:val="21"/>
                <w:highlight w:val="none"/>
              </w:rPr>
              <w:t>总氰化物</w:t>
            </w:r>
          </w:p>
        </w:tc>
        <w:tc>
          <w:tcPr>
            <w:tcW w:w="2355" w:type="dxa"/>
            <w:tcBorders>
              <w:tl2br w:val="nil"/>
              <w:tr2bl w:val="nil"/>
            </w:tcBorders>
            <w:vAlign w:val="center"/>
          </w:tcPr>
          <w:p>
            <w:pPr>
              <w:pStyle w:val="79"/>
              <w:spacing w:before="120" w:after="120" w:line="240" w:lineRule="auto"/>
              <w:ind w:firstLine="0" w:firstLineChars="0"/>
              <w:jc w:val="center"/>
              <w:rPr>
                <w:rFonts w:cs="Times New Roman"/>
                <w:color w:val="auto"/>
                <w:sz w:val="21"/>
                <w:szCs w:val="21"/>
                <w:highlight w:val="none"/>
              </w:rPr>
            </w:pPr>
            <w:r>
              <w:rPr>
                <w:rFonts w:hint="eastAsia" w:cs="Times New Roman"/>
                <w:color w:val="auto"/>
                <w:sz w:val="21"/>
                <w:szCs w:val="21"/>
                <w:highlight w:val="none"/>
              </w:rPr>
              <w:t>每年一次，每次监测</w:t>
            </w:r>
            <w:r>
              <w:rPr>
                <w:rFonts w:cs="Times New Roman"/>
                <w:color w:val="auto"/>
                <w:sz w:val="21"/>
                <w:szCs w:val="21"/>
                <w:highlight w:val="none"/>
              </w:rPr>
              <w:t>2</w:t>
            </w:r>
            <w:r>
              <w:rPr>
                <w:rFonts w:hint="eastAsia" w:cs="Times New Roman"/>
                <w:color w:val="auto"/>
                <w:sz w:val="21"/>
                <w:szCs w:val="21"/>
                <w:highlight w:val="none"/>
              </w:rPr>
              <w:t>天，</w:t>
            </w:r>
            <w:r>
              <w:rPr>
                <w:rFonts w:cs="Times New Roman"/>
                <w:color w:val="auto"/>
                <w:sz w:val="21"/>
                <w:szCs w:val="21"/>
                <w:highlight w:val="none"/>
              </w:rPr>
              <w:t>1</w:t>
            </w:r>
            <w:r>
              <w:rPr>
                <w:rFonts w:hint="eastAsia" w:cs="Times New Roman"/>
                <w:color w:val="auto"/>
                <w:sz w:val="21"/>
                <w:szCs w:val="21"/>
                <w:highlight w:val="none"/>
              </w:rPr>
              <w:t>次</w:t>
            </w:r>
            <w:r>
              <w:rPr>
                <w:rFonts w:cs="Times New Roman"/>
                <w:color w:val="auto"/>
                <w:sz w:val="21"/>
                <w:szCs w:val="21"/>
                <w:highlight w:val="none"/>
              </w:rPr>
              <w:t>/</w:t>
            </w:r>
            <w:r>
              <w:rPr>
                <w:rFonts w:hint="eastAsia" w:cs="Times New Roman"/>
                <w:color w:val="auto"/>
                <w:sz w:val="21"/>
                <w:szCs w:val="21"/>
                <w:highlight w:val="none"/>
              </w:rPr>
              <w:t>天</w:t>
            </w:r>
          </w:p>
        </w:tc>
        <w:tc>
          <w:tcPr>
            <w:tcW w:w="3720" w:type="dxa"/>
            <w:tcBorders>
              <w:tl2br w:val="nil"/>
              <w:tr2bl w:val="nil"/>
            </w:tcBorders>
            <w:vAlign w:val="center"/>
          </w:tcPr>
          <w:p>
            <w:pPr>
              <w:pStyle w:val="69"/>
              <w:spacing w:line="240" w:lineRule="auto"/>
              <w:ind w:firstLine="0" w:firstLineChars="0"/>
              <w:jc w:val="center"/>
              <w:rPr>
                <w:color w:val="auto"/>
                <w:kern w:val="2"/>
                <w:sz w:val="21"/>
                <w:szCs w:val="21"/>
              </w:rPr>
            </w:pPr>
            <w:r>
              <w:rPr>
                <w:rFonts w:hint="eastAsia" w:ascii="宋体" w:hAnsi="宋体" w:cs="宋体"/>
                <w:color w:val="auto"/>
                <w:kern w:val="2"/>
                <w:sz w:val="21"/>
                <w:szCs w:val="21"/>
              </w:rPr>
              <w:t>《地下水质量标准》（</w:t>
            </w:r>
            <w:r>
              <w:rPr>
                <w:color w:val="auto"/>
                <w:kern w:val="2"/>
                <w:sz w:val="21"/>
                <w:szCs w:val="21"/>
              </w:rPr>
              <w:t>GB/T14848-2017</w:t>
            </w:r>
            <w:r>
              <w:rPr>
                <w:rFonts w:hint="eastAsia" w:ascii="宋体" w:hAnsi="宋体" w:cs="宋体"/>
                <w:color w:val="auto"/>
                <w:kern w:val="2"/>
                <w:sz w:val="21"/>
                <w:szCs w:val="21"/>
              </w:rPr>
              <w:t>）中的Ⅲ类标准</w:t>
            </w:r>
          </w:p>
        </w:tc>
        <w:tc>
          <w:tcPr>
            <w:tcW w:w="1583" w:type="dxa"/>
            <w:tcBorders>
              <w:tl2br w:val="nil"/>
              <w:tr2bl w:val="nil"/>
            </w:tcBorders>
            <w:vAlign w:val="center"/>
          </w:tcPr>
          <w:p>
            <w:pPr>
              <w:widowControl/>
              <w:jc w:val="center"/>
              <w:rPr>
                <w:color w:val="auto"/>
                <w:szCs w:val="21"/>
                <w:highlight w:val="yellow"/>
              </w:rPr>
            </w:pPr>
            <w:r>
              <w:rPr>
                <w:rFonts w:hint="eastAsia"/>
                <w:color w:val="auto"/>
                <w:kern w:val="2"/>
                <w:sz w:val="21"/>
                <w:szCs w:val="21"/>
              </w:rPr>
              <w:t>由集控中心统一委托检测</w:t>
            </w:r>
          </w:p>
        </w:tc>
      </w:tr>
    </w:tbl>
    <w:p>
      <w:pPr>
        <w:pStyle w:val="79"/>
        <w:ind w:firstLine="465" w:firstLineChars="0"/>
        <w:rPr>
          <w:rFonts w:cs="Times New Roman"/>
          <w:color w:val="auto"/>
          <w:highlight w:val="yellow"/>
        </w:rPr>
        <w:sectPr>
          <w:pgSz w:w="16838" w:h="11906" w:orient="landscape"/>
          <w:pgMar w:top="1417" w:right="1418" w:bottom="1417" w:left="1418" w:header="851" w:footer="992" w:gutter="0"/>
          <w:pgBorders>
            <w:top w:val="none" w:sz="0" w:space="0"/>
            <w:left w:val="none" w:sz="0" w:space="0"/>
            <w:bottom w:val="none" w:sz="0" w:space="0"/>
            <w:right w:val="none" w:sz="0" w:space="0"/>
          </w:pgBorders>
          <w:cols w:space="0" w:num="1"/>
          <w:docGrid w:type="lines" w:linePitch="312" w:charSpace="0"/>
        </w:sectPr>
      </w:pPr>
    </w:p>
    <w:p>
      <w:pPr>
        <w:snapToGrid w:val="0"/>
        <w:spacing w:line="360" w:lineRule="auto"/>
        <w:outlineLvl w:val="0"/>
        <w:rPr>
          <w:color w:val="auto"/>
          <w:highlight w:val="yellow"/>
        </w:rPr>
      </w:pPr>
      <w:r>
        <w:rPr>
          <w:rFonts w:hint="eastAsia"/>
          <w:b/>
          <w:color w:val="auto"/>
          <w:sz w:val="32"/>
          <w:szCs w:val="32"/>
        </w:rPr>
        <w:t>十二、总量控制</w:t>
      </w:r>
    </w:p>
    <w:p>
      <w:pPr>
        <w:spacing w:line="360" w:lineRule="auto"/>
        <w:ind w:firstLine="480" w:firstLineChars="200"/>
        <w:rPr>
          <w:color w:val="auto"/>
          <w:kern w:val="0"/>
          <w:sz w:val="24"/>
        </w:rPr>
      </w:pPr>
      <w:r>
        <w:rPr>
          <w:rFonts w:hint="eastAsia"/>
          <w:color w:val="auto"/>
          <w:kern w:val="0"/>
          <w:sz w:val="24"/>
        </w:rPr>
        <w:t>根据《福建省人民政府关于印发福建省</w:t>
      </w:r>
      <w:r>
        <w:rPr>
          <w:color w:val="auto"/>
          <w:kern w:val="0"/>
          <w:sz w:val="24"/>
        </w:rPr>
        <w:t>“</w:t>
      </w:r>
      <w:r>
        <w:rPr>
          <w:rFonts w:hint="eastAsia"/>
          <w:color w:val="auto"/>
          <w:kern w:val="0"/>
          <w:sz w:val="24"/>
        </w:rPr>
        <w:t>十三五</w:t>
      </w:r>
      <w:r>
        <w:rPr>
          <w:color w:val="auto"/>
          <w:kern w:val="0"/>
          <w:sz w:val="24"/>
        </w:rPr>
        <w:t>”</w:t>
      </w:r>
      <w:r>
        <w:rPr>
          <w:rFonts w:hint="eastAsia"/>
          <w:color w:val="auto"/>
          <w:kern w:val="0"/>
          <w:sz w:val="24"/>
        </w:rPr>
        <w:t>节能减排综合性工作方案的通知》</w:t>
      </w:r>
      <w:r>
        <w:rPr>
          <w:color w:val="auto"/>
          <w:kern w:val="0"/>
          <w:sz w:val="24"/>
        </w:rPr>
        <w:t>(</w:t>
      </w:r>
      <w:r>
        <w:rPr>
          <w:rFonts w:hint="eastAsia"/>
          <w:color w:val="auto"/>
          <w:kern w:val="0"/>
          <w:sz w:val="24"/>
        </w:rPr>
        <w:t>闽政〔</w:t>
      </w:r>
      <w:r>
        <w:rPr>
          <w:color w:val="auto"/>
          <w:kern w:val="0"/>
          <w:sz w:val="24"/>
        </w:rPr>
        <w:t>2017</w:t>
      </w:r>
      <w:r>
        <w:rPr>
          <w:rFonts w:hint="eastAsia"/>
          <w:color w:val="auto"/>
          <w:kern w:val="0"/>
          <w:sz w:val="24"/>
        </w:rPr>
        <w:t>〕</w:t>
      </w:r>
      <w:r>
        <w:rPr>
          <w:color w:val="auto"/>
          <w:kern w:val="0"/>
          <w:sz w:val="24"/>
        </w:rPr>
        <w:t>29</w:t>
      </w:r>
      <w:r>
        <w:rPr>
          <w:rFonts w:hint="eastAsia"/>
          <w:color w:val="auto"/>
          <w:kern w:val="0"/>
          <w:sz w:val="24"/>
        </w:rPr>
        <w:t>号</w:t>
      </w:r>
      <w:r>
        <w:rPr>
          <w:color w:val="auto"/>
          <w:kern w:val="0"/>
          <w:sz w:val="24"/>
        </w:rPr>
        <w:t>)</w:t>
      </w:r>
      <w:r>
        <w:rPr>
          <w:rFonts w:hint="eastAsia"/>
          <w:color w:val="auto"/>
          <w:kern w:val="0"/>
          <w:sz w:val="24"/>
        </w:rPr>
        <w:t>及《福建省环保局关于做好建设项目环保审批污染物总量控制有关工作的通知》</w:t>
      </w:r>
      <w:r>
        <w:rPr>
          <w:color w:val="auto"/>
          <w:kern w:val="0"/>
          <w:sz w:val="24"/>
        </w:rPr>
        <w:t>(</w:t>
      </w:r>
      <w:r>
        <w:rPr>
          <w:rFonts w:hint="eastAsia"/>
          <w:color w:val="auto"/>
          <w:kern w:val="0"/>
          <w:sz w:val="24"/>
        </w:rPr>
        <w:t>闽环保监</w:t>
      </w:r>
      <w:r>
        <w:rPr>
          <w:color w:val="auto"/>
          <w:kern w:val="0"/>
          <w:sz w:val="24"/>
        </w:rPr>
        <w:t xml:space="preserve">[2007]52 </w:t>
      </w:r>
      <w:r>
        <w:rPr>
          <w:rFonts w:hint="eastAsia"/>
          <w:color w:val="auto"/>
          <w:kern w:val="0"/>
          <w:sz w:val="24"/>
        </w:rPr>
        <w:t>号</w:t>
      </w:r>
      <w:r>
        <w:rPr>
          <w:color w:val="auto"/>
          <w:kern w:val="0"/>
          <w:sz w:val="24"/>
        </w:rPr>
        <w:t>)</w:t>
      </w:r>
      <w:r>
        <w:rPr>
          <w:rFonts w:hint="eastAsia"/>
          <w:color w:val="auto"/>
          <w:kern w:val="0"/>
          <w:sz w:val="24"/>
        </w:rPr>
        <w:t>，福建省主要污染物排放总量指标包括</w:t>
      </w:r>
      <w:r>
        <w:rPr>
          <w:color w:val="auto"/>
          <w:kern w:val="0"/>
          <w:sz w:val="24"/>
        </w:rPr>
        <w:t>SO</w:t>
      </w:r>
      <w:r>
        <w:rPr>
          <w:color w:val="auto"/>
          <w:kern w:val="0"/>
          <w:sz w:val="24"/>
          <w:vertAlign w:val="subscript"/>
        </w:rPr>
        <w:t>2</w:t>
      </w:r>
      <w:r>
        <w:rPr>
          <w:rFonts w:hint="eastAsia"/>
          <w:color w:val="auto"/>
          <w:kern w:val="0"/>
          <w:sz w:val="24"/>
        </w:rPr>
        <w:t>、</w:t>
      </w:r>
      <w:r>
        <w:rPr>
          <w:color w:val="auto"/>
          <w:kern w:val="0"/>
          <w:sz w:val="24"/>
        </w:rPr>
        <w:t>NO</w:t>
      </w:r>
      <w:r>
        <w:rPr>
          <w:color w:val="auto"/>
          <w:kern w:val="0"/>
          <w:sz w:val="24"/>
          <w:vertAlign w:val="subscript"/>
        </w:rPr>
        <w:t>x</w:t>
      </w:r>
      <w:r>
        <w:rPr>
          <w:rFonts w:hint="eastAsia"/>
          <w:color w:val="auto"/>
          <w:kern w:val="0"/>
          <w:sz w:val="24"/>
        </w:rPr>
        <w:t>、</w:t>
      </w:r>
      <w:r>
        <w:rPr>
          <w:color w:val="auto"/>
          <w:kern w:val="0"/>
          <w:sz w:val="24"/>
        </w:rPr>
        <w:t>COD</w:t>
      </w:r>
      <w:r>
        <w:rPr>
          <w:rFonts w:hint="eastAsia"/>
          <w:color w:val="auto"/>
          <w:kern w:val="0"/>
          <w:sz w:val="24"/>
        </w:rPr>
        <w:t>及</w:t>
      </w:r>
      <w:r>
        <w:rPr>
          <w:color w:val="auto"/>
          <w:kern w:val="0"/>
          <w:sz w:val="24"/>
        </w:rPr>
        <w:t>NH</w:t>
      </w:r>
      <w:r>
        <w:rPr>
          <w:color w:val="auto"/>
          <w:kern w:val="0"/>
          <w:sz w:val="24"/>
          <w:vertAlign w:val="subscript"/>
        </w:rPr>
        <w:t>3</w:t>
      </w:r>
      <w:r>
        <w:rPr>
          <w:color w:val="auto"/>
          <w:kern w:val="0"/>
          <w:sz w:val="24"/>
        </w:rPr>
        <w:t>-N</w:t>
      </w:r>
      <w:r>
        <w:rPr>
          <w:rFonts w:hint="eastAsia"/>
          <w:color w:val="auto"/>
          <w:kern w:val="0"/>
          <w:sz w:val="24"/>
        </w:rPr>
        <w:t>；并参照《福建省重金属污染防治规划</w:t>
      </w:r>
      <w:r>
        <w:rPr>
          <w:color w:val="auto"/>
          <w:kern w:val="0"/>
          <w:sz w:val="24"/>
        </w:rPr>
        <w:t>(2011-2015</w:t>
      </w:r>
      <w:r>
        <w:rPr>
          <w:rFonts w:hint="eastAsia"/>
          <w:color w:val="auto"/>
          <w:kern w:val="0"/>
          <w:sz w:val="24"/>
        </w:rPr>
        <w:t>年</w:t>
      </w:r>
      <w:r>
        <w:rPr>
          <w:color w:val="auto"/>
          <w:kern w:val="0"/>
          <w:sz w:val="24"/>
        </w:rPr>
        <w:t>)</w:t>
      </w:r>
      <w:r>
        <w:rPr>
          <w:rFonts w:hint="eastAsia"/>
          <w:color w:val="auto"/>
          <w:kern w:val="0"/>
          <w:sz w:val="24"/>
        </w:rPr>
        <w:t>可知，重点防控的重金属污染物为铬、铅。</w:t>
      </w:r>
    </w:p>
    <w:p>
      <w:pPr>
        <w:spacing w:line="360" w:lineRule="auto"/>
        <w:ind w:firstLine="480" w:firstLineChars="200"/>
        <w:rPr>
          <w:color w:val="auto"/>
          <w:kern w:val="0"/>
          <w:sz w:val="24"/>
        </w:rPr>
      </w:pPr>
      <w:r>
        <w:rPr>
          <w:rFonts w:hint="eastAsia"/>
          <w:color w:val="auto"/>
          <w:kern w:val="0"/>
          <w:sz w:val="24"/>
        </w:rPr>
        <w:t>根据本项目排污特点，本项目污染物排放总量控制对象分为两类，一类是列为社会经济发展的限制性指标，另一类是本项目特征污染物，为非限制性指标，总量控制指标如下：</w:t>
      </w:r>
    </w:p>
    <w:p>
      <w:pPr>
        <w:spacing w:line="360" w:lineRule="auto"/>
        <w:ind w:firstLine="480" w:firstLineChars="200"/>
        <w:rPr>
          <w:color w:val="auto"/>
          <w:kern w:val="0"/>
          <w:sz w:val="24"/>
        </w:rPr>
      </w:pPr>
      <w:r>
        <w:rPr>
          <w:rFonts w:hint="eastAsia"/>
          <w:color w:val="auto"/>
          <w:kern w:val="0"/>
          <w:sz w:val="24"/>
        </w:rPr>
        <w:t>（</w:t>
      </w:r>
      <w:r>
        <w:rPr>
          <w:color w:val="auto"/>
          <w:kern w:val="0"/>
          <w:sz w:val="24"/>
        </w:rPr>
        <w:t>1</w:t>
      </w:r>
      <w:r>
        <w:rPr>
          <w:rFonts w:hint="eastAsia"/>
          <w:color w:val="auto"/>
          <w:kern w:val="0"/>
          <w:sz w:val="24"/>
        </w:rPr>
        <w:t>）限制性指标：废水</w:t>
      </w:r>
      <w:r>
        <w:rPr>
          <w:color w:val="auto"/>
          <w:kern w:val="0"/>
          <w:sz w:val="24"/>
        </w:rPr>
        <w:t>-</w:t>
      </w:r>
      <w:r>
        <w:rPr>
          <w:rFonts w:hint="eastAsia"/>
          <w:color w:val="auto"/>
          <w:kern w:val="0"/>
          <w:sz w:val="24"/>
        </w:rPr>
        <w:t>化学需氧量、氨氮、总铬。</w:t>
      </w:r>
    </w:p>
    <w:p>
      <w:pPr>
        <w:spacing w:line="360" w:lineRule="auto"/>
        <w:ind w:firstLine="480" w:firstLineChars="200"/>
        <w:rPr>
          <w:rFonts w:hint="eastAsia"/>
          <w:color w:val="auto"/>
          <w:kern w:val="0"/>
          <w:sz w:val="24"/>
        </w:rPr>
      </w:pPr>
      <w:r>
        <w:rPr>
          <w:rFonts w:hint="eastAsia"/>
          <w:color w:val="auto"/>
          <w:kern w:val="0"/>
          <w:sz w:val="24"/>
        </w:rPr>
        <w:t>（</w:t>
      </w:r>
      <w:r>
        <w:rPr>
          <w:color w:val="auto"/>
          <w:kern w:val="0"/>
          <w:sz w:val="24"/>
        </w:rPr>
        <w:t>2</w:t>
      </w:r>
      <w:r>
        <w:rPr>
          <w:rFonts w:hint="eastAsia"/>
          <w:color w:val="auto"/>
          <w:kern w:val="0"/>
          <w:sz w:val="24"/>
        </w:rPr>
        <w:t>）非限制性指标：废气</w:t>
      </w:r>
      <w:r>
        <w:rPr>
          <w:color w:val="auto"/>
          <w:kern w:val="0"/>
          <w:sz w:val="24"/>
        </w:rPr>
        <w:t>-</w:t>
      </w:r>
      <w:r>
        <w:rPr>
          <w:rFonts w:hint="eastAsia"/>
          <w:color w:val="auto"/>
          <w:kern w:val="0"/>
          <w:sz w:val="24"/>
        </w:rPr>
        <w:t>硫酸雾</w:t>
      </w:r>
      <w:r>
        <w:rPr>
          <w:rFonts w:hint="eastAsia"/>
          <w:color w:val="auto"/>
          <w:kern w:val="0"/>
          <w:sz w:val="24"/>
          <w:lang w:eastAsia="zh-CN"/>
        </w:rPr>
        <w:t>、氯化氢、氟化物、铬酸雾、氰化氢</w:t>
      </w:r>
      <w:r>
        <w:rPr>
          <w:rFonts w:hint="eastAsia"/>
          <w:color w:val="auto"/>
          <w:kern w:val="0"/>
          <w:sz w:val="24"/>
        </w:rPr>
        <w:t>。</w:t>
      </w:r>
    </w:p>
    <w:p>
      <w:pPr>
        <w:pStyle w:val="2"/>
        <w:ind w:left="0" w:leftChars="0" w:firstLine="420" w:firstLineChars="0"/>
        <w:rPr>
          <w:color w:val="auto"/>
          <w:highlight w:val="none"/>
        </w:rPr>
      </w:pPr>
      <w:r>
        <w:rPr>
          <w:rFonts w:hint="eastAsia"/>
          <w:color w:val="auto"/>
          <w:sz w:val="24"/>
          <w:highlight w:val="none"/>
        </w:rPr>
        <w:t>关于项目排污总量根据《排污许可证申请与核发技术规范</w:t>
      </w:r>
      <w:r>
        <w:rPr>
          <w:color w:val="auto"/>
          <w:sz w:val="24"/>
          <w:highlight w:val="none"/>
        </w:rPr>
        <w:t xml:space="preserve"> </w:t>
      </w:r>
      <w:r>
        <w:rPr>
          <w:rFonts w:hint="eastAsia"/>
          <w:color w:val="auto"/>
          <w:sz w:val="24"/>
          <w:highlight w:val="none"/>
        </w:rPr>
        <w:t>电镀工业》</w:t>
      </w:r>
      <w:r>
        <w:rPr>
          <w:rFonts w:hint="eastAsia"/>
          <w:color w:val="auto"/>
          <w:sz w:val="24"/>
          <w:highlight w:val="none"/>
          <w:lang w:val="en-US" w:eastAsia="zh-CN"/>
        </w:rPr>
        <w:t>4.4核算方法选取，本项目废水、废气污染物排放总量优先采用类比法（类比现有工程实测数据计算排放量）。</w:t>
      </w:r>
    </w:p>
    <w:p>
      <w:pPr>
        <w:spacing w:line="360" w:lineRule="auto"/>
        <w:outlineLvl w:val="2"/>
        <w:rPr>
          <w:b/>
          <w:bCs/>
          <w:color w:val="auto"/>
          <w:sz w:val="28"/>
          <w:szCs w:val="28"/>
          <w:highlight w:val="none"/>
        </w:rPr>
      </w:pPr>
      <w:bookmarkStart w:id="48" w:name="_Toc434939985"/>
      <w:r>
        <w:rPr>
          <w:rFonts w:hint="eastAsia"/>
          <w:b/>
          <w:bCs/>
          <w:color w:val="auto"/>
          <w:sz w:val="28"/>
          <w:szCs w:val="28"/>
          <w:highlight w:val="none"/>
        </w:rPr>
        <w:t>12</w:t>
      </w:r>
      <w:r>
        <w:rPr>
          <w:b/>
          <w:bCs/>
          <w:color w:val="auto"/>
          <w:sz w:val="28"/>
          <w:szCs w:val="28"/>
          <w:highlight w:val="none"/>
        </w:rPr>
        <w:t>.1</w:t>
      </w:r>
      <w:bookmarkEnd w:id="48"/>
      <w:r>
        <w:rPr>
          <w:rFonts w:hint="eastAsia"/>
          <w:b/>
          <w:bCs/>
          <w:color w:val="auto"/>
          <w:sz w:val="28"/>
          <w:szCs w:val="28"/>
          <w:highlight w:val="none"/>
        </w:rPr>
        <w:t>废水</w:t>
      </w:r>
    </w:p>
    <w:p>
      <w:pPr>
        <w:spacing w:line="360" w:lineRule="auto"/>
        <w:ind w:firstLine="480" w:firstLineChars="200"/>
        <w:jc w:val="left"/>
        <w:rPr>
          <w:color w:val="auto"/>
          <w:sz w:val="24"/>
          <w:highlight w:val="none"/>
        </w:rPr>
      </w:pPr>
      <w:r>
        <w:rPr>
          <w:rFonts w:hint="eastAsia"/>
          <w:color w:val="auto"/>
          <w:sz w:val="24"/>
          <w:highlight w:val="none"/>
          <w:lang w:val="en-US" w:eastAsia="zh-CN"/>
        </w:rPr>
        <w:t>根据工程分析，</w:t>
      </w:r>
      <w:r>
        <w:rPr>
          <w:rFonts w:hint="eastAsia"/>
          <w:color w:val="auto"/>
          <w:sz w:val="24"/>
          <w:highlight w:val="none"/>
        </w:rPr>
        <w:t>本项目</w:t>
      </w:r>
      <w:r>
        <w:rPr>
          <w:rFonts w:hint="eastAsia"/>
          <w:color w:val="auto"/>
          <w:sz w:val="24"/>
          <w:highlight w:val="none"/>
          <w:lang w:eastAsia="zh-CN"/>
        </w:rPr>
        <w:t>废水中污染物</w:t>
      </w:r>
      <w:r>
        <w:rPr>
          <w:rFonts w:hint="eastAsia"/>
          <w:color w:val="auto"/>
          <w:sz w:val="24"/>
          <w:highlight w:val="none"/>
        </w:rPr>
        <w:t>总量控制指标见表12.1</w:t>
      </w:r>
      <w:r>
        <w:rPr>
          <w:color w:val="auto"/>
          <w:sz w:val="24"/>
          <w:highlight w:val="none"/>
        </w:rPr>
        <w:t>-1</w:t>
      </w:r>
      <w:r>
        <w:rPr>
          <w:rFonts w:hint="eastAsia"/>
          <w:color w:val="auto"/>
          <w:sz w:val="24"/>
          <w:highlight w:val="none"/>
        </w:rPr>
        <w:t>。</w:t>
      </w:r>
    </w:p>
    <w:p>
      <w:pPr>
        <w:spacing w:line="360" w:lineRule="auto"/>
        <w:ind w:firstLine="482" w:firstLineChars="200"/>
        <w:jc w:val="center"/>
        <w:rPr>
          <w:b/>
          <w:color w:val="auto"/>
          <w:sz w:val="24"/>
          <w:highlight w:val="none"/>
        </w:rPr>
      </w:pPr>
      <w:r>
        <w:rPr>
          <w:rFonts w:hint="eastAsia"/>
          <w:b/>
          <w:color w:val="auto"/>
          <w:sz w:val="24"/>
          <w:highlight w:val="none"/>
        </w:rPr>
        <w:t>表12.1</w:t>
      </w:r>
      <w:r>
        <w:rPr>
          <w:b/>
          <w:color w:val="auto"/>
          <w:sz w:val="24"/>
          <w:highlight w:val="none"/>
        </w:rPr>
        <w:t xml:space="preserve">-1  </w:t>
      </w:r>
      <w:r>
        <w:rPr>
          <w:rFonts w:hint="eastAsia"/>
          <w:b/>
          <w:color w:val="auto"/>
          <w:sz w:val="24"/>
          <w:highlight w:val="none"/>
        </w:rPr>
        <w:t>本项目生产废水总量控制指标一览表</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3961"/>
        <w:gridCol w:w="2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jc w:val="center"/>
              <w:rPr>
                <w:color w:val="auto"/>
                <w:szCs w:val="21"/>
                <w:highlight w:val="none"/>
              </w:rPr>
            </w:pPr>
            <w:r>
              <w:rPr>
                <w:rFonts w:hint="eastAsia"/>
                <w:color w:val="auto"/>
                <w:szCs w:val="21"/>
                <w:highlight w:val="none"/>
              </w:rPr>
              <w:t>控制因子</w:t>
            </w:r>
          </w:p>
        </w:tc>
        <w:tc>
          <w:tcPr>
            <w:tcW w:w="3961" w:type="dxa"/>
            <w:tcBorders>
              <w:tl2br w:val="nil"/>
              <w:tr2bl w:val="nil"/>
            </w:tcBorders>
            <w:vAlign w:val="center"/>
          </w:tcPr>
          <w:p>
            <w:pPr>
              <w:jc w:val="center"/>
              <w:rPr>
                <w:color w:val="auto"/>
                <w:szCs w:val="21"/>
                <w:highlight w:val="none"/>
              </w:rPr>
            </w:pPr>
            <w:r>
              <w:rPr>
                <w:rFonts w:hint="eastAsia"/>
                <w:color w:val="auto"/>
                <w:szCs w:val="21"/>
                <w:highlight w:val="none"/>
              </w:rPr>
              <w:t>建议控制指标排放量（</w:t>
            </w:r>
            <w:r>
              <w:rPr>
                <w:color w:val="auto"/>
                <w:szCs w:val="21"/>
                <w:highlight w:val="none"/>
              </w:rPr>
              <w:t>kg/a</w:t>
            </w:r>
            <w:r>
              <w:rPr>
                <w:rFonts w:hint="eastAsia"/>
                <w:color w:val="auto"/>
                <w:szCs w:val="21"/>
                <w:highlight w:val="none"/>
              </w:rPr>
              <w:t>）</w:t>
            </w:r>
          </w:p>
        </w:tc>
        <w:tc>
          <w:tcPr>
            <w:tcW w:w="2841" w:type="dxa"/>
            <w:tcBorders>
              <w:tl2br w:val="nil"/>
              <w:tr2bl w:val="nil"/>
            </w:tcBorders>
            <w:vAlign w:val="center"/>
          </w:tcPr>
          <w:p>
            <w:pPr>
              <w:jc w:val="center"/>
              <w:rPr>
                <w:color w:val="auto"/>
                <w:szCs w:val="21"/>
                <w:highlight w:val="none"/>
              </w:rPr>
            </w:pPr>
            <w:r>
              <w:rPr>
                <w:rFonts w:hint="eastAsia"/>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废水排放量</w:t>
            </w:r>
            <w:r>
              <w:rPr>
                <w:rFonts w:hint="eastAsia"/>
                <w:color w:val="auto"/>
                <w:sz w:val="21"/>
                <w:szCs w:val="21"/>
              </w:rPr>
              <w:t>(</w:t>
            </w:r>
            <w:r>
              <w:rPr>
                <w:color w:val="auto"/>
                <w:sz w:val="24"/>
                <w:szCs w:val="24"/>
              </w:rPr>
              <w:t>m</w:t>
            </w:r>
            <w:r>
              <w:rPr>
                <w:color w:val="auto"/>
                <w:sz w:val="24"/>
                <w:szCs w:val="24"/>
                <w:vertAlign w:val="superscript"/>
              </w:rPr>
              <w:t>3</w:t>
            </w:r>
            <w:r>
              <w:rPr>
                <w:color w:val="auto"/>
                <w:sz w:val="24"/>
                <w:szCs w:val="24"/>
              </w:rPr>
              <w:t>/</w:t>
            </w:r>
            <w:r>
              <w:rPr>
                <w:rFonts w:hint="eastAsia"/>
                <w:color w:val="auto"/>
                <w:sz w:val="24"/>
                <w:szCs w:val="24"/>
                <w:lang w:val="en-US" w:eastAsia="zh-CN"/>
              </w:rPr>
              <w:t>a</w:t>
            </w:r>
            <w:r>
              <w:rPr>
                <w:rFonts w:hint="eastAsia"/>
                <w:color w:val="auto"/>
                <w:sz w:val="21"/>
                <w:szCs w:val="21"/>
              </w:rPr>
              <w:t>)</w:t>
            </w:r>
          </w:p>
        </w:tc>
        <w:tc>
          <w:tcPr>
            <w:tcW w:w="3961" w:type="dxa"/>
            <w:tcBorders>
              <w:tl2br w:val="nil"/>
              <w:tr2bl w:val="nil"/>
            </w:tcBorders>
            <w:vAlign w:val="center"/>
          </w:tcPr>
          <w:p>
            <w:pPr>
              <w:jc w:val="center"/>
              <w:rPr>
                <w:rFonts w:hint="eastAsia"/>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8011.64</w:t>
            </w:r>
          </w:p>
        </w:tc>
        <w:tc>
          <w:tcPr>
            <w:tcW w:w="2841"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autoSpaceDN w:val="0"/>
              <w:jc w:val="center"/>
              <w:rPr>
                <w:rFonts w:hint="eastAsia"/>
                <w:color w:val="auto"/>
                <w:szCs w:val="21"/>
                <w:highlight w:val="none"/>
              </w:rPr>
            </w:pPr>
            <w:r>
              <w:rPr>
                <w:color w:val="auto"/>
                <w:szCs w:val="21"/>
                <w:highlight w:val="none"/>
              </w:rPr>
              <w:t>COD</w:t>
            </w:r>
          </w:p>
        </w:tc>
        <w:tc>
          <w:tcPr>
            <w:tcW w:w="3961" w:type="dxa"/>
            <w:tcBorders>
              <w:tl2br w:val="nil"/>
              <w:tr2bl w:val="nil"/>
            </w:tcBorders>
            <w:vAlign w:val="center"/>
          </w:tcPr>
          <w:p>
            <w:pPr>
              <w:jc w:val="center"/>
              <w:rPr>
                <w:rFonts w:hint="eastAsia"/>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24.18</w:t>
            </w:r>
          </w:p>
        </w:tc>
        <w:tc>
          <w:tcPr>
            <w:tcW w:w="2841"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限制性指标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autoSpaceDN w:val="0"/>
              <w:jc w:val="center"/>
              <w:rPr>
                <w:rFonts w:hint="eastAsia"/>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3961" w:type="dxa"/>
            <w:tcBorders>
              <w:tl2br w:val="nil"/>
              <w:tr2bl w:val="nil"/>
            </w:tcBorders>
            <w:vAlign w:val="center"/>
          </w:tcPr>
          <w:p>
            <w:pPr>
              <w:jc w:val="center"/>
              <w:rPr>
                <w:rFonts w:hint="eastAsia"/>
                <w:color w:val="auto"/>
                <w:szCs w:val="21"/>
                <w:highlight w:val="none"/>
              </w:rPr>
            </w:pPr>
            <w:r>
              <w:rPr>
                <w:rFonts w:hint="default" w:ascii="Times New Roman" w:hAnsi="Times New Roman" w:eastAsia="宋体" w:cs="Times New Roman"/>
                <w:i w:val="0"/>
                <w:color w:val="auto"/>
                <w:kern w:val="0"/>
                <w:sz w:val="21"/>
                <w:szCs w:val="21"/>
                <w:u w:val="none"/>
                <w:lang w:val="en-US" w:eastAsia="zh-CN" w:bidi="ar"/>
              </w:rPr>
              <w:t>6.045</w:t>
            </w:r>
          </w:p>
        </w:tc>
        <w:tc>
          <w:tcPr>
            <w:tcW w:w="2841"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限制性指标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autoSpaceDN w:val="0"/>
              <w:jc w:val="center"/>
              <w:rPr>
                <w:color w:val="auto"/>
                <w:szCs w:val="21"/>
                <w:highlight w:val="none"/>
              </w:rPr>
            </w:pPr>
            <w:r>
              <w:rPr>
                <w:rFonts w:hint="eastAsia"/>
                <w:color w:val="auto"/>
                <w:szCs w:val="21"/>
                <w:highlight w:val="none"/>
              </w:rPr>
              <w:t>总铬</w:t>
            </w:r>
          </w:p>
        </w:tc>
        <w:tc>
          <w:tcPr>
            <w:tcW w:w="3961" w:type="dxa"/>
            <w:tcBorders>
              <w:tl2br w:val="nil"/>
              <w:tr2bl w:val="nil"/>
            </w:tcBorders>
            <w:vAlign w:val="center"/>
          </w:tcPr>
          <w:p>
            <w:pPr>
              <w:jc w:val="center"/>
              <w:rPr>
                <w:rFonts w:hint="default" w:eastAsia="宋体"/>
                <w:color w:val="auto"/>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0.527</w:t>
            </w:r>
          </w:p>
        </w:tc>
        <w:tc>
          <w:tcPr>
            <w:tcW w:w="2841" w:type="dxa"/>
            <w:tcBorders>
              <w:tl2br w:val="nil"/>
              <w:tr2bl w:val="nil"/>
            </w:tcBorders>
            <w:vAlign w:val="center"/>
          </w:tcPr>
          <w:p>
            <w:pPr>
              <w:jc w:val="center"/>
              <w:rPr>
                <w:color w:val="auto"/>
                <w:szCs w:val="21"/>
                <w:highlight w:val="none"/>
              </w:rPr>
            </w:pPr>
            <w:r>
              <w:rPr>
                <w:rFonts w:hint="eastAsia"/>
                <w:color w:val="auto"/>
                <w:szCs w:val="21"/>
                <w:highlight w:val="none"/>
              </w:rPr>
              <w:t>限制性指标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autoSpaceDN w:val="0"/>
              <w:jc w:val="center"/>
              <w:rPr>
                <w:rFonts w:hint="eastAsia" w:eastAsia="宋体"/>
                <w:color w:val="auto"/>
                <w:szCs w:val="21"/>
                <w:highlight w:val="none"/>
                <w:lang w:eastAsia="zh-CN"/>
              </w:rPr>
            </w:pPr>
            <w:r>
              <w:rPr>
                <w:rFonts w:hint="eastAsia"/>
                <w:color w:val="auto"/>
                <w:szCs w:val="21"/>
                <w:highlight w:val="none"/>
                <w:lang w:eastAsia="zh-CN"/>
              </w:rPr>
              <w:t>六价铬</w:t>
            </w:r>
          </w:p>
        </w:tc>
        <w:tc>
          <w:tcPr>
            <w:tcW w:w="3961" w:type="dxa"/>
            <w:tcBorders>
              <w:tl2br w:val="nil"/>
              <w:tr2bl w:val="nil"/>
            </w:tcBorders>
            <w:vAlign w:val="center"/>
          </w:tcPr>
          <w:p>
            <w:pPr>
              <w:jc w:val="center"/>
              <w:rPr>
                <w:rFonts w:hint="eastAsia"/>
                <w:color w:val="auto"/>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0.106 </w:t>
            </w:r>
          </w:p>
        </w:tc>
        <w:tc>
          <w:tcPr>
            <w:tcW w:w="2841" w:type="dxa"/>
            <w:tcBorders>
              <w:tl2br w:val="nil"/>
              <w:tr2bl w:val="nil"/>
            </w:tcBorders>
            <w:vAlign w:val="center"/>
          </w:tcPr>
          <w:p>
            <w:pPr>
              <w:jc w:val="center"/>
              <w:rPr>
                <w:rFonts w:hint="eastAsia"/>
                <w:color w:val="auto"/>
                <w:szCs w:val="21"/>
                <w:highlight w:val="none"/>
              </w:rPr>
            </w:pPr>
            <w:r>
              <w:rPr>
                <w:rFonts w:hint="eastAsia"/>
                <w:color w:val="auto"/>
                <w:szCs w:val="21"/>
                <w:highlight w:val="none"/>
                <w:lang w:eastAsia="zh-CN"/>
              </w:rPr>
              <w:t>非</w:t>
            </w:r>
            <w:r>
              <w:rPr>
                <w:rFonts w:hint="eastAsia"/>
                <w:color w:val="auto"/>
                <w:szCs w:val="21"/>
                <w:highlight w:val="none"/>
              </w:rPr>
              <w:t>限制性指标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autoSpaceDN w:val="0"/>
              <w:jc w:val="center"/>
              <w:rPr>
                <w:rFonts w:hint="eastAsia" w:eastAsia="宋体"/>
                <w:color w:val="auto"/>
                <w:szCs w:val="21"/>
                <w:highlight w:val="none"/>
                <w:lang w:eastAsia="zh-CN"/>
              </w:rPr>
            </w:pPr>
            <w:r>
              <w:rPr>
                <w:rFonts w:hint="eastAsia"/>
                <w:color w:val="auto"/>
                <w:szCs w:val="21"/>
                <w:highlight w:val="none"/>
                <w:lang w:eastAsia="zh-CN"/>
              </w:rPr>
              <w:t>总镍</w:t>
            </w:r>
          </w:p>
        </w:tc>
        <w:tc>
          <w:tcPr>
            <w:tcW w:w="3961" w:type="dxa"/>
            <w:tcBorders>
              <w:tl2br w:val="nil"/>
              <w:tr2bl w:val="nil"/>
            </w:tcBorders>
            <w:vAlign w:val="center"/>
          </w:tcPr>
          <w:p>
            <w:pPr>
              <w:jc w:val="center"/>
              <w:rPr>
                <w:rFonts w:hint="default" w:eastAsia="宋体"/>
                <w:color w:val="auto"/>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0.283</w:t>
            </w:r>
          </w:p>
        </w:tc>
        <w:tc>
          <w:tcPr>
            <w:tcW w:w="2841" w:type="dxa"/>
            <w:tcBorders>
              <w:tl2br w:val="nil"/>
              <w:tr2bl w:val="nil"/>
            </w:tcBorders>
            <w:vAlign w:val="center"/>
          </w:tcPr>
          <w:p>
            <w:pPr>
              <w:jc w:val="center"/>
              <w:rPr>
                <w:color w:val="auto"/>
                <w:szCs w:val="21"/>
                <w:highlight w:val="none"/>
              </w:rPr>
            </w:pPr>
            <w:r>
              <w:rPr>
                <w:rFonts w:hint="eastAsia"/>
                <w:color w:val="auto"/>
                <w:szCs w:val="21"/>
                <w:highlight w:val="none"/>
                <w:lang w:eastAsia="zh-CN"/>
              </w:rPr>
              <w:t>非</w:t>
            </w:r>
            <w:r>
              <w:rPr>
                <w:rFonts w:hint="eastAsia"/>
                <w:color w:val="auto"/>
                <w:szCs w:val="21"/>
                <w:highlight w:val="none"/>
              </w:rPr>
              <w:t>限制性指标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84" w:type="dxa"/>
            <w:tcBorders>
              <w:tl2br w:val="nil"/>
              <w:tr2bl w:val="nil"/>
            </w:tcBorders>
            <w:vAlign w:val="center"/>
          </w:tcPr>
          <w:p>
            <w:pPr>
              <w:autoSpaceDN w:val="0"/>
              <w:jc w:val="center"/>
              <w:rPr>
                <w:rFonts w:hint="eastAsia" w:eastAsia="宋体"/>
                <w:color w:val="auto"/>
                <w:szCs w:val="21"/>
                <w:highlight w:val="none"/>
                <w:lang w:eastAsia="zh-CN"/>
              </w:rPr>
            </w:pPr>
            <w:r>
              <w:rPr>
                <w:rFonts w:hint="eastAsia"/>
                <w:color w:val="auto"/>
                <w:szCs w:val="21"/>
                <w:highlight w:val="none"/>
                <w:lang w:eastAsia="zh-CN"/>
              </w:rPr>
              <w:t>总氰化物</w:t>
            </w:r>
          </w:p>
        </w:tc>
        <w:tc>
          <w:tcPr>
            <w:tcW w:w="3961" w:type="dxa"/>
            <w:tcBorders>
              <w:tl2br w:val="nil"/>
              <w:tr2bl w:val="nil"/>
            </w:tcBorders>
            <w:vAlign w:val="center"/>
          </w:tcPr>
          <w:p>
            <w:pPr>
              <w:jc w:val="center"/>
              <w:rPr>
                <w:rFonts w:hint="default" w:eastAsia="宋体"/>
                <w:color w:val="auto"/>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0.437 </w:t>
            </w:r>
          </w:p>
        </w:tc>
        <w:tc>
          <w:tcPr>
            <w:tcW w:w="2841" w:type="dxa"/>
            <w:tcBorders>
              <w:tl2br w:val="nil"/>
              <w:tr2bl w:val="nil"/>
            </w:tcBorders>
            <w:vAlign w:val="center"/>
          </w:tcPr>
          <w:p>
            <w:pPr>
              <w:jc w:val="center"/>
              <w:rPr>
                <w:color w:val="auto"/>
                <w:szCs w:val="21"/>
                <w:highlight w:val="none"/>
              </w:rPr>
            </w:pPr>
            <w:r>
              <w:rPr>
                <w:rFonts w:hint="eastAsia"/>
                <w:color w:val="auto"/>
                <w:szCs w:val="21"/>
                <w:highlight w:val="none"/>
                <w:lang w:eastAsia="zh-CN"/>
              </w:rPr>
              <w:t>非</w:t>
            </w:r>
            <w:r>
              <w:rPr>
                <w:rFonts w:hint="eastAsia"/>
                <w:color w:val="auto"/>
                <w:szCs w:val="21"/>
                <w:highlight w:val="none"/>
              </w:rPr>
              <w:t>限制性指标</w:t>
            </w:r>
          </w:p>
        </w:tc>
      </w:tr>
    </w:tbl>
    <w:p>
      <w:pPr>
        <w:spacing w:line="360" w:lineRule="auto"/>
        <w:ind w:firstLine="480" w:firstLineChars="200"/>
        <w:jc w:val="left"/>
        <w:rPr>
          <w:color w:val="auto"/>
          <w:sz w:val="24"/>
          <w:highlight w:val="none"/>
        </w:rPr>
      </w:pPr>
      <w:r>
        <w:rPr>
          <w:rFonts w:hint="eastAsia"/>
          <w:color w:val="auto"/>
          <w:sz w:val="24"/>
          <w:highlight w:val="none"/>
        </w:rPr>
        <w:t>本项目废水限制性指</w:t>
      </w:r>
      <w:r>
        <w:rPr>
          <w:rFonts w:hint="eastAsia" w:ascii="Times New Roman" w:hAnsi="Times New Roman" w:cs="Times New Roman"/>
          <w:color w:val="auto"/>
          <w:sz w:val="24"/>
          <w:highlight w:val="none"/>
        </w:rPr>
        <w:t>标COD排</w:t>
      </w:r>
      <w:r>
        <w:rPr>
          <w:rFonts w:hint="eastAsia"/>
          <w:color w:val="auto"/>
          <w:sz w:val="24"/>
          <w:highlight w:val="none"/>
        </w:rPr>
        <w:t>放量为</w:t>
      </w:r>
      <w:r>
        <w:rPr>
          <w:rFonts w:hint="eastAsia"/>
          <w:color w:val="auto"/>
          <w:sz w:val="24"/>
          <w:highlight w:val="none"/>
          <w:lang w:val="en-US" w:eastAsia="zh-CN"/>
        </w:rPr>
        <w:t>24.18</w:t>
      </w:r>
      <w:r>
        <w:rPr>
          <w:color w:val="auto"/>
          <w:sz w:val="24"/>
          <w:highlight w:val="none"/>
        </w:rPr>
        <w:t>kg/a</w:t>
      </w:r>
      <w:r>
        <w:rPr>
          <w:rFonts w:hint="eastAsia"/>
          <w:color w:val="auto"/>
          <w:sz w:val="24"/>
          <w:highlight w:val="none"/>
        </w:rPr>
        <w:t>、</w:t>
      </w:r>
      <w:r>
        <w:rPr>
          <w:color w:val="auto"/>
          <w:sz w:val="24"/>
          <w:highlight w:val="none"/>
        </w:rPr>
        <w:t>NH</w:t>
      </w:r>
      <w:r>
        <w:rPr>
          <w:color w:val="auto"/>
          <w:sz w:val="24"/>
          <w:highlight w:val="none"/>
          <w:vertAlign w:val="subscript"/>
        </w:rPr>
        <w:t>3</w:t>
      </w:r>
      <w:r>
        <w:rPr>
          <w:color w:val="auto"/>
          <w:sz w:val="24"/>
          <w:highlight w:val="none"/>
        </w:rPr>
        <w:t>-N</w:t>
      </w:r>
      <w:r>
        <w:rPr>
          <w:rFonts w:hint="eastAsia"/>
          <w:color w:val="auto"/>
          <w:sz w:val="24"/>
          <w:highlight w:val="none"/>
        </w:rPr>
        <w:t>排放量为</w:t>
      </w:r>
      <w:r>
        <w:rPr>
          <w:rFonts w:hint="eastAsia"/>
          <w:color w:val="auto"/>
          <w:sz w:val="24"/>
          <w:highlight w:val="none"/>
          <w:lang w:val="en-US" w:eastAsia="zh-CN"/>
        </w:rPr>
        <w:t>6.045</w:t>
      </w:r>
      <w:r>
        <w:rPr>
          <w:color w:val="auto"/>
          <w:sz w:val="24"/>
          <w:highlight w:val="none"/>
        </w:rPr>
        <w:t>kg/a</w:t>
      </w:r>
      <w:r>
        <w:rPr>
          <w:rFonts w:hint="eastAsia"/>
          <w:color w:val="auto"/>
          <w:sz w:val="24"/>
          <w:highlight w:val="none"/>
        </w:rPr>
        <w:t>、总铬排放量为</w:t>
      </w:r>
      <w:r>
        <w:rPr>
          <w:rFonts w:hint="eastAsia"/>
          <w:color w:val="auto"/>
          <w:sz w:val="24"/>
          <w:highlight w:val="none"/>
          <w:lang w:val="en-US" w:eastAsia="zh-CN"/>
        </w:rPr>
        <w:t>0.527</w:t>
      </w:r>
      <w:r>
        <w:rPr>
          <w:color w:val="auto"/>
          <w:sz w:val="24"/>
          <w:highlight w:val="none"/>
        </w:rPr>
        <w:t>kg/a</w:t>
      </w:r>
      <w:r>
        <w:rPr>
          <w:rFonts w:hint="eastAsia"/>
          <w:color w:val="auto"/>
          <w:sz w:val="24"/>
          <w:highlight w:val="none"/>
          <w:lang w:eastAsia="zh-CN"/>
        </w:rPr>
        <w:t>、六价铬</w:t>
      </w:r>
      <w:r>
        <w:rPr>
          <w:rFonts w:hint="eastAsia"/>
          <w:color w:val="auto"/>
          <w:sz w:val="24"/>
          <w:highlight w:val="none"/>
        </w:rPr>
        <w:t>排放量</w:t>
      </w:r>
      <w:r>
        <w:rPr>
          <w:rFonts w:hint="eastAsia"/>
          <w:color w:val="auto"/>
          <w:sz w:val="24"/>
          <w:highlight w:val="none"/>
          <w:lang w:val="en-US" w:eastAsia="zh-CN"/>
        </w:rPr>
        <w:t>为</w:t>
      </w:r>
      <w:r>
        <w:rPr>
          <w:rFonts w:hint="default"/>
          <w:color w:val="auto"/>
          <w:sz w:val="24"/>
          <w:highlight w:val="none"/>
          <w:lang w:val="en-US" w:eastAsia="zh-CN"/>
        </w:rPr>
        <w:t xml:space="preserve">0.106 </w:t>
      </w:r>
      <w:r>
        <w:rPr>
          <w:rFonts w:hint="eastAsia"/>
          <w:color w:val="auto"/>
          <w:sz w:val="24"/>
          <w:highlight w:val="none"/>
          <w:lang w:val="en-US" w:eastAsia="zh-CN"/>
        </w:rPr>
        <w:t>kg/a、总镍排放量为</w:t>
      </w:r>
      <w:r>
        <w:rPr>
          <w:rFonts w:hint="default"/>
          <w:color w:val="auto"/>
          <w:sz w:val="24"/>
          <w:highlight w:val="none"/>
          <w:lang w:val="en-US" w:eastAsia="zh-CN"/>
        </w:rPr>
        <w:t>0.283</w:t>
      </w:r>
      <w:r>
        <w:rPr>
          <w:rFonts w:hint="eastAsia"/>
          <w:color w:val="auto"/>
          <w:sz w:val="24"/>
          <w:highlight w:val="none"/>
          <w:lang w:val="en-US" w:eastAsia="zh-CN"/>
        </w:rPr>
        <w:t>kg/a、总氰化物排放量为</w:t>
      </w:r>
      <w:r>
        <w:rPr>
          <w:rFonts w:hint="default"/>
          <w:color w:val="auto"/>
          <w:sz w:val="24"/>
          <w:highlight w:val="none"/>
          <w:lang w:val="en-US" w:eastAsia="zh-CN"/>
        </w:rPr>
        <w:t xml:space="preserve">0.437 </w:t>
      </w:r>
      <w:r>
        <w:rPr>
          <w:rFonts w:hint="eastAsia"/>
          <w:color w:val="auto"/>
          <w:sz w:val="24"/>
          <w:highlight w:val="none"/>
          <w:lang w:val="en-US" w:eastAsia="zh-CN"/>
        </w:rPr>
        <w:t>k</w:t>
      </w:r>
      <w:r>
        <w:rPr>
          <w:color w:val="auto"/>
          <w:sz w:val="24"/>
          <w:highlight w:val="none"/>
        </w:rPr>
        <w:t>g/a</w:t>
      </w:r>
      <w:r>
        <w:rPr>
          <w:rFonts w:hint="eastAsia"/>
          <w:color w:val="auto"/>
          <w:sz w:val="24"/>
          <w:highlight w:val="none"/>
        </w:rPr>
        <w:t>，</w:t>
      </w:r>
      <w:r>
        <w:rPr>
          <w:rFonts w:hint="eastAsia"/>
          <w:color w:val="auto"/>
          <w:sz w:val="24"/>
          <w:highlight w:val="none"/>
          <w:lang w:eastAsia="zh-CN"/>
        </w:rPr>
        <w:t>未突破原有工程环评批复量（鼎环审</w:t>
      </w:r>
      <w:r>
        <w:rPr>
          <w:rFonts w:hint="eastAsia"/>
          <w:color w:val="auto"/>
          <w:sz w:val="24"/>
          <w:highlight w:val="none"/>
          <w:lang w:val="en-US" w:eastAsia="zh-CN"/>
        </w:rPr>
        <w:t>[2015]99号</w:t>
      </w:r>
      <w:r>
        <w:rPr>
          <w:rFonts w:hint="eastAsia"/>
          <w:color w:val="auto"/>
          <w:sz w:val="24"/>
          <w:highlight w:val="none"/>
          <w:lang w:eastAsia="zh-CN"/>
        </w:rPr>
        <w:t>），</w:t>
      </w:r>
      <w:r>
        <w:rPr>
          <w:rFonts w:hint="eastAsia"/>
          <w:color w:val="auto"/>
          <w:sz w:val="24"/>
          <w:highlight w:val="none"/>
        </w:rPr>
        <w:t>纳入集控中心污水站统一管理。</w:t>
      </w:r>
    </w:p>
    <w:p>
      <w:pPr>
        <w:spacing w:line="360" w:lineRule="auto"/>
        <w:ind w:firstLine="480" w:firstLineChars="200"/>
        <w:rPr>
          <w:rFonts w:hint="eastAsia"/>
          <w:color w:val="auto"/>
          <w:sz w:val="24"/>
          <w:highlight w:val="none"/>
        </w:rPr>
      </w:pPr>
      <w:r>
        <w:rPr>
          <w:rFonts w:hint="eastAsia"/>
          <w:color w:val="auto"/>
          <w:sz w:val="24"/>
          <w:highlight w:val="none"/>
        </w:rPr>
        <w:t>本项目生活污水排放量为</w:t>
      </w:r>
      <w:r>
        <w:rPr>
          <w:rFonts w:hint="eastAsia"/>
          <w:color w:val="auto"/>
          <w:sz w:val="24"/>
          <w:highlight w:val="none"/>
          <w:lang w:val="en-US" w:eastAsia="zh-CN"/>
        </w:rPr>
        <w:t>270</w:t>
      </w:r>
      <w:r>
        <w:rPr>
          <w:rFonts w:hint="eastAsia"/>
          <w:color w:val="auto"/>
          <w:sz w:val="24"/>
          <w:highlight w:val="none"/>
        </w:rPr>
        <w:t>t/a，生活污水经过化粪池预处理后接入市政污水管网，纳入文渡污水处理厂，污水处理厂尾水排放口执行《污水综合排放标准》（</w:t>
      </w:r>
      <w:r>
        <w:rPr>
          <w:color w:val="auto"/>
          <w:sz w:val="24"/>
          <w:highlight w:val="none"/>
        </w:rPr>
        <w:t>GB8978-1996</w:t>
      </w:r>
      <w:r>
        <w:rPr>
          <w:rFonts w:hint="eastAsia"/>
          <w:color w:val="auto"/>
          <w:sz w:val="24"/>
          <w:highlight w:val="none"/>
        </w:rPr>
        <w:t>）一级B标准（COD 100mg/L，NH</w:t>
      </w:r>
      <w:r>
        <w:rPr>
          <w:rFonts w:hint="eastAsia"/>
          <w:color w:val="auto"/>
          <w:sz w:val="24"/>
          <w:highlight w:val="none"/>
          <w:vertAlign w:val="subscript"/>
        </w:rPr>
        <w:t>3</w:t>
      </w:r>
      <w:r>
        <w:rPr>
          <w:rFonts w:hint="eastAsia"/>
          <w:color w:val="auto"/>
          <w:sz w:val="24"/>
          <w:highlight w:val="none"/>
        </w:rPr>
        <w:t>-N15mg/L）。因此本项目生活污水最终排入外环境的量为COD 0.</w:t>
      </w:r>
      <w:r>
        <w:rPr>
          <w:rFonts w:hint="eastAsia"/>
          <w:color w:val="auto"/>
          <w:sz w:val="24"/>
          <w:highlight w:val="none"/>
          <w:lang w:val="en-US" w:eastAsia="zh-CN"/>
        </w:rPr>
        <w:t>108</w:t>
      </w:r>
      <w:r>
        <w:rPr>
          <w:rFonts w:hint="eastAsia"/>
          <w:color w:val="auto"/>
          <w:sz w:val="24"/>
          <w:highlight w:val="none"/>
        </w:rPr>
        <w:t>t/a，NH</w:t>
      </w:r>
      <w:r>
        <w:rPr>
          <w:rFonts w:hint="eastAsia"/>
          <w:color w:val="auto"/>
          <w:sz w:val="24"/>
          <w:highlight w:val="none"/>
          <w:vertAlign w:val="subscript"/>
        </w:rPr>
        <w:t>3</w:t>
      </w:r>
      <w:r>
        <w:rPr>
          <w:rFonts w:hint="eastAsia"/>
          <w:color w:val="auto"/>
          <w:sz w:val="24"/>
          <w:highlight w:val="none"/>
        </w:rPr>
        <w:t>-N0.01 t/a。本项目生活污水单独接管，因此无需申请总量。</w:t>
      </w:r>
    </w:p>
    <w:p>
      <w:pPr>
        <w:spacing w:line="360" w:lineRule="auto"/>
        <w:outlineLvl w:val="2"/>
        <w:rPr>
          <w:b/>
          <w:bCs/>
          <w:color w:val="auto"/>
          <w:sz w:val="28"/>
          <w:szCs w:val="28"/>
          <w:highlight w:val="none"/>
        </w:rPr>
      </w:pPr>
      <w:r>
        <w:rPr>
          <w:rFonts w:hint="eastAsia"/>
          <w:b/>
          <w:bCs/>
          <w:color w:val="auto"/>
          <w:sz w:val="28"/>
          <w:szCs w:val="28"/>
          <w:highlight w:val="none"/>
        </w:rPr>
        <w:t>12</w:t>
      </w:r>
      <w:r>
        <w:rPr>
          <w:b/>
          <w:bCs/>
          <w:color w:val="auto"/>
          <w:sz w:val="28"/>
          <w:szCs w:val="28"/>
          <w:highlight w:val="none"/>
        </w:rPr>
        <w:t>.2</w:t>
      </w:r>
      <w:r>
        <w:rPr>
          <w:rFonts w:hint="eastAsia"/>
          <w:b/>
          <w:bCs/>
          <w:color w:val="auto"/>
          <w:sz w:val="28"/>
          <w:szCs w:val="28"/>
          <w:highlight w:val="none"/>
        </w:rPr>
        <w:t>废气</w:t>
      </w:r>
    </w:p>
    <w:p>
      <w:pPr>
        <w:spacing w:line="360" w:lineRule="auto"/>
        <w:ind w:firstLine="480" w:firstLineChars="200"/>
        <w:jc w:val="left"/>
        <w:rPr>
          <w:color w:val="auto"/>
          <w:sz w:val="24"/>
          <w:highlight w:val="none"/>
        </w:rPr>
      </w:pPr>
      <w:r>
        <w:rPr>
          <w:rFonts w:hint="eastAsia"/>
          <w:color w:val="auto"/>
          <w:sz w:val="24"/>
          <w:highlight w:val="none"/>
        </w:rPr>
        <w:t>本项目废气排放根据各排气筒废气排放速率，核算出本项目各废气污染物排放总量，排放总量见表12.2</w:t>
      </w:r>
      <w:r>
        <w:rPr>
          <w:color w:val="auto"/>
          <w:sz w:val="24"/>
          <w:highlight w:val="none"/>
        </w:rPr>
        <w:t>-</w:t>
      </w:r>
      <w:r>
        <w:rPr>
          <w:rFonts w:hint="eastAsia"/>
          <w:color w:val="auto"/>
          <w:sz w:val="24"/>
          <w:highlight w:val="none"/>
        </w:rPr>
        <w:t>1。</w:t>
      </w:r>
    </w:p>
    <w:p>
      <w:pPr>
        <w:spacing w:line="360" w:lineRule="auto"/>
        <w:ind w:firstLine="482" w:firstLineChars="200"/>
        <w:jc w:val="center"/>
        <w:rPr>
          <w:b/>
          <w:color w:val="auto"/>
          <w:sz w:val="24"/>
          <w:highlight w:val="none"/>
        </w:rPr>
      </w:pPr>
      <w:r>
        <w:rPr>
          <w:rFonts w:hint="eastAsia"/>
          <w:b/>
          <w:color w:val="auto"/>
          <w:sz w:val="24"/>
          <w:highlight w:val="none"/>
        </w:rPr>
        <w:t>表12.2</w:t>
      </w:r>
      <w:r>
        <w:rPr>
          <w:b/>
          <w:color w:val="auto"/>
          <w:sz w:val="24"/>
          <w:highlight w:val="none"/>
        </w:rPr>
        <w:t>-</w:t>
      </w:r>
      <w:r>
        <w:rPr>
          <w:rFonts w:hint="eastAsia"/>
          <w:b/>
          <w:color w:val="auto"/>
          <w:sz w:val="24"/>
          <w:highlight w:val="none"/>
        </w:rPr>
        <w:t>1</w:t>
      </w:r>
      <w:r>
        <w:rPr>
          <w:b/>
          <w:color w:val="auto"/>
          <w:sz w:val="24"/>
          <w:highlight w:val="none"/>
        </w:rPr>
        <w:t xml:space="preserve">  </w:t>
      </w:r>
      <w:r>
        <w:rPr>
          <w:rFonts w:hint="eastAsia"/>
          <w:b/>
          <w:color w:val="auto"/>
          <w:sz w:val="24"/>
          <w:highlight w:val="none"/>
        </w:rPr>
        <w:t>本项目大气污染物排放总量</w:t>
      </w:r>
    </w:p>
    <w:tbl>
      <w:tblPr>
        <w:tblStyle w:val="22"/>
        <w:tblW w:w="928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56"/>
        <w:gridCol w:w="1513"/>
        <w:gridCol w:w="1701"/>
        <w:gridCol w:w="2551"/>
        <w:gridCol w:w="16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1856"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color w:val="auto"/>
                <w:kern w:val="0"/>
                <w:position w:val="-3"/>
                <w:sz w:val="21"/>
                <w:szCs w:val="21"/>
                <w:highlight w:val="none"/>
              </w:rPr>
            </w:pPr>
            <w:r>
              <w:rPr>
                <w:rFonts w:hint="eastAsia"/>
                <w:color w:val="auto"/>
                <w:kern w:val="0"/>
                <w:position w:val="-3"/>
                <w:sz w:val="21"/>
                <w:szCs w:val="21"/>
                <w:highlight w:val="none"/>
              </w:rPr>
              <w:t>废气</w:t>
            </w:r>
          </w:p>
        </w:tc>
        <w:tc>
          <w:tcPr>
            <w:tcW w:w="1513"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color w:val="auto"/>
                <w:kern w:val="0"/>
                <w:position w:val="-3"/>
                <w:sz w:val="21"/>
                <w:szCs w:val="21"/>
                <w:highlight w:val="none"/>
              </w:rPr>
            </w:pPr>
            <w:r>
              <w:rPr>
                <w:rFonts w:hint="eastAsia"/>
                <w:color w:val="auto"/>
                <w:kern w:val="0"/>
                <w:position w:val="-3"/>
                <w:sz w:val="21"/>
                <w:szCs w:val="21"/>
                <w:highlight w:val="none"/>
              </w:rPr>
              <w:t>产生量（</w:t>
            </w:r>
            <w:r>
              <w:rPr>
                <w:color w:val="auto"/>
                <w:kern w:val="0"/>
                <w:position w:val="-3"/>
                <w:sz w:val="21"/>
                <w:szCs w:val="21"/>
                <w:highlight w:val="none"/>
              </w:rPr>
              <w:t>t/a</w:t>
            </w:r>
            <w:r>
              <w:rPr>
                <w:rFonts w:hint="eastAsia"/>
                <w:color w:val="auto"/>
                <w:kern w:val="0"/>
                <w:position w:val="-3"/>
                <w:sz w:val="21"/>
                <w:szCs w:val="21"/>
                <w:highlight w:val="none"/>
              </w:rPr>
              <w:t>）</w:t>
            </w:r>
          </w:p>
        </w:tc>
        <w:tc>
          <w:tcPr>
            <w:tcW w:w="1701"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color w:val="auto"/>
                <w:kern w:val="0"/>
                <w:position w:val="-3"/>
                <w:sz w:val="21"/>
                <w:szCs w:val="21"/>
                <w:highlight w:val="none"/>
              </w:rPr>
            </w:pPr>
            <w:r>
              <w:rPr>
                <w:rFonts w:hint="eastAsia"/>
                <w:color w:val="auto"/>
                <w:kern w:val="0"/>
                <w:position w:val="-3"/>
                <w:sz w:val="21"/>
                <w:szCs w:val="21"/>
                <w:highlight w:val="none"/>
              </w:rPr>
              <w:t>削减量（</w:t>
            </w:r>
            <w:r>
              <w:rPr>
                <w:color w:val="auto"/>
                <w:kern w:val="0"/>
                <w:position w:val="-3"/>
                <w:sz w:val="21"/>
                <w:szCs w:val="21"/>
                <w:highlight w:val="none"/>
              </w:rPr>
              <w:t>t/a</w:t>
            </w:r>
            <w:r>
              <w:rPr>
                <w:rFonts w:hint="eastAsia"/>
                <w:color w:val="auto"/>
                <w:kern w:val="0"/>
                <w:position w:val="-3"/>
                <w:sz w:val="21"/>
                <w:szCs w:val="21"/>
                <w:highlight w:val="none"/>
              </w:rPr>
              <w:t>）</w:t>
            </w:r>
          </w:p>
        </w:tc>
        <w:tc>
          <w:tcPr>
            <w:tcW w:w="2551"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color w:val="auto"/>
                <w:kern w:val="0"/>
                <w:position w:val="-3"/>
                <w:sz w:val="21"/>
                <w:szCs w:val="21"/>
                <w:highlight w:val="none"/>
              </w:rPr>
            </w:pPr>
            <w:r>
              <w:rPr>
                <w:rFonts w:hint="eastAsia"/>
                <w:color w:val="auto"/>
                <w:kern w:val="0"/>
                <w:position w:val="-3"/>
                <w:sz w:val="21"/>
                <w:szCs w:val="21"/>
                <w:highlight w:val="none"/>
              </w:rPr>
              <w:t>建议控制指标排放量（</w:t>
            </w:r>
            <w:r>
              <w:rPr>
                <w:color w:val="auto"/>
                <w:kern w:val="0"/>
                <w:position w:val="-3"/>
                <w:sz w:val="21"/>
                <w:szCs w:val="21"/>
                <w:highlight w:val="none"/>
              </w:rPr>
              <w:t>t/a</w:t>
            </w:r>
            <w:r>
              <w:rPr>
                <w:rFonts w:hint="eastAsia"/>
                <w:color w:val="auto"/>
                <w:kern w:val="0"/>
                <w:position w:val="-3"/>
                <w:sz w:val="21"/>
                <w:szCs w:val="21"/>
                <w:highlight w:val="none"/>
              </w:rPr>
              <w:t>）</w:t>
            </w:r>
          </w:p>
        </w:tc>
        <w:tc>
          <w:tcPr>
            <w:tcW w:w="1665" w:type="dxa"/>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color w:val="auto"/>
                <w:kern w:val="0"/>
                <w:position w:val="-3"/>
                <w:sz w:val="21"/>
                <w:szCs w:val="21"/>
                <w:highlight w:val="none"/>
              </w:rPr>
            </w:pPr>
            <w:r>
              <w:rPr>
                <w:rFonts w:hint="eastAsia"/>
                <w:color w:val="auto"/>
                <w:kern w:val="0"/>
                <w:position w:val="-3"/>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856" w:type="dxa"/>
            <w:vAlign w:val="center"/>
          </w:tcPr>
          <w:p>
            <w:pPr>
              <w:pStyle w:val="12"/>
              <w:keepNext w:val="0"/>
              <w:keepLines w:val="0"/>
              <w:pageBreakBefore w:val="0"/>
              <w:kinsoku/>
              <w:wordWrap/>
              <w:overflowPunct/>
              <w:topLinePunct w:val="0"/>
              <w:autoSpaceDE/>
              <w:autoSpaceDN/>
              <w:bidi w:val="0"/>
              <w:adjustRightInd/>
              <w:spacing w:after="0" w:line="240" w:lineRule="auto"/>
              <w:jc w:val="center"/>
              <w:rPr>
                <w:color w:val="auto"/>
                <w:sz w:val="21"/>
                <w:szCs w:val="21"/>
                <w:highlight w:val="none"/>
              </w:rPr>
            </w:pPr>
            <w:r>
              <w:rPr>
                <w:rFonts w:hint="eastAsia"/>
                <w:color w:val="auto"/>
                <w:sz w:val="21"/>
                <w:szCs w:val="21"/>
                <w:highlight w:val="none"/>
              </w:rPr>
              <w:t>氯化氢</w:t>
            </w:r>
          </w:p>
        </w:tc>
        <w:tc>
          <w:tcPr>
            <w:tcW w:w="1513"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color w:val="auto"/>
                <w:sz w:val="21"/>
                <w:szCs w:val="21"/>
                <w:highlight w:val="none"/>
              </w:rPr>
            </w:pPr>
            <w:r>
              <w:rPr>
                <w:color w:val="auto"/>
                <w:kern w:val="0"/>
                <w:sz w:val="21"/>
                <w:szCs w:val="21"/>
                <w:highlight w:val="none"/>
                <w:lang w:bidi="ar"/>
              </w:rPr>
              <w:t xml:space="preserve">0.0179 </w:t>
            </w:r>
          </w:p>
        </w:tc>
        <w:tc>
          <w:tcPr>
            <w:tcW w:w="170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0.0023</w:t>
            </w:r>
          </w:p>
        </w:tc>
        <w:tc>
          <w:tcPr>
            <w:tcW w:w="255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color w:val="auto"/>
                <w:sz w:val="21"/>
                <w:szCs w:val="21"/>
                <w:highlight w:val="none"/>
              </w:rPr>
            </w:pPr>
            <w:r>
              <w:rPr>
                <w:color w:val="auto"/>
                <w:kern w:val="0"/>
                <w:sz w:val="21"/>
                <w:szCs w:val="21"/>
                <w:highlight w:val="none"/>
                <w:lang w:bidi="ar"/>
              </w:rPr>
              <w:t>0.0156</w:t>
            </w:r>
          </w:p>
        </w:tc>
        <w:tc>
          <w:tcPr>
            <w:tcW w:w="1665" w:type="dxa"/>
            <w:vAlign w:val="center"/>
          </w:tcPr>
          <w:p>
            <w:pPr>
              <w:keepNext w:val="0"/>
              <w:keepLines w:val="0"/>
              <w:pageBreakBefore w:val="0"/>
              <w:kinsoku/>
              <w:wordWrap/>
              <w:overflowPunct/>
              <w:topLinePunct w:val="0"/>
              <w:autoSpaceDE/>
              <w:autoSpaceDN/>
              <w:bidi w:val="0"/>
              <w:adjustRightInd/>
              <w:spacing w:line="240" w:lineRule="auto"/>
              <w:jc w:val="center"/>
              <w:rPr>
                <w:color w:val="auto"/>
                <w:sz w:val="21"/>
                <w:szCs w:val="21"/>
                <w:highlight w:val="none"/>
              </w:rPr>
            </w:pPr>
            <w:r>
              <w:rPr>
                <w:rFonts w:hint="eastAsia"/>
                <w:color w:val="auto"/>
                <w:sz w:val="21"/>
                <w:szCs w:val="21"/>
                <w:highlight w:val="none"/>
              </w:rPr>
              <w:t>非限制性指标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856" w:type="dxa"/>
            <w:vAlign w:val="center"/>
          </w:tcPr>
          <w:p>
            <w:pPr>
              <w:pStyle w:val="12"/>
              <w:keepNext w:val="0"/>
              <w:keepLines w:val="0"/>
              <w:pageBreakBefore w:val="0"/>
              <w:kinsoku/>
              <w:wordWrap/>
              <w:overflowPunct/>
              <w:topLinePunct w:val="0"/>
              <w:autoSpaceDE/>
              <w:autoSpaceDN/>
              <w:bidi w:val="0"/>
              <w:adjustRightInd/>
              <w:spacing w:after="0" w:line="240" w:lineRule="auto"/>
              <w:jc w:val="center"/>
              <w:rPr>
                <w:rFonts w:hint="eastAsia"/>
                <w:color w:val="auto"/>
                <w:sz w:val="21"/>
                <w:szCs w:val="21"/>
                <w:highlight w:val="none"/>
              </w:rPr>
            </w:pPr>
            <w:r>
              <w:rPr>
                <w:rFonts w:hint="eastAsia"/>
                <w:color w:val="auto"/>
                <w:sz w:val="21"/>
                <w:szCs w:val="21"/>
                <w:highlight w:val="none"/>
              </w:rPr>
              <w:t>氟化物</w:t>
            </w:r>
          </w:p>
        </w:tc>
        <w:tc>
          <w:tcPr>
            <w:tcW w:w="1513"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 xml:space="preserve">0.0384 </w:t>
            </w:r>
          </w:p>
        </w:tc>
        <w:tc>
          <w:tcPr>
            <w:tcW w:w="170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0.03326</w:t>
            </w:r>
          </w:p>
        </w:tc>
        <w:tc>
          <w:tcPr>
            <w:tcW w:w="255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 xml:space="preserve">0.00514 </w:t>
            </w:r>
          </w:p>
        </w:tc>
        <w:tc>
          <w:tcPr>
            <w:tcW w:w="1665" w:type="dxa"/>
            <w:vAlign w:val="center"/>
          </w:tcPr>
          <w:p>
            <w:pPr>
              <w:keepNext w:val="0"/>
              <w:keepLines w:val="0"/>
              <w:pageBreakBefore w:val="0"/>
              <w:kinsoku/>
              <w:wordWrap/>
              <w:overflowPunct/>
              <w:topLinePunct w:val="0"/>
              <w:autoSpaceDE/>
              <w:autoSpaceDN/>
              <w:bidi w:val="0"/>
              <w:adjustRightInd/>
              <w:spacing w:line="240" w:lineRule="auto"/>
              <w:jc w:val="center"/>
              <w:rPr>
                <w:rFonts w:hint="eastAsia"/>
                <w:color w:val="auto"/>
                <w:sz w:val="21"/>
                <w:szCs w:val="21"/>
                <w:highlight w:val="none"/>
              </w:rPr>
            </w:pPr>
            <w:r>
              <w:rPr>
                <w:rFonts w:hint="eastAsia"/>
                <w:color w:val="auto"/>
                <w:sz w:val="21"/>
                <w:szCs w:val="21"/>
                <w:highlight w:val="none"/>
              </w:rPr>
              <w:t>非限制性指标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856" w:type="dxa"/>
            <w:vAlign w:val="center"/>
          </w:tcPr>
          <w:p>
            <w:pPr>
              <w:pStyle w:val="12"/>
              <w:keepNext w:val="0"/>
              <w:keepLines w:val="0"/>
              <w:pageBreakBefore w:val="0"/>
              <w:kinsoku/>
              <w:wordWrap/>
              <w:overflowPunct/>
              <w:topLinePunct w:val="0"/>
              <w:autoSpaceDE/>
              <w:autoSpaceDN/>
              <w:bidi w:val="0"/>
              <w:adjustRightInd/>
              <w:spacing w:after="0" w:line="240" w:lineRule="auto"/>
              <w:jc w:val="center"/>
              <w:rPr>
                <w:rFonts w:hint="eastAsia"/>
                <w:color w:val="auto"/>
                <w:sz w:val="21"/>
                <w:szCs w:val="21"/>
                <w:highlight w:val="none"/>
              </w:rPr>
            </w:pPr>
            <w:r>
              <w:rPr>
                <w:rFonts w:hint="eastAsia"/>
                <w:color w:val="auto"/>
                <w:sz w:val="21"/>
                <w:szCs w:val="21"/>
                <w:highlight w:val="none"/>
              </w:rPr>
              <w:t>铬酸雾</w:t>
            </w:r>
          </w:p>
        </w:tc>
        <w:tc>
          <w:tcPr>
            <w:tcW w:w="1513"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 xml:space="preserve">0.000257 </w:t>
            </w:r>
          </w:p>
        </w:tc>
        <w:tc>
          <w:tcPr>
            <w:tcW w:w="170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0.000179</w:t>
            </w:r>
          </w:p>
        </w:tc>
        <w:tc>
          <w:tcPr>
            <w:tcW w:w="255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0.000078</w:t>
            </w:r>
          </w:p>
        </w:tc>
        <w:tc>
          <w:tcPr>
            <w:tcW w:w="1665" w:type="dxa"/>
            <w:vAlign w:val="center"/>
          </w:tcPr>
          <w:p>
            <w:pPr>
              <w:keepNext w:val="0"/>
              <w:keepLines w:val="0"/>
              <w:pageBreakBefore w:val="0"/>
              <w:kinsoku/>
              <w:wordWrap/>
              <w:overflowPunct/>
              <w:topLinePunct w:val="0"/>
              <w:autoSpaceDE/>
              <w:autoSpaceDN/>
              <w:bidi w:val="0"/>
              <w:adjustRightInd/>
              <w:spacing w:line="240" w:lineRule="auto"/>
              <w:jc w:val="center"/>
              <w:rPr>
                <w:rFonts w:hint="eastAsia"/>
                <w:color w:val="auto"/>
                <w:sz w:val="21"/>
                <w:szCs w:val="21"/>
                <w:highlight w:val="none"/>
              </w:rPr>
            </w:pPr>
            <w:r>
              <w:rPr>
                <w:rFonts w:hint="eastAsia"/>
                <w:color w:val="auto"/>
                <w:sz w:val="21"/>
                <w:szCs w:val="21"/>
                <w:highlight w:val="none"/>
              </w:rPr>
              <w:t>非限制性指标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856" w:type="dxa"/>
            <w:vAlign w:val="center"/>
          </w:tcPr>
          <w:p>
            <w:pPr>
              <w:pStyle w:val="12"/>
              <w:keepNext w:val="0"/>
              <w:keepLines w:val="0"/>
              <w:pageBreakBefore w:val="0"/>
              <w:kinsoku/>
              <w:wordWrap/>
              <w:overflowPunct/>
              <w:topLinePunct w:val="0"/>
              <w:autoSpaceDE/>
              <w:autoSpaceDN/>
              <w:bidi w:val="0"/>
              <w:adjustRightInd/>
              <w:spacing w:after="0" w:line="240" w:lineRule="auto"/>
              <w:jc w:val="center"/>
              <w:rPr>
                <w:rFonts w:hint="eastAsia"/>
                <w:color w:val="auto"/>
                <w:sz w:val="21"/>
                <w:szCs w:val="21"/>
                <w:highlight w:val="none"/>
              </w:rPr>
            </w:pPr>
            <w:r>
              <w:rPr>
                <w:rFonts w:hint="eastAsia"/>
                <w:color w:val="auto"/>
                <w:sz w:val="21"/>
                <w:szCs w:val="21"/>
                <w:highlight w:val="none"/>
              </w:rPr>
              <w:t>硫酸雾</w:t>
            </w:r>
          </w:p>
        </w:tc>
        <w:tc>
          <w:tcPr>
            <w:tcW w:w="1513"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0.00000754</w:t>
            </w:r>
          </w:p>
        </w:tc>
        <w:tc>
          <w:tcPr>
            <w:tcW w:w="170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0.00000122</w:t>
            </w:r>
          </w:p>
        </w:tc>
        <w:tc>
          <w:tcPr>
            <w:tcW w:w="255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 xml:space="preserve">0.00000632 </w:t>
            </w:r>
          </w:p>
        </w:tc>
        <w:tc>
          <w:tcPr>
            <w:tcW w:w="1665" w:type="dxa"/>
            <w:vAlign w:val="center"/>
          </w:tcPr>
          <w:p>
            <w:pPr>
              <w:keepNext w:val="0"/>
              <w:keepLines w:val="0"/>
              <w:pageBreakBefore w:val="0"/>
              <w:kinsoku/>
              <w:wordWrap/>
              <w:overflowPunct/>
              <w:topLinePunct w:val="0"/>
              <w:autoSpaceDE/>
              <w:autoSpaceDN/>
              <w:bidi w:val="0"/>
              <w:adjustRightInd/>
              <w:spacing w:line="240" w:lineRule="auto"/>
              <w:jc w:val="center"/>
              <w:rPr>
                <w:rFonts w:hint="eastAsia"/>
                <w:color w:val="auto"/>
                <w:sz w:val="21"/>
                <w:szCs w:val="21"/>
                <w:highlight w:val="none"/>
              </w:rPr>
            </w:pPr>
            <w:r>
              <w:rPr>
                <w:rFonts w:hint="eastAsia"/>
                <w:color w:val="auto"/>
                <w:sz w:val="21"/>
                <w:szCs w:val="21"/>
                <w:highlight w:val="none"/>
              </w:rPr>
              <w:t>非限制性指标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856" w:type="dxa"/>
            <w:vAlign w:val="center"/>
          </w:tcPr>
          <w:p>
            <w:pPr>
              <w:pStyle w:val="12"/>
              <w:keepNext w:val="0"/>
              <w:keepLines w:val="0"/>
              <w:pageBreakBefore w:val="0"/>
              <w:kinsoku/>
              <w:wordWrap/>
              <w:overflowPunct/>
              <w:topLinePunct w:val="0"/>
              <w:autoSpaceDE/>
              <w:autoSpaceDN/>
              <w:bidi w:val="0"/>
              <w:adjustRightInd/>
              <w:spacing w:after="0" w:line="240" w:lineRule="auto"/>
              <w:jc w:val="center"/>
              <w:rPr>
                <w:rFonts w:hint="eastAsia"/>
                <w:color w:val="auto"/>
                <w:sz w:val="21"/>
                <w:szCs w:val="21"/>
                <w:highlight w:val="none"/>
              </w:rPr>
            </w:pPr>
            <w:r>
              <w:rPr>
                <w:rFonts w:hint="eastAsia"/>
                <w:color w:val="auto"/>
                <w:sz w:val="21"/>
                <w:szCs w:val="21"/>
                <w:highlight w:val="none"/>
              </w:rPr>
              <w:t>氰化氢</w:t>
            </w:r>
          </w:p>
        </w:tc>
        <w:tc>
          <w:tcPr>
            <w:tcW w:w="1513"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 xml:space="preserve">0.00028 </w:t>
            </w:r>
          </w:p>
        </w:tc>
        <w:tc>
          <w:tcPr>
            <w:tcW w:w="170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0.00002</w:t>
            </w:r>
          </w:p>
        </w:tc>
        <w:tc>
          <w:tcPr>
            <w:tcW w:w="2551" w:type="dxa"/>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color w:val="auto"/>
                <w:sz w:val="21"/>
                <w:szCs w:val="21"/>
                <w:highlight w:val="none"/>
              </w:rPr>
            </w:pPr>
            <w:r>
              <w:rPr>
                <w:color w:val="auto"/>
                <w:kern w:val="0"/>
                <w:sz w:val="21"/>
                <w:szCs w:val="21"/>
                <w:highlight w:val="none"/>
                <w:lang w:bidi="ar"/>
              </w:rPr>
              <w:t>0.00026</w:t>
            </w:r>
          </w:p>
        </w:tc>
        <w:tc>
          <w:tcPr>
            <w:tcW w:w="1665" w:type="dxa"/>
            <w:vAlign w:val="center"/>
          </w:tcPr>
          <w:p>
            <w:pPr>
              <w:keepNext w:val="0"/>
              <w:keepLines w:val="0"/>
              <w:pageBreakBefore w:val="0"/>
              <w:kinsoku/>
              <w:wordWrap/>
              <w:overflowPunct/>
              <w:topLinePunct w:val="0"/>
              <w:autoSpaceDE/>
              <w:autoSpaceDN/>
              <w:bidi w:val="0"/>
              <w:adjustRightInd/>
              <w:spacing w:line="240" w:lineRule="auto"/>
              <w:jc w:val="center"/>
              <w:rPr>
                <w:rFonts w:hint="eastAsia"/>
                <w:color w:val="auto"/>
                <w:sz w:val="21"/>
                <w:szCs w:val="21"/>
                <w:highlight w:val="none"/>
              </w:rPr>
            </w:pPr>
            <w:r>
              <w:rPr>
                <w:rFonts w:hint="eastAsia"/>
                <w:color w:val="auto"/>
                <w:sz w:val="21"/>
                <w:szCs w:val="21"/>
                <w:highlight w:val="none"/>
              </w:rPr>
              <w:t>非限制性指标</w:t>
            </w:r>
          </w:p>
        </w:tc>
      </w:tr>
    </w:tbl>
    <w:p>
      <w:pPr>
        <w:pStyle w:val="31"/>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ascii="Times New Roman" w:hAnsi="Times New Roman"/>
          <w:color w:val="auto"/>
          <w:highlight w:val="none"/>
        </w:rPr>
      </w:pPr>
      <w:r>
        <w:rPr>
          <w:rFonts w:hint="eastAsia" w:ascii="Times New Roman" w:hAnsi="Times New Roman"/>
          <w:color w:val="auto"/>
          <w:highlight w:val="none"/>
        </w:rPr>
        <w:t>十三、结论与建议</w:t>
      </w:r>
    </w:p>
    <w:p>
      <w:pPr>
        <w:pStyle w:val="37"/>
        <w:snapToGrid w:val="0"/>
        <w:spacing w:line="360" w:lineRule="auto"/>
        <w:rPr>
          <w:rFonts w:ascii="Times New Roman" w:hAnsi="Times New Roman"/>
          <w:color w:val="auto"/>
        </w:rPr>
      </w:pPr>
      <w:r>
        <w:rPr>
          <w:rFonts w:ascii="Times New Roman" w:hAnsi="Times New Roman"/>
          <w:color w:val="auto"/>
        </w:rPr>
        <w:t>1</w:t>
      </w:r>
      <w:r>
        <w:rPr>
          <w:rFonts w:hint="eastAsia" w:ascii="Times New Roman" w:hAnsi="Times New Roman"/>
          <w:color w:val="auto"/>
        </w:rPr>
        <w:t>3</w:t>
      </w:r>
      <w:r>
        <w:rPr>
          <w:rFonts w:ascii="Times New Roman" w:hAnsi="Times New Roman"/>
          <w:color w:val="auto"/>
        </w:rPr>
        <w:t>.1</w:t>
      </w:r>
      <w:r>
        <w:rPr>
          <w:rFonts w:hint="eastAsia" w:ascii="Times New Roman" w:hAnsi="Times New Roman"/>
          <w:color w:val="auto"/>
        </w:rPr>
        <w:t>项目概况</w:t>
      </w:r>
    </w:p>
    <w:p>
      <w:pPr>
        <w:autoSpaceDE w:val="0"/>
        <w:autoSpaceDN w:val="0"/>
        <w:adjustRightInd w:val="0"/>
        <w:snapToGrid w:val="0"/>
        <w:spacing w:line="360" w:lineRule="auto"/>
        <w:ind w:firstLine="480" w:firstLineChars="200"/>
        <w:rPr>
          <w:rFonts w:hint="eastAsia" w:hAnsi="宋体" w:eastAsia="宋体"/>
          <w:color w:val="auto"/>
          <w:kern w:val="0"/>
          <w:sz w:val="24"/>
          <w:lang w:eastAsia="zh-CN"/>
        </w:rPr>
      </w:pPr>
      <w:r>
        <w:rPr>
          <w:rFonts w:hint="eastAsia" w:hAnsi="宋体"/>
          <w:color w:val="auto"/>
          <w:kern w:val="0"/>
          <w:sz w:val="24"/>
        </w:rPr>
        <w:t>项目名称：</w:t>
      </w:r>
      <w:r>
        <w:rPr>
          <w:rFonts w:hint="eastAsia" w:hAnsi="宋体"/>
          <w:color w:val="auto"/>
          <w:kern w:val="0"/>
          <w:sz w:val="24"/>
          <w:lang w:eastAsia="zh-CN"/>
        </w:rPr>
        <w:t>各类金属元件表面处理项目</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建设单位：福鼎市质达金属表面处理有限公司</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建设地点：福鼎市文渡工业区</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总 投 资：380万元</w:t>
      </w:r>
    </w:p>
    <w:p>
      <w:pPr>
        <w:autoSpaceDE w:val="0"/>
        <w:autoSpaceDN w:val="0"/>
        <w:adjustRightInd w:val="0"/>
        <w:snapToGrid w:val="0"/>
        <w:spacing w:line="360" w:lineRule="auto"/>
        <w:ind w:firstLine="480" w:firstLineChars="200"/>
        <w:rPr>
          <w:rFonts w:hAnsi="宋体"/>
          <w:color w:val="auto"/>
          <w:kern w:val="0"/>
          <w:sz w:val="24"/>
        </w:rPr>
      </w:pPr>
      <w:r>
        <w:rPr>
          <w:rFonts w:hint="eastAsia" w:hAnsi="宋体"/>
          <w:color w:val="auto"/>
          <w:kern w:val="0"/>
          <w:sz w:val="24"/>
        </w:rPr>
        <w:t>建设内容：项目租赁福鼎市众鑫金属表面处理集控中心</w:t>
      </w:r>
      <w:r>
        <w:rPr>
          <w:rFonts w:hint="eastAsia"/>
          <w:color w:val="auto"/>
          <w:sz w:val="24"/>
        </w:rPr>
        <w:t>2#厂房一层1号车间，面积932平方米，原有生产线设备（龙门挂锌合金钝化（铝合金氧化）共用生产线，半自动镀铜、镍生产线，手动锌合金钝化线）均</w:t>
      </w:r>
      <w:r>
        <w:rPr>
          <w:rFonts w:hint="eastAsia"/>
          <w:color w:val="auto"/>
          <w:sz w:val="24"/>
        </w:rPr>
        <w:t>搬至新</w:t>
      </w:r>
      <w:r>
        <w:rPr>
          <w:rFonts w:hint="eastAsia"/>
          <w:color w:val="auto"/>
          <w:sz w:val="24"/>
          <w:lang w:eastAsia="zh-CN"/>
        </w:rPr>
        <w:t>车间</w:t>
      </w:r>
      <w:r>
        <w:rPr>
          <w:rFonts w:hint="eastAsia"/>
          <w:color w:val="auto"/>
          <w:sz w:val="24"/>
        </w:rPr>
        <w:t>，同时新建1条龙门挂铝合金氧化生产线，原有龙门挂锌合金钝化（铝合金氧化）共用线仅用于锌合金钝化。年加工化油器400吨。</w:t>
      </w:r>
    </w:p>
    <w:p>
      <w:pPr>
        <w:autoSpaceDE w:val="0"/>
        <w:autoSpaceDN w:val="0"/>
        <w:adjustRightInd w:val="0"/>
        <w:snapToGrid w:val="0"/>
        <w:spacing w:line="360" w:lineRule="auto"/>
        <w:ind w:firstLine="480" w:firstLineChars="200"/>
        <w:rPr>
          <w:color w:val="auto"/>
          <w:sz w:val="24"/>
        </w:rPr>
      </w:pPr>
      <w:r>
        <w:rPr>
          <w:rFonts w:hint="eastAsia" w:hAnsi="宋体"/>
          <w:color w:val="auto"/>
          <w:kern w:val="0"/>
          <w:sz w:val="24"/>
        </w:rPr>
        <w:t>生产定员：</w:t>
      </w:r>
      <w:r>
        <w:rPr>
          <w:rFonts w:hint="eastAsia"/>
          <w:color w:val="auto"/>
          <w:kern w:val="0"/>
          <w:sz w:val="24"/>
        </w:rPr>
        <w:t>员工2</w:t>
      </w:r>
      <w:r>
        <w:rPr>
          <w:color w:val="auto"/>
          <w:kern w:val="0"/>
          <w:sz w:val="24"/>
        </w:rPr>
        <w:t>0</w:t>
      </w:r>
      <w:r>
        <w:rPr>
          <w:rFonts w:hint="eastAsia"/>
          <w:color w:val="auto"/>
          <w:kern w:val="0"/>
          <w:sz w:val="24"/>
        </w:rPr>
        <w:t>人（均不住厂），工作制度为</w:t>
      </w:r>
      <w:r>
        <w:rPr>
          <w:rFonts w:hint="eastAsia"/>
          <w:color w:val="auto"/>
          <w:kern w:val="0"/>
          <w:sz w:val="24"/>
          <w:lang w:val="en-US" w:eastAsia="zh-CN"/>
        </w:rPr>
        <w:t>10</w:t>
      </w:r>
      <w:r>
        <w:rPr>
          <w:rFonts w:hint="eastAsia"/>
          <w:color w:val="auto"/>
          <w:kern w:val="0"/>
          <w:sz w:val="24"/>
        </w:rPr>
        <w:t>h</w:t>
      </w:r>
      <w:r>
        <w:rPr>
          <w:rFonts w:hint="eastAsia"/>
          <w:color w:val="auto"/>
          <w:sz w:val="24"/>
        </w:rPr>
        <w:t>单班制，年工作日</w:t>
      </w:r>
      <w:r>
        <w:rPr>
          <w:rFonts w:hint="eastAsia"/>
          <w:color w:val="auto"/>
          <w:sz w:val="24"/>
          <w:lang w:val="en-US" w:eastAsia="zh-CN"/>
        </w:rPr>
        <w:t>26</w:t>
      </w:r>
      <w:r>
        <w:rPr>
          <w:color w:val="auto"/>
          <w:sz w:val="24"/>
        </w:rPr>
        <w:t>0</w:t>
      </w:r>
      <w:r>
        <w:rPr>
          <w:rFonts w:hint="eastAsia"/>
          <w:color w:val="auto"/>
          <w:sz w:val="24"/>
        </w:rPr>
        <w:t>天。</w:t>
      </w:r>
    </w:p>
    <w:p>
      <w:pPr>
        <w:pStyle w:val="37"/>
        <w:snapToGrid w:val="0"/>
        <w:spacing w:line="360" w:lineRule="auto"/>
        <w:rPr>
          <w:rFonts w:ascii="Times New Roman" w:hAnsi="Times New Roman"/>
          <w:color w:val="auto"/>
        </w:rPr>
      </w:pPr>
      <w:r>
        <w:rPr>
          <w:rFonts w:hint="eastAsia" w:ascii="Times New Roman" w:hAnsi="Times New Roman"/>
          <w:color w:val="auto"/>
        </w:rPr>
        <w:t>13</w:t>
      </w:r>
      <w:r>
        <w:rPr>
          <w:rFonts w:ascii="Times New Roman" w:hAnsi="Times New Roman"/>
          <w:color w:val="auto"/>
        </w:rPr>
        <w:t>.2</w:t>
      </w:r>
      <w:r>
        <w:rPr>
          <w:rFonts w:hint="eastAsia" w:ascii="Times New Roman" w:hAnsi="Times New Roman"/>
          <w:color w:val="auto"/>
        </w:rPr>
        <w:t>产业政策合理性结论</w:t>
      </w:r>
    </w:p>
    <w:p>
      <w:pPr>
        <w:tabs>
          <w:tab w:val="left" w:pos="2660"/>
        </w:tabs>
        <w:spacing w:line="360" w:lineRule="auto"/>
        <w:ind w:firstLine="480" w:firstLineChars="200"/>
        <w:rPr>
          <w:color w:val="auto"/>
          <w:sz w:val="24"/>
        </w:rPr>
      </w:pPr>
      <w:r>
        <w:rPr>
          <w:rFonts w:hint="eastAsia" w:hAnsi="宋体"/>
          <w:color w:val="auto"/>
          <w:sz w:val="24"/>
        </w:rPr>
        <w:t>本项目的建设基本符合国家当前的产业政策，项目涉及氰化镀铜属于</w:t>
      </w:r>
      <w:r>
        <w:rPr>
          <w:rFonts w:hint="eastAsia"/>
          <w:color w:val="auto"/>
          <w:sz w:val="24"/>
        </w:rPr>
        <w:t>《产业结构调整指导目录（</w:t>
      </w:r>
      <w:r>
        <w:rPr>
          <w:color w:val="auto"/>
          <w:sz w:val="24"/>
        </w:rPr>
        <w:t>2011</w:t>
      </w:r>
      <w:r>
        <w:rPr>
          <w:rFonts w:hint="eastAsia"/>
          <w:color w:val="auto"/>
          <w:sz w:val="24"/>
        </w:rPr>
        <w:t>年本）》</w:t>
      </w:r>
      <w:r>
        <w:rPr>
          <w:color w:val="auto"/>
          <w:sz w:val="24"/>
        </w:rPr>
        <w:t>2013</w:t>
      </w:r>
      <w:r>
        <w:rPr>
          <w:rFonts w:hint="eastAsia"/>
          <w:color w:val="auto"/>
          <w:sz w:val="24"/>
        </w:rPr>
        <w:t>年修订中暂缓淘汰工艺，要求若后期政策要求淘汰氰化镀铜工艺，企业应该按照最新政策要求对生产线进行升级整改</w:t>
      </w:r>
      <w:r>
        <w:rPr>
          <w:color w:val="auto"/>
          <w:sz w:val="24"/>
        </w:rPr>
        <w:t>。</w:t>
      </w:r>
    </w:p>
    <w:p>
      <w:pPr>
        <w:pStyle w:val="37"/>
        <w:snapToGrid w:val="0"/>
        <w:spacing w:line="360" w:lineRule="auto"/>
        <w:rPr>
          <w:rFonts w:ascii="Times New Roman" w:hAnsi="Times New Roman"/>
          <w:color w:val="auto"/>
        </w:rPr>
      </w:pPr>
      <w:r>
        <w:rPr>
          <w:rFonts w:hint="eastAsia" w:ascii="Times New Roman" w:hAnsi="Times New Roman"/>
          <w:color w:val="auto"/>
        </w:rPr>
        <w:t>13</w:t>
      </w:r>
      <w:r>
        <w:rPr>
          <w:rFonts w:ascii="Times New Roman" w:hAnsi="Times New Roman"/>
          <w:color w:val="auto"/>
        </w:rPr>
        <w:t>.3</w:t>
      </w:r>
      <w:r>
        <w:rPr>
          <w:rFonts w:hint="eastAsia" w:ascii="Times New Roman" w:hAnsi="Times New Roman"/>
          <w:color w:val="auto"/>
        </w:rPr>
        <w:t>选址及平面布局合理性结论</w:t>
      </w:r>
    </w:p>
    <w:p>
      <w:pPr>
        <w:spacing w:line="360" w:lineRule="auto"/>
        <w:ind w:firstLine="480" w:firstLineChars="200"/>
        <w:rPr>
          <w:color w:val="auto"/>
          <w:sz w:val="24"/>
        </w:rPr>
      </w:pPr>
      <w:r>
        <w:rPr>
          <w:rFonts w:hint="eastAsia"/>
          <w:color w:val="auto"/>
          <w:sz w:val="24"/>
        </w:rPr>
        <w:t>本项目位于福鼎市文渡工业区文渡金属表面处理集控中心内，周边均为工业区，环境敏感性低，通过环境影响分析，本项目符合区域大气、水、声环境功能区划要求，且与周边环境兼容且相互适应，从环境保护角度分析选址合理。</w:t>
      </w:r>
    </w:p>
    <w:p>
      <w:pPr>
        <w:pStyle w:val="18"/>
        <w:spacing w:line="360" w:lineRule="auto"/>
        <w:ind w:firstLine="480" w:firstLineChars="200"/>
        <w:rPr>
          <w:rFonts w:ascii="Times New Roman" w:hAnsi="Times New Roman" w:cs="Times New Roman"/>
          <w:color w:val="auto"/>
        </w:rPr>
      </w:pPr>
      <w:r>
        <w:rPr>
          <w:rFonts w:hint="eastAsia" w:ascii="Times New Roman" w:hAnsi="宋体" w:cs="Times New Roman"/>
          <w:color w:val="auto"/>
        </w:rPr>
        <w:t>项目的总平面布置基本上做到流程合理、减少污染、交通畅顺，各建筑之间的距离符合防火间距要求，功能分区明确，总平面布置基本合理。</w:t>
      </w:r>
    </w:p>
    <w:p>
      <w:pPr>
        <w:pStyle w:val="37"/>
        <w:snapToGrid w:val="0"/>
        <w:spacing w:line="360" w:lineRule="auto"/>
        <w:rPr>
          <w:rFonts w:ascii="Times New Roman" w:hAnsi="Times New Roman"/>
          <w:color w:val="auto"/>
        </w:rPr>
      </w:pPr>
      <w:r>
        <w:rPr>
          <w:rFonts w:hint="eastAsia" w:ascii="Times New Roman" w:hAnsi="Times New Roman"/>
          <w:color w:val="auto"/>
        </w:rPr>
        <w:t>13</w:t>
      </w:r>
      <w:r>
        <w:rPr>
          <w:rFonts w:ascii="Times New Roman" w:hAnsi="Times New Roman"/>
          <w:color w:val="auto"/>
        </w:rPr>
        <w:t>.4</w:t>
      </w:r>
      <w:r>
        <w:rPr>
          <w:rFonts w:hint="eastAsia" w:ascii="Times New Roman" w:hAnsi="Times New Roman"/>
          <w:color w:val="auto"/>
        </w:rPr>
        <w:t>环境现状达标分析结论</w:t>
      </w:r>
    </w:p>
    <w:p>
      <w:pPr>
        <w:snapToGrid w:val="0"/>
        <w:spacing w:line="360" w:lineRule="auto"/>
        <w:outlineLvl w:val="2"/>
        <w:rPr>
          <w:b/>
          <w:color w:val="auto"/>
          <w:sz w:val="24"/>
        </w:rPr>
      </w:pPr>
      <w:r>
        <w:rPr>
          <w:rFonts w:hint="eastAsia"/>
          <w:b/>
          <w:color w:val="auto"/>
          <w:sz w:val="24"/>
        </w:rPr>
        <w:t>13</w:t>
      </w:r>
      <w:r>
        <w:rPr>
          <w:b/>
          <w:color w:val="auto"/>
          <w:sz w:val="24"/>
        </w:rPr>
        <w:t>.4.1</w:t>
      </w:r>
      <w:r>
        <w:rPr>
          <w:rFonts w:hint="eastAsia"/>
          <w:b/>
          <w:color w:val="auto"/>
          <w:sz w:val="24"/>
        </w:rPr>
        <w:t>水环境质量现状</w:t>
      </w:r>
    </w:p>
    <w:p>
      <w:pPr>
        <w:pStyle w:val="64"/>
        <w:spacing w:line="360" w:lineRule="auto"/>
        <w:rPr>
          <w:rFonts w:cs="Times New Roman"/>
          <w:color w:val="auto"/>
          <w:spacing w:val="-6"/>
          <w:kern w:val="2"/>
        </w:rPr>
      </w:pPr>
      <w:r>
        <w:rPr>
          <w:rFonts w:hint="eastAsia"/>
          <w:color w:val="auto"/>
        </w:rPr>
        <w:t>本项目</w:t>
      </w:r>
      <w:r>
        <w:rPr>
          <w:rFonts w:cs="Times New Roman"/>
          <w:color w:val="auto"/>
          <w:spacing w:val="-6"/>
        </w:rPr>
        <w:t>引用《巨龙光学(福建)有限公司眼睛框镀件项目环境影响环境影响报告书》2017年9月28日~30日对柏洋溪、滞洪区水质的监测数据</w:t>
      </w:r>
      <w:r>
        <w:rPr>
          <w:rFonts w:hint="eastAsia"/>
          <w:color w:val="auto"/>
        </w:rPr>
        <w:t>，监测结果表明，项目周边</w:t>
      </w:r>
      <w:r>
        <w:rPr>
          <w:rFonts w:hint="eastAsia" w:cs="Times New Roman"/>
          <w:color w:val="auto"/>
          <w:spacing w:val="-6"/>
          <w:kern w:val="2"/>
        </w:rPr>
        <w:t>柏洋溪和滞洪区排海口的水质尚好，各指标均满足 GB3838-2002《地表水环境质量标准》Ⅲ类标准值。</w:t>
      </w:r>
    </w:p>
    <w:p>
      <w:pPr>
        <w:snapToGrid w:val="0"/>
        <w:spacing w:line="360" w:lineRule="auto"/>
        <w:outlineLvl w:val="2"/>
        <w:rPr>
          <w:b/>
          <w:color w:val="auto"/>
          <w:sz w:val="24"/>
        </w:rPr>
      </w:pPr>
      <w:r>
        <w:rPr>
          <w:rFonts w:hint="eastAsia"/>
          <w:b/>
          <w:color w:val="auto"/>
          <w:sz w:val="24"/>
        </w:rPr>
        <w:t>13</w:t>
      </w:r>
      <w:r>
        <w:rPr>
          <w:b/>
          <w:color w:val="auto"/>
          <w:sz w:val="24"/>
        </w:rPr>
        <w:t>.4.2</w:t>
      </w:r>
      <w:r>
        <w:rPr>
          <w:rFonts w:hint="eastAsia"/>
          <w:b/>
          <w:color w:val="auto"/>
          <w:sz w:val="24"/>
        </w:rPr>
        <w:t>大气环境质量现状</w:t>
      </w:r>
    </w:p>
    <w:p>
      <w:pPr>
        <w:snapToGrid w:val="0"/>
        <w:spacing w:line="360" w:lineRule="auto"/>
        <w:ind w:firstLine="420"/>
        <w:outlineLvl w:val="2"/>
        <w:rPr>
          <w:color w:val="auto"/>
          <w:spacing w:val="-6"/>
          <w:kern w:val="0"/>
          <w:sz w:val="24"/>
        </w:rPr>
      </w:pPr>
      <w:r>
        <w:rPr>
          <w:rFonts w:hint="eastAsia"/>
          <w:color w:val="auto"/>
          <w:spacing w:val="-6"/>
          <w:kern w:val="0"/>
          <w:sz w:val="24"/>
        </w:rPr>
        <w:t>本项目位于福鼎市，通过收集福鼎市环境监测站统计的关于福鼎市</w:t>
      </w:r>
      <w:r>
        <w:rPr>
          <w:color w:val="auto"/>
          <w:spacing w:val="-6"/>
          <w:kern w:val="0"/>
          <w:sz w:val="24"/>
        </w:rPr>
        <w:t>2017</w:t>
      </w:r>
      <w:r>
        <w:rPr>
          <w:rFonts w:hint="eastAsia"/>
          <w:color w:val="auto"/>
          <w:spacing w:val="-6"/>
          <w:kern w:val="0"/>
          <w:sz w:val="24"/>
        </w:rPr>
        <w:t>年的基本污染物的年均浓度，</w:t>
      </w:r>
      <w:r>
        <w:rPr>
          <w:color w:val="auto"/>
          <w:spacing w:val="-6"/>
          <w:kern w:val="0"/>
          <w:sz w:val="24"/>
        </w:rPr>
        <w:t>SO</w:t>
      </w:r>
      <w:r>
        <w:rPr>
          <w:color w:val="auto"/>
          <w:spacing w:val="-6"/>
          <w:kern w:val="0"/>
          <w:sz w:val="24"/>
          <w:vertAlign w:val="subscript"/>
        </w:rPr>
        <w:t>2</w:t>
      </w:r>
      <w:r>
        <w:rPr>
          <w:rFonts w:hint="eastAsia"/>
          <w:color w:val="auto"/>
          <w:spacing w:val="-6"/>
          <w:kern w:val="0"/>
          <w:sz w:val="24"/>
        </w:rPr>
        <w:t>、</w:t>
      </w:r>
      <w:r>
        <w:rPr>
          <w:color w:val="auto"/>
          <w:spacing w:val="-6"/>
          <w:kern w:val="0"/>
          <w:sz w:val="24"/>
        </w:rPr>
        <w:t>NO</w:t>
      </w:r>
      <w:r>
        <w:rPr>
          <w:color w:val="auto"/>
          <w:spacing w:val="-6"/>
          <w:kern w:val="0"/>
          <w:sz w:val="24"/>
          <w:vertAlign w:val="subscript"/>
        </w:rPr>
        <w:t>2</w:t>
      </w:r>
      <w:r>
        <w:rPr>
          <w:rFonts w:hint="eastAsia"/>
          <w:color w:val="auto"/>
          <w:spacing w:val="-6"/>
          <w:kern w:val="0"/>
          <w:sz w:val="24"/>
        </w:rPr>
        <w:t>、</w:t>
      </w:r>
      <w:r>
        <w:rPr>
          <w:color w:val="auto"/>
          <w:spacing w:val="-6"/>
          <w:kern w:val="0"/>
          <w:sz w:val="24"/>
        </w:rPr>
        <w:t>PM</w:t>
      </w:r>
      <w:r>
        <w:rPr>
          <w:color w:val="auto"/>
          <w:spacing w:val="-6"/>
          <w:kern w:val="0"/>
          <w:sz w:val="24"/>
          <w:vertAlign w:val="subscript"/>
        </w:rPr>
        <w:t>10</w:t>
      </w:r>
      <w:r>
        <w:rPr>
          <w:color w:val="auto"/>
          <w:spacing w:val="-6"/>
          <w:kern w:val="0"/>
          <w:sz w:val="24"/>
        </w:rPr>
        <w:t xml:space="preserve"> </w:t>
      </w:r>
      <w:r>
        <w:rPr>
          <w:rFonts w:hint="eastAsia"/>
          <w:color w:val="auto"/>
          <w:spacing w:val="-6"/>
          <w:kern w:val="0"/>
          <w:sz w:val="24"/>
        </w:rPr>
        <w:t>、</w:t>
      </w:r>
      <w:r>
        <w:rPr>
          <w:color w:val="auto"/>
          <w:spacing w:val="-6"/>
          <w:kern w:val="0"/>
          <w:sz w:val="24"/>
        </w:rPr>
        <w:t>PM</w:t>
      </w:r>
      <w:r>
        <w:rPr>
          <w:color w:val="auto"/>
          <w:spacing w:val="-6"/>
          <w:kern w:val="0"/>
          <w:sz w:val="24"/>
          <w:vertAlign w:val="subscript"/>
        </w:rPr>
        <w:t>2.5</w:t>
      </w:r>
      <w:r>
        <w:rPr>
          <w:rFonts w:hint="eastAsia"/>
          <w:color w:val="auto"/>
          <w:spacing w:val="-6"/>
          <w:kern w:val="0"/>
          <w:sz w:val="24"/>
        </w:rPr>
        <w:t>、</w:t>
      </w:r>
      <w:r>
        <w:rPr>
          <w:color w:val="auto"/>
          <w:spacing w:val="-6"/>
          <w:kern w:val="0"/>
          <w:sz w:val="24"/>
        </w:rPr>
        <w:t>CO</w:t>
      </w:r>
      <w:r>
        <w:rPr>
          <w:rFonts w:hint="eastAsia"/>
          <w:color w:val="auto"/>
          <w:spacing w:val="-6"/>
          <w:kern w:val="0"/>
          <w:sz w:val="24"/>
        </w:rPr>
        <w:t>、</w:t>
      </w:r>
      <w:r>
        <w:rPr>
          <w:color w:val="auto"/>
          <w:spacing w:val="-6"/>
          <w:kern w:val="0"/>
          <w:sz w:val="24"/>
        </w:rPr>
        <w:t>O</w:t>
      </w:r>
      <w:r>
        <w:rPr>
          <w:color w:val="auto"/>
          <w:spacing w:val="-6"/>
          <w:kern w:val="0"/>
          <w:sz w:val="24"/>
          <w:vertAlign w:val="subscript"/>
        </w:rPr>
        <w:t>3</w:t>
      </w:r>
      <w:r>
        <w:rPr>
          <w:rFonts w:hint="eastAsia"/>
          <w:color w:val="auto"/>
          <w:spacing w:val="-6"/>
          <w:kern w:val="0"/>
          <w:sz w:val="24"/>
        </w:rPr>
        <w:t>六项污染物全部符合《环境空气质量标准》（</w:t>
      </w:r>
      <w:r>
        <w:rPr>
          <w:color w:val="auto"/>
          <w:spacing w:val="-6"/>
          <w:kern w:val="0"/>
          <w:sz w:val="24"/>
        </w:rPr>
        <w:t>GB3095-2012</w:t>
      </w:r>
      <w:r>
        <w:rPr>
          <w:rFonts w:hint="eastAsia"/>
          <w:color w:val="auto"/>
          <w:spacing w:val="-6"/>
          <w:kern w:val="0"/>
          <w:sz w:val="24"/>
        </w:rPr>
        <w:t>）中的二级标准要求；另外对项目所在地氯化氢、氟化物的补充监测结果表明，特征因子均能满足</w:t>
      </w:r>
      <w:r>
        <w:rPr>
          <w:color w:val="auto"/>
          <w:spacing w:val="-6"/>
          <w:kern w:val="0"/>
          <w:sz w:val="24"/>
        </w:rPr>
        <w:t>《环境空气质量标准》（GB3095-2012）中的二级标准。</w:t>
      </w:r>
    </w:p>
    <w:p>
      <w:pPr>
        <w:snapToGrid w:val="0"/>
        <w:spacing w:line="360" w:lineRule="auto"/>
        <w:outlineLvl w:val="2"/>
        <w:rPr>
          <w:b/>
          <w:color w:val="auto"/>
          <w:sz w:val="24"/>
        </w:rPr>
      </w:pPr>
      <w:r>
        <w:rPr>
          <w:rFonts w:hint="eastAsia"/>
          <w:b/>
          <w:color w:val="auto"/>
          <w:sz w:val="24"/>
        </w:rPr>
        <w:t>13</w:t>
      </w:r>
      <w:r>
        <w:rPr>
          <w:b/>
          <w:color w:val="auto"/>
          <w:sz w:val="24"/>
        </w:rPr>
        <w:t>.4.3</w:t>
      </w:r>
      <w:r>
        <w:rPr>
          <w:rFonts w:hint="eastAsia"/>
          <w:b/>
          <w:color w:val="auto"/>
          <w:sz w:val="24"/>
        </w:rPr>
        <w:t>声环境质量现状</w:t>
      </w:r>
    </w:p>
    <w:p>
      <w:pPr>
        <w:snapToGrid w:val="0"/>
        <w:spacing w:line="360" w:lineRule="auto"/>
        <w:ind w:firstLine="420"/>
        <w:rPr>
          <w:color w:val="auto"/>
          <w:sz w:val="24"/>
        </w:rPr>
      </w:pPr>
      <w:r>
        <w:rPr>
          <w:rFonts w:hint="eastAsia"/>
          <w:color w:val="auto"/>
          <w:sz w:val="24"/>
        </w:rPr>
        <w:t>建设单位委托福建拓普检测技术有限公司于2019年3月6日对拟建项目厂界声环境进行现状监测，监测结果表明，项目厂界环境噪声能达到《声环境质量标准》（</w:t>
      </w:r>
      <w:r>
        <w:rPr>
          <w:color w:val="auto"/>
          <w:sz w:val="24"/>
        </w:rPr>
        <w:t>GB3096-2008</w:t>
      </w:r>
      <w:r>
        <w:rPr>
          <w:rFonts w:hint="eastAsia"/>
          <w:color w:val="auto"/>
          <w:sz w:val="24"/>
        </w:rPr>
        <w:t>）中</w:t>
      </w:r>
      <w:r>
        <w:rPr>
          <w:color w:val="auto"/>
          <w:sz w:val="24"/>
        </w:rPr>
        <w:t>3</w:t>
      </w:r>
      <w:r>
        <w:rPr>
          <w:rFonts w:hint="eastAsia"/>
          <w:color w:val="auto"/>
          <w:sz w:val="24"/>
        </w:rPr>
        <w:t>类标准要求，声环境质量较好。</w:t>
      </w:r>
    </w:p>
    <w:p>
      <w:pPr>
        <w:pStyle w:val="37"/>
        <w:snapToGrid w:val="0"/>
        <w:spacing w:line="360" w:lineRule="auto"/>
        <w:rPr>
          <w:rFonts w:ascii="Times New Roman" w:hAnsi="Times New Roman"/>
          <w:color w:val="auto"/>
        </w:rPr>
      </w:pPr>
      <w:r>
        <w:rPr>
          <w:rFonts w:hint="eastAsia" w:ascii="Times New Roman" w:hAnsi="Times New Roman"/>
          <w:color w:val="auto"/>
        </w:rPr>
        <w:t>13</w:t>
      </w:r>
      <w:r>
        <w:rPr>
          <w:rFonts w:ascii="Times New Roman" w:hAnsi="Times New Roman"/>
          <w:color w:val="auto"/>
        </w:rPr>
        <w:t xml:space="preserve">.5 </w:t>
      </w:r>
      <w:r>
        <w:rPr>
          <w:rFonts w:hint="eastAsia" w:ascii="Times New Roman" w:hAnsi="Times New Roman"/>
          <w:color w:val="auto"/>
        </w:rPr>
        <w:t>环境影响评价结论</w:t>
      </w:r>
    </w:p>
    <w:p>
      <w:pPr>
        <w:snapToGrid w:val="0"/>
        <w:spacing w:line="360" w:lineRule="auto"/>
        <w:outlineLvl w:val="2"/>
        <w:rPr>
          <w:b/>
          <w:color w:val="auto"/>
          <w:sz w:val="24"/>
        </w:rPr>
      </w:pPr>
      <w:r>
        <w:rPr>
          <w:rFonts w:hint="eastAsia"/>
          <w:b/>
          <w:color w:val="auto"/>
          <w:sz w:val="24"/>
        </w:rPr>
        <w:t>13</w:t>
      </w:r>
      <w:r>
        <w:rPr>
          <w:b/>
          <w:color w:val="auto"/>
          <w:sz w:val="24"/>
        </w:rPr>
        <w:t>.</w:t>
      </w:r>
      <w:r>
        <w:rPr>
          <w:rFonts w:hint="eastAsia"/>
          <w:b/>
          <w:color w:val="auto"/>
          <w:sz w:val="24"/>
        </w:rPr>
        <w:t>5.1水环境影响评价结论</w:t>
      </w:r>
    </w:p>
    <w:p>
      <w:pPr>
        <w:snapToGrid w:val="0"/>
        <w:spacing w:line="360" w:lineRule="auto"/>
        <w:ind w:firstLine="480" w:firstLineChars="200"/>
        <w:rPr>
          <w:color w:val="auto"/>
          <w:sz w:val="24"/>
          <w:szCs w:val="32"/>
        </w:rPr>
      </w:pPr>
      <w:r>
        <w:rPr>
          <w:rFonts w:hint="eastAsia"/>
          <w:color w:val="auto"/>
          <w:sz w:val="24"/>
          <w:szCs w:val="32"/>
        </w:rPr>
        <w:t>项目生产过程产生的各股废水分质分流收集后通过各自的管线排入集控中心一期污水处理站，本项目在集控中心一期工程污水站服务范围之内，投产营运后能够通过管网引至集控中心一期工程污水站处理，符合该污水站的水量、水质的要求，不会对该污水站的处理工艺造成冲击。集控中心一期污水站排放的废水经文渡污水处理厂处理达标后最终经滞洪区排至文渡湾，不会对其水环境产生明显影响。</w:t>
      </w:r>
    </w:p>
    <w:p>
      <w:pPr>
        <w:snapToGrid w:val="0"/>
        <w:spacing w:line="360" w:lineRule="auto"/>
        <w:ind w:firstLine="480" w:firstLineChars="200"/>
        <w:rPr>
          <w:color w:val="auto"/>
          <w:sz w:val="24"/>
        </w:rPr>
      </w:pPr>
      <w:r>
        <w:rPr>
          <w:rFonts w:hint="eastAsia"/>
          <w:color w:val="auto"/>
          <w:sz w:val="24"/>
          <w:szCs w:val="32"/>
        </w:rPr>
        <w:t>项目生活污水经化粪池处理达《污水综合排放标准》（</w:t>
      </w:r>
      <w:r>
        <w:rPr>
          <w:color w:val="auto"/>
          <w:sz w:val="24"/>
          <w:szCs w:val="32"/>
        </w:rPr>
        <w:t>GB8978-1996</w:t>
      </w:r>
      <w:r>
        <w:rPr>
          <w:rFonts w:hint="eastAsia"/>
          <w:color w:val="auto"/>
          <w:sz w:val="24"/>
          <w:szCs w:val="32"/>
        </w:rPr>
        <w:t>）三级标准后排入福鼎市文渡污水处理厂进行处理</w:t>
      </w:r>
      <w:r>
        <w:rPr>
          <w:rFonts w:hint="eastAsia"/>
          <w:color w:val="auto"/>
          <w:sz w:val="24"/>
        </w:rPr>
        <w:t>，对周边水环境影响较小。</w:t>
      </w:r>
    </w:p>
    <w:p>
      <w:pPr>
        <w:snapToGrid w:val="0"/>
        <w:spacing w:line="360" w:lineRule="auto"/>
        <w:outlineLvl w:val="2"/>
        <w:rPr>
          <w:b/>
          <w:color w:val="auto"/>
          <w:sz w:val="24"/>
        </w:rPr>
      </w:pPr>
      <w:r>
        <w:rPr>
          <w:rFonts w:hint="eastAsia"/>
          <w:b/>
          <w:color w:val="auto"/>
          <w:sz w:val="24"/>
        </w:rPr>
        <w:t>13</w:t>
      </w:r>
      <w:r>
        <w:rPr>
          <w:b/>
          <w:color w:val="auto"/>
          <w:sz w:val="24"/>
        </w:rPr>
        <w:t>.</w:t>
      </w:r>
      <w:r>
        <w:rPr>
          <w:rFonts w:hint="eastAsia"/>
          <w:b/>
          <w:color w:val="auto"/>
          <w:sz w:val="24"/>
        </w:rPr>
        <w:t>5.2大气境影响评价结论</w:t>
      </w:r>
    </w:p>
    <w:p>
      <w:pPr>
        <w:snapToGrid w:val="0"/>
        <w:spacing w:line="360" w:lineRule="auto"/>
        <w:ind w:firstLine="480" w:firstLineChars="200"/>
        <w:rPr>
          <w:color w:val="auto"/>
          <w:sz w:val="24"/>
          <w:highlight w:val="none"/>
        </w:rPr>
      </w:pPr>
      <w:r>
        <w:rPr>
          <w:rFonts w:hint="eastAsia"/>
          <w:color w:val="auto"/>
          <w:sz w:val="24"/>
        </w:rPr>
        <w:t>本项目生产废气经收集处理后均达</w:t>
      </w:r>
      <w:r>
        <w:rPr>
          <w:rFonts w:hint="eastAsia"/>
          <w:color w:val="auto"/>
          <w:sz w:val="24"/>
          <w:highlight w:val="none"/>
        </w:rPr>
        <w:t>标排放</w:t>
      </w:r>
      <w:r>
        <w:rPr>
          <w:rFonts w:hint="eastAsia"/>
          <w:color w:val="auto"/>
          <w:sz w:val="24"/>
          <w:highlight w:val="none"/>
          <w:lang w:eastAsia="zh-CN"/>
        </w:rPr>
        <w:t>，</w:t>
      </w:r>
      <w:r>
        <w:rPr>
          <w:rFonts w:hint="eastAsia"/>
          <w:color w:val="auto"/>
          <w:sz w:val="24"/>
          <w:highlight w:val="none"/>
        </w:rPr>
        <w:t>本项目运营期废气对周边环境的影响较小。</w:t>
      </w:r>
    </w:p>
    <w:p>
      <w:pPr>
        <w:snapToGrid w:val="0"/>
        <w:spacing w:line="360" w:lineRule="auto"/>
        <w:outlineLvl w:val="2"/>
        <w:rPr>
          <w:b/>
          <w:color w:val="auto"/>
          <w:sz w:val="24"/>
        </w:rPr>
      </w:pPr>
      <w:r>
        <w:rPr>
          <w:rFonts w:hint="eastAsia"/>
          <w:b/>
          <w:color w:val="auto"/>
          <w:sz w:val="24"/>
        </w:rPr>
        <w:t>13</w:t>
      </w:r>
      <w:r>
        <w:rPr>
          <w:b/>
          <w:color w:val="auto"/>
          <w:sz w:val="24"/>
        </w:rPr>
        <w:t>.</w:t>
      </w:r>
      <w:r>
        <w:rPr>
          <w:rFonts w:hint="eastAsia"/>
          <w:b/>
          <w:color w:val="auto"/>
          <w:sz w:val="24"/>
        </w:rPr>
        <w:t>5.3声环境影响评价结论</w:t>
      </w:r>
    </w:p>
    <w:p>
      <w:pPr>
        <w:spacing w:line="360" w:lineRule="auto"/>
        <w:ind w:firstLine="480" w:firstLineChars="200"/>
        <w:rPr>
          <w:color w:val="auto"/>
          <w:sz w:val="24"/>
        </w:rPr>
      </w:pPr>
      <w:r>
        <w:rPr>
          <w:rFonts w:hint="eastAsia"/>
          <w:color w:val="auto"/>
          <w:sz w:val="24"/>
        </w:rPr>
        <w:t>本项目高噪声设备较少，噪声相对较高的设备主要为废气抽风风机。针对项目生产噪声，项目的风机均布置在车间内，强噪声设备尽可能远离项目厂界布置；加强设备的使用和日常维护管理，维持设备处于良好的运转状态，避免因设备运转不正常时噪声的增高。高噪声设备安装隔声和减振设施，如在设备的底部加减振垫，用来隔离振动的传递，最大限度的降低项目噪声源强。</w:t>
      </w:r>
    </w:p>
    <w:p>
      <w:pPr>
        <w:snapToGrid w:val="0"/>
        <w:spacing w:line="360" w:lineRule="auto"/>
        <w:ind w:firstLine="420"/>
        <w:outlineLvl w:val="2"/>
        <w:rPr>
          <w:b/>
          <w:color w:val="auto"/>
          <w:sz w:val="24"/>
        </w:rPr>
      </w:pPr>
      <w:r>
        <w:rPr>
          <w:rFonts w:hint="eastAsia"/>
          <w:color w:val="auto"/>
          <w:sz w:val="24"/>
        </w:rPr>
        <w:t>经采取严格的噪声污染防治措施后，项目厂界环境排放噪声可满足《工业企业厂界环境噪声排放标准》（</w:t>
      </w:r>
      <w:r>
        <w:rPr>
          <w:color w:val="auto"/>
          <w:sz w:val="24"/>
        </w:rPr>
        <w:t>GB12348-2008</w:t>
      </w:r>
      <w:r>
        <w:rPr>
          <w:rFonts w:hint="eastAsia"/>
          <w:color w:val="auto"/>
          <w:sz w:val="24"/>
        </w:rPr>
        <w:t>）中的</w:t>
      </w:r>
      <w:r>
        <w:rPr>
          <w:color w:val="auto"/>
          <w:sz w:val="24"/>
        </w:rPr>
        <w:t>3</w:t>
      </w:r>
      <w:r>
        <w:rPr>
          <w:rFonts w:hint="eastAsia"/>
          <w:color w:val="auto"/>
          <w:sz w:val="24"/>
        </w:rPr>
        <w:t>类标准，项目厂界</w:t>
      </w:r>
      <w:r>
        <w:rPr>
          <w:color w:val="auto"/>
          <w:sz w:val="24"/>
        </w:rPr>
        <w:t>200m</w:t>
      </w:r>
      <w:r>
        <w:rPr>
          <w:rFonts w:hint="eastAsia"/>
          <w:color w:val="auto"/>
          <w:sz w:val="24"/>
        </w:rPr>
        <w:t>范围为无居民区等敏感点，故项目厂界噪声达标排放对周边环境影响不大，不会发生噪声扰民现象。</w:t>
      </w:r>
      <w:r>
        <w:rPr>
          <w:rFonts w:hint="eastAsia"/>
          <w:b/>
          <w:color w:val="auto"/>
          <w:sz w:val="24"/>
        </w:rPr>
        <w:t>13</w:t>
      </w:r>
      <w:r>
        <w:rPr>
          <w:b/>
          <w:color w:val="auto"/>
          <w:sz w:val="24"/>
        </w:rPr>
        <w:t>.</w:t>
      </w:r>
      <w:r>
        <w:rPr>
          <w:rFonts w:hint="eastAsia"/>
          <w:b/>
          <w:color w:val="auto"/>
          <w:sz w:val="24"/>
        </w:rPr>
        <w:t>5.4固体废物影响评价结论</w:t>
      </w:r>
    </w:p>
    <w:p>
      <w:pPr>
        <w:spacing w:line="360" w:lineRule="auto"/>
        <w:ind w:firstLine="480" w:firstLineChars="200"/>
        <w:rPr>
          <w:color w:val="auto"/>
          <w:sz w:val="24"/>
        </w:rPr>
      </w:pPr>
      <w:r>
        <w:rPr>
          <w:rFonts w:hint="eastAsia"/>
          <w:color w:val="auto"/>
          <w:sz w:val="24"/>
        </w:rPr>
        <w:t>项目产生的固废主要为定期更换的老化液、废包装材料、废过滤芯、废填料以及职工生活垃圾。废老化液、废过滤芯、废填料、废包装材料（废包装袋</w:t>
      </w:r>
      <w:r>
        <w:rPr>
          <w:color w:val="auto"/>
          <w:sz w:val="24"/>
        </w:rPr>
        <w:t>/</w:t>
      </w:r>
      <w:r>
        <w:rPr>
          <w:rFonts w:hint="eastAsia"/>
          <w:color w:val="auto"/>
          <w:sz w:val="24"/>
        </w:rPr>
        <w:t>瓶、破损包装桶）等危险废物经收集后暂存于集控中心危废间，由集控中心统一管理，负责委托有资质单位集中处置；生活垃圾经收集后委托环卫部门统一清运，不外排。</w:t>
      </w:r>
    </w:p>
    <w:p>
      <w:pPr>
        <w:pStyle w:val="79"/>
        <w:ind w:firstLine="480"/>
        <w:rPr>
          <w:rFonts w:cs="Times New Roman"/>
          <w:color w:val="auto"/>
        </w:rPr>
      </w:pPr>
      <w:r>
        <w:rPr>
          <w:rFonts w:hint="eastAsia" w:cs="Times New Roman"/>
          <w:color w:val="auto"/>
        </w:rPr>
        <w:t>拟建项目产生的固体废物基本上能够遵循分类管理、妥善储存、合理处置的原则，进行固废处置。符合固体废物处理处置</w:t>
      </w:r>
      <w:r>
        <w:rPr>
          <w:rFonts w:cs="Times New Roman"/>
          <w:color w:val="auto"/>
        </w:rPr>
        <w:t>“</w:t>
      </w:r>
      <w:r>
        <w:rPr>
          <w:rFonts w:hint="eastAsia" w:cs="Times New Roman"/>
          <w:color w:val="auto"/>
        </w:rPr>
        <w:t>减量化、资源化、无害化</w:t>
      </w:r>
      <w:r>
        <w:rPr>
          <w:rFonts w:cs="Times New Roman"/>
          <w:color w:val="auto"/>
        </w:rPr>
        <w:t>”</w:t>
      </w:r>
      <w:r>
        <w:rPr>
          <w:rFonts w:hint="eastAsia" w:cs="Times New Roman"/>
          <w:color w:val="auto"/>
        </w:rPr>
        <w:t>的原则，对环境造成的影响较小。</w:t>
      </w:r>
    </w:p>
    <w:p>
      <w:pPr>
        <w:pStyle w:val="37"/>
        <w:snapToGrid w:val="0"/>
        <w:spacing w:line="360" w:lineRule="auto"/>
        <w:rPr>
          <w:b w:val="0"/>
          <w:color w:val="auto"/>
          <w:sz w:val="24"/>
        </w:rPr>
      </w:pPr>
      <w:r>
        <w:rPr>
          <w:rFonts w:ascii="Times New Roman" w:hAnsi="Times New Roman"/>
          <w:color w:val="auto"/>
        </w:rPr>
        <w:t>1</w:t>
      </w:r>
      <w:r>
        <w:rPr>
          <w:rFonts w:hint="eastAsia" w:ascii="Times New Roman" w:hAnsi="Times New Roman"/>
          <w:color w:val="auto"/>
        </w:rPr>
        <w:t>3.</w:t>
      </w:r>
      <w:r>
        <w:rPr>
          <w:rFonts w:hint="eastAsia" w:ascii="Times New Roman" w:hAnsi="Times New Roman"/>
          <w:color w:val="auto"/>
          <w:lang w:val="en-US" w:eastAsia="zh-CN"/>
        </w:rPr>
        <w:t>6</w:t>
      </w:r>
      <w:r>
        <w:rPr>
          <w:snapToGrid w:val="0"/>
          <w:color w:val="auto"/>
        </w:rPr>
        <w:t>环境保护对策措施及验收要求</w:t>
      </w:r>
    </w:p>
    <w:p>
      <w:pPr>
        <w:snapToGrid w:val="0"/>
        <w:spacing w:line="360" w:lineRule="auto"/>
        <w:ind w:firstLine="480"/>
        <w:rPr>
          <w:color w:val="auto"/>
          <w:sz w:val="24"/>
        </w:rPr>
        <w:sectPr>
          <w:pgSz w:w="11906" w:h="16838"/>
          <w:pgMar w:top="1417" w:right="1418" w:bottom="1417" w:left="1418" w:header="851" w:footer="992" w:gutter="0"/>
          <w:pgBorders>
            <w:top w:val="none" w:sz="0" w:space="0"/>
            <w:left w:val="none" w:sz="0" w:space="0"/>
            <w:bottom w:val="none" w:sz="0" w:space="0"/>
            <w:right w:val="none" w:sz="0" w:space="0"/>
          </w:pgBorders>
          <w:cols w:space="0" w:num="1"/>
          <w:docGrid w:type="lines" w:linePitch="312" w:charSpace="0"/>
        </w:sectPr>
      </w:pPr>
      <w:r>
        <w:rPr>
          <w:rFonts w:hint="eastAsia"/>
          <w:color w:val="auto"/>
          <w:sz w:val="24"/>
        </w:rPr>
        <w:t>建设单位应该落实好各项环保措施，搞好污染防治工作。本项目根据</w:t>
      </w:r>
      <w:r>
        <w:rPr>
          <w:color w:val="auto"/>
          <w:sz w:val="24"/>
        </w:rPr>
        <w:t>“</w:t>
      </w:r>
      <w:r>
        <w:rPr>
          <w:rFonts w:hint="eastAsia"/>
          <w:color w:val="auto"/>
          <w:sz w:val="24"/>
        </w:rPr>
        <w:t>三同时</w:t>
      </w:r>
      <w:r>
        <w:rPr>
          <w:color w:val="auto"/>
          <w:sz w:val="24"/>
        </w:rPr>
        <w:t>”</w:t>
      </w:r>
      <w:r>
        <w:rPr>
          <w:rFonts w:hint="eastAsia"/>
          <w:color w:val="auto"/>
          <w:sz w:val="24"/>
        </w:rPr>
        <w:t>制度，其环保工程验收项目具体见表</w:t>
      </w:r>
      <w:r>
        <w:rPr>
          <w:color w:val="auto"/>
          <w:sz w:val="24"/>
        </w:rPr>
        <w:t>1</w:t>
      </w:r>
      <w:r>
        <w:rPr>
          <w:rFonts w:hint="eastAsia"/>
          <w:color w:val="auto"/>
          <w:sz w:val="24"/>
        </w:rPr>
        <w:t>3.</w:t>
      </w:r>
      <w:r>
        <w:rPr>
          <w:rFonts w:hint="eastAsia"/>
          <w:color w:val="auto"/>
          <w:sz w:val="24"/>
          <w:lang w:val="en-US" w:eastAsia="zh-CN"/>
        </w:rPr>
        <w:t>6</w:t>
      </w:r>
      <w:r>
        <w:rPr>
          <w:color w:val="auto"/>
          <w:sz w:val="24"/>
        </w:rPr>
        <w:t>-1</w:t>
      </w:r>
      <w:r>
        <w:rPr>
          <w:rFonts w:hint="eastAsia"/>
          <w:color w:val="auto"/>
          <w:sz w:val="24"/>
        </w:rPr>
        <w:t>。</w:t>
      </w:r>
    </w:p>
    <w:p>
      <w:pPr>
        <w:spacing w:line="360" w:lineRule="auto"/>
        <w:ind w:firstLine="482" w:firstLineChars="200"/>
        <w:jc w:val="center"/>
        <w:rPr>
          <w:b/>
          <w:color w:val="auto"/>
          <w:sz w:val="24"/>
          <w:szCs w:val="32"/>
          <w:highlight w:val="none"/>
        </w:rPr>
      </w:pPr>
      <w:r>
        <w:rPr>
          <w:rFonts w:hint="eastAsia"/>
          <w:b/>
          <w:color w:val="auto"/>
          <w:sz w:val="24"/>
          <w:szCs w:val="32"/>
          <w:highlight w:val="none"/>
        </w:rPr>
        <w:t>表13.</w:t>
      </w:r>
      <w:r>
        <w:rPr>
          <w:rFonts w:hint="eastAsia"/>
          <w:b/>
          <w:color w:val="auto"/>
          <w:sz w:val="24"/>
          <w:szCs w:val="32"/>
          <w:highlight w:val="none"/>
          <w:lang w:val="en-US" w:eastAsia="zh-CN"/>
        </w:rPr>
        <w:t>6</w:t>
      </w:r>
      <w:r>
        <w:rPr>
          <w:rFonts w:hint="eastAsia"/>
          <w:b/>
          <w:color w:val="auto"/>
          <w:sz w:val="24"/>
          <w:szCs w:val="32"/>
          <w:highlight w:val="none"/>
        </w:rPr>
        <w:t>-1</w:t>
      </w:r>
      <w:r>
        <w:rPr>
          <w:b/>
          <w:color w:val="auto"/>
          <w:sz w:val="24"/>
          <w:szCs w:val="32"/>
          <w:highlight w:val="none"/>
        </w:rPr>
        <w:t xml:space="preserve">  </w:t>
      </w:r>
      <w:r>
        <w:rPr>
          <w:rFonts w:hint="eastAsia"/>
          <w:b/>
          <w:color w:val="auto"/>
          <w:sz w:val="24"/>
          <w:szCs w:val="32"/>
          <w:highlight w:val="none"/>
        </w:rPr>
        <w:t>项目环境管理信息一览表</w:t>
      </w:r>
    </w:p>
    <w:tbl>
      <w:tblPr>
        <w:tblStyle w:val="22"/>
        <w:tblW w:w="14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83"/>
        <w:gridCol w:w="1121"/>
        <w:gridCol w:w="1066"/>
        <w:gridCol w:w="1252"/>
        <w:gridCol w:w="3137"/>
        <w:gridCol w:w="2263"/>
        <w:gridCol w:w="2123"/>
        <w:gridCol w:w="1138"/>
        <w:gridCol w:w="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blHeader/>
          <w:jc w:val="center"/>
        </w:trPr>
        <w:tc>
          <w:tcPr>
            <w:tcW w:w="713" w:type="dxa"/>
            <w:vMerge w:val="restart"/>
            <w:tcBorders>
              <w:top w:val="single" w:color="auto" w:sz="12" w:space="0"/>
              <w:left w:val="nil"/>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项目</w:t>
            </w:r>
          </w:p>
        </w:tc>
        <w:tc>
          <w:tcPr>
            <w:tcW w:w="1604" w:type="dxa"/>
            <w:gridSpan w:val="2"/>
            <w:vMerge w:val="restart"/>
            <w:tcBorders>
              <w:top w:val="single" w:color="auto" w:sz="12"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污染源</w:t>
            </w:r>
          </w:p>
        </w:tc>
        <w:tc>
          <w:tcPr>
            <w:tcW w:w="2318" w:type="dxa"/>
            <w:gridSpan w:val="2"/>
            <w:vMerge w:val="restart"/>
            <w:tcBorders>
              <w:top w:val="single" w:color="auto" w:sz="12"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排放量</w:t>
            </w:r>
          </w:p>
        </w:tc>
        <w:tc>
          <w:tcPr>
            <w:tcW w:w="3137" w:type="dxa"/>
            <w:vMerge w:val="restart"/>
            <w:tcBorders>
              <w:top w:val="single" w:color="auto" w:sz="12"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污染防治措施</w:t>
            </w:r>
          </w:p>
        </w:tc>
        <w:tc>
          <w:tcPr>
            <w:tcW w:w="6448" w:type="dxa"/>
            <w:gridSpan w:val="4"/>
            <w:tcBorders>
              <w:top w:val="single" w:color="auto" w:sz="12"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竣工环境保护验收要求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713" w:type="dxa"/>
            <w:vMerge w:val="continue"/>
            <w:tcBorders>
              <w:top w:val="single" w:color="auto" w:sz="12" w:space="0"/>
              <w:left w:val="nil"/>
              <w:bottom w:val="single" w:color="auto" w:sz="4" w:space="0"/>
              <w:right w:val="single" w:color="auto" w:sz="4" w:space="0"/>
            </w:tcBorders>
            <w:vAlign w:val="center"/>
          </w:tcPr>
          <w:p>
            <w:pPr>
              <w:widowControl/>
              <w:jc w:val="left"/>
              <w:rPr>
                <w:rFonts w:eastAsiaTheme="minorEastAsia"/>
                <w:color w:val="auto"/>
                <w:szCs w:val="21"/>
                <w:highlight w:val="none"/>
                <w:lang w:bidi="he-IL"/>
              </w:rPr>
            </w:pPr>
          </w:p>
        </w:tc>
        <w:tc>
          <w:tcPr>
            <w:tcW w:w="1604" w:type="dxa"/>
            <w:gridSpan w:val="2"/>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color w:val="auto"/>
                <w:szCs w:val="21"/>
                <w:highlight w:val="none"/>
                <w:lang w:bidi="he-IL"/>
              </w:rPr>
            </w:pPr>
          </w:p>
        </w:tc>
        <w:tc>
          <w:tcPr>
            <w:tcW w:w="2318" w:type="dxa"/>
            <w:gridSpan w:val="2"/>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color w:val="auto"/>
                <w:szCs w:val="21"/>
                <w:highlight w:val="none"/>
                <w:lang w:bidi="he-IL"/>
              </w:rPr>
            </w:pPr>
          </w:p>
        </w:tc>
        <w:tc>
          <w:tcPr>
            <w:tcW w:w="3137"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eastAsiaTheme="minorEastAsia"/>
                <w:color w:val="auto"/>
                <w:szCs w:val="21"/>
                <w:highlight w:val="none"/>
                <w:lang w:bidi="he-IL"/>
              </w:rPr>
            </w:pPr>
          </w:p>
        </w:tc>
        <w:tc>
          <w:tcPr>
            <w:tcW w:w="226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执行标准</w:t>
            </w:r>
          </w:p>
        </w:tc>
        <w:tc>
          <w:tcPr>
            <w:tcW w:w="212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主要指标</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监测点位</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14" w:hRule="atLeast"/>
          <w:jc w:val="center"/>
        </w:trPr>
        <w:tc>
          <w:tcPr>
            <w:tcW w:w="713" w:type="dxa"/>
            <w:vMerge w:val="restart"/>
            <w:tcBorders>
              <w:top w:val="single" w:color="auto" w:sz="4" w:space="0"/>
              <w:left w:val="nil"/>
              <w:bottom w:val="single" w:color="auto" w:sz="4" w:space="0"/>
              <w:right w:val="single" w:color="auto" w:sz="4" w:space="0"/>
            </w:tcBorders>
            <w:vAlign w:val="center"/>
          </w:tcPr>
          <w:p>
            <w:pPr>
              <w:wordWrap w:val="0"/>
              <w:rPr>
                <w:rFonts w:eastAsiaTheme="minorEastAsia"/>
                <w:color w:val="auto"/>
                <w:szCs w:val="21"/>
                <w:highlight w:val="none"/>
              </w:rPr>
            </w:pPr>
            <w:r>
              <w:rPr>
                <w:rFonts w:eastAsiaTheme="minorEastAsia"/>
                <w:color w:val="auto"/>
                <w:szCs w:val="21"/>
                <w:highlight w:val="none"/>
              </w:rPr>
              <w:t>废水</w:t>
            </w:r>
          </w:p>
        </w:tc>
        <w:tc>
          <w:tcPr>
            <w:tcW w:w="160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highlight w:val="none"/>
              </w:rPr>
            </w:pPr>
            <w:r>
              <w:rPr>
                <w:rFonts w:eastAsiaTheme="minorEastAsia"/>
                <w:color w:val="auto"/>
                <w:szCs w:val="21"/>
                <w:highlight w:val="none"/>
              </w:rPr>
              <w:t>生活污水</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highlight w:val="none"/>
              </w:rPr>
            </w:pPr>
            <w:r>
              <w:rPr>
                <w:rFonts w:hint="eastAsia" w:eastAsiaTheme="minorEastAsia"/>
                <w:color w:val="auto"/>
                <w:szCs w:val="21"/>
                <w:highlight w:val="none"/>
                <w:lang w:val="en-US" w:eastAsia="zh-CN"/>
              </w:rPr>
              <w:t>270</w:t>
            </w:r>
            <w:r>
              <w:rPr>
                <w:rFonts w:eastAsiaTheme="minorEastAsia"/>
                <w:color w:val="auto"/>
                <w:szCs w:val="21"/>
                <w:highlight w:val="none"/>
              </w:rPr>
              <w:t>m</w:t>
            </w:r>
            <w:r>
              <w:rPr>
                <w:rFonts w:eastAsiaTheme="minorEastAsia"/>
                <w:color w:val="auto"/>
                <w:szCs w:val="21"/>
                <w:highlight w:val="none"/>
                <w:vertAlign w:val="superscript"/>
              </w:rPr>
              <w:t>3</w:t>
            </w:r>
            <w:r>
              <w:rPr>
                <w:rFonts w:eastAsiaTheme="minorEastAsia"/>
                <w:color w:val="auto"/>
                <w:szCs w:val="21"/>
                <w:highlight w:val="none"/>
              </w:rPr>
              <w:t>/a</w:t>
            </w:r>
          </w:p>
        </w:tc>
        <w:tc>
          <w:tcPr>
            <w:tcW w:w="3137" w:type="dxa"/>
            <w:tcBorders>
              <w:top w:val="single" w:color="auto" w:sz="4" w:space="0"/>
              <w:left w:val="single" w:color="auto" w:sz="4" w:space="0"/>
              <w:bottom w:val="single" w:color="auto" w:sz="4" w:space="0"/>
              <w:right w:val="single" w:color="auto" w:sz="4" w:space="0"/>
            </w:tcBorders>
            <w:vAlign w:val="center"/>
          </w:tcPr>
          <w:p>
            <w:pPr>
              <w:wordWrap w:val="0"/>
              <w:jc w:val="center"/>
              <w:rPr>
                <w:rFonts w:eastAsiaTheme="minorEastAsia"/>
                <w:color w:val="auto"/>
                <w:szCs w:val="21"/>
                <w:highlight w:val="none"/>
              </w:rPr>
            </w:pPr>
            <w:r>
              <w:rPr>
                <w:rFonts w:eastAsiaTheme="minorEastAsia"/>
                <w:color w:val="auto"/>
                <w:szCs w:val="21"/>
                <w:highlight w:val="none"/>
              </w:rPr>
              <w:t>依托集控中心已建化粪池</w:t>
            </w:r>
          </w:p>
        </w:tc>
        <w:tc>
          <w:tcPr>
            <w:tcW w:w="2263"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eastAsiaTheme="minorEastAsia"/>
                <w:color w:val="auto"/>
                <w:kern w:val="2"/>
                <w:sz w:val="21"/>
                <w:szCs w:val="21"/>
                <w:highlight w:val="none"/>
              </w:rPr>
            </w:pPr>
            <w:r>
              <w:rPr>
                <w:rFonts w:ascii="Times New Roman" w:hAnsi="Times New Roman" w:cs="Times New Roman" w:eastAsiaTheme="minorEastAsia"/>
                <w:color w:val="auto"/>
                <w:sz w:val="21"/>
                <w:szCs w:val="21"/>
                <w:highlight w:val="none"/>
              </w:rPr>
              <w:t>《污水综合排放标准》（GB8978－1996）表4三级（其中NH</w:t>
            </w:r>
            <w:r>
              <w:rPr>
                <w:rFonts w:ascii="Times New Roman" w:hAnsi="Times New Roman" w:cs="Times New Roman" w:eastAsiaTheme="minorEastAsia"/>
                <w:color w:val="auto"/>
                <w:sz w:val="21"/>
                <w:szCs w:val="21"/>
                <w:highlight w:val="none"/>
                <w:vertAlign w:val="subscript"/>
              </w:rPr>
              <w:t>3</w:t>
            </w:r>
            <w:r>
              <w:rPr>
                <w:rFonts w:ascii="Times New Roman" w:hAnsi="Times New Roman" w:cs="Times New Roman" w:eastAsiaTheme="minorEastAsia"/>
                <w:color w:val="auto"/>
                <w:sz w:val="21"/>
                <w:szCs w:val="21"/>
                <w:highlight w:val="none"/>
              </w:rPr>
              <w:t>-N执行《污水排入城镇下水道水质标准》（GB/T 31962-2015）表1的B等级标准）</w:t>
            </w:r>
          </w:p>
        </w:tc>
        <w:tc>
          <w:tcPr>
            <w:tcW w:w="2123"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pH：6~9</w:t>
            </w:r>
            <w:r>
              <w:rPr>
                <w:rFonts w:ascii="Times New Roman" w:hAnsi="Times New Roman" w:cs="Times New Roman" w:eastAsiaTheme="minorEastAsia"/>
                <w:color w:val="auto"/>
                <w:sz w:val="21"/>
                <w:szCs w:val="21"/>
                <w:highlight w:val="none"/>
              </w:rPr>
              <w:t>；</w:t>
            </w:r>
          </w:p>
          <w:p>
            <w:pPr>
              <w:pStyle w:val="33"/>
              <w:spacing w:line="240" w:lineRule="auto"/>
              <w:rPr>
                <w:rFonts w:ascii="Times New Roman" w:hAnsi="Times New Roman" w:cs="Times New Roman" w:eastAsiaTheme="minorEastAsia"/>
                <w:color w:val="auto"/>
                <w:kern w:val="2"/>
                <w:sz w:val="21"/>
                <w:szCs w:val="21"/>
                <w:highlight w:val="none"/>
              </w:rPr>
            </w:pPr>
            <w:r>
              <w:rPr>
                <w:rFonts w:ascii="Times New Roman" w:hAnsi="Times New Roman" w:cs="Times New Roman" w:eastAsiaTheme="minorEastAsia"/>
                <w:color w:val="auto"/>
                <w:sz w:val="21"/>
                <w:szCs w:val="21"/>
                <w:highlight w:val="none"/>
              </w:rPr>
              <w:t>COD≤500mg/L；</w:t>
            </w: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r>
              <w:rPr>
                <w:rFonts w:ascii="Times New Roman" w:hAnsi="Times New Roman" w:cs="Times New Roman"/>
                <w:color w:val="auto"/>
                <w:sz w:val="21"/>
                <w:szCs w:val="21"/>
                <w:highlight w:val="none"/>
              </w:rPr>
              <w:t>-N</w:t>
            </w:r>
            <w:r>
              <w:rPr>
                <w:rFonts w:ascii="Times New Roman" w:hAnsi="Times New Roman" w:cs="Times New Roman" w:eastAsiaTheme="minorEastAsia"/>
                <w:color w:val="auto"/>
                <w:sz w:val="21"/>
                <w:szCs w:val="21"/>
                <w:highlight w:val="none"/>
              </w:rPr>
              <w:t>≤45mg/L；BOD</w:t>
            </w:r>
            <w:r>
              <w:rPr>
                <w:rFonts w:ascii="Times New Roman" w:hAnsi="Times New Roman" w:cs="Times New Roman" w:eastAsiaTheme="minorEastAsia"/>
                <w:color w:val="auto"/>
                <w:sz w:val="21"/>
                <w:szCs w:val="21"/>
                <w:highlight w:val="none"/>
                <w:vertAlign w:val="subscript"/>
              </w:rPr>
              <w:t>5</w:t>
            </w:r>
            <w:r>
              <w:rPr>
                <w:rFonts w:ascii="Times New Roman" w:hAnsi="Times New Roman" w:cs="Times New Roman" w:eastAsiaTheme="minorEastAsia"/>
                <w:color w:val="auto"/>
                <w:sz w:val="21"/>
                <w:szCs w:val="21"/>
                <w:highlight w:val="none"/>
              </w:rPr>
              <w:t>≤300mg/L</w:t>
            </w:r>
          </w:p>
        </w:tc>
        <w:tc>
          <w:tcPr>
            <w:tcW w:w="1138"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highlight w:val="none"/>
              </w:rPr>
            </w:pPr>
            <w:r>
              <w:rPr>
                <w:rFonts w:eastAsiaTheme="minorEastAsia"/>
                <w:color w:val="auto"/>
                <w:szCs w:val="21"/>
                <w:highlight w:val="none"/>
              </w:rPr>
              <w:t>/</w:t>
            </w:r>
          </w:p>
        </w:tc>
        <w:tc>
          <w:tcPr>
            <w:tcW w:w="924" w:type="dxa"/>
            <w:tcBorders>
              <w:top w:val="single" w:color="auto" w:sz="4" w:space="0"/>
              <w:left w:val="single" w:color="auto" w:sz="4" w:space="0"/>
              <w:bottom w:val="single" w:color="auto" w:sz="4" w:space="0"/>
              <w:right w:val="nil"/>
            </w:tcBorders>
            <w:vAlign w:val="center"/>
          </w:tcPr>
          <w:p>
            <w:pPr>
              <w:jc w:val="center"/>
              <w:rPr>
                <w:rFonts w:eastAsiaTheme="minorEastAsia"/>
                <w:color w:val="auto"/>
                <w:szCs w:val="21"/>
                <w:highlight w:val="none"/>
              </w:rPr>
            </w:pPr>
            <w:r>
              <w:rPr>
                <w:rFonts w:eastAsiaTheme="minorEastAsia"/>
                <w:color w:val="auto"/>
                <w:szCs w:val="21"/>
                <w:highlight w:val="none"/>
                <w:lang w:val="pt-BR"/>
              </w:rPr>
              <w:t>由集控中心统一监测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51" w:hRule="atLeast"/>
          <w:jc w:val="center"/>
        </w:trPr>
        <w:tc>
          <w:tcPr>
            <w:tcW w:w="713"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color w:val="auto"/>
                <w:szCs w:val="21"/>
                <w:highlight w:val="yellow"/>
              </w:rPr>
            </w:pPr>
          </w:p>
        </w:tc>
        <w:tc>
          <w:tcPr>
            <w:tcW w:w="1604" w:type="dxa"/>
            <w:gridSpan w:val="2"/>
            <w:tcBorders>
              <w:top w:val="single" w:color="auto" w:sz="4" w:space="0"/>
              <w:left w:val="single" w:color="auto" w:sz="4" w:space="0"/>
              <w:bottom w:val="single" w:color="auto" w:sz="4" w:space="0"/>
              <w:right w:val="single" w:color="auto" w:sz="4" w:space="0"/>
            </w:tcBorders>
            <w:vAlign w:val="center"/>
          </w:tcPr>
          <w:p>
            <w:pPr>
              <w:wordWrap w:val="0"/>
              <w:jc w:val="center"/>
              <w:rPr>
                <w:rFonts w:eastAsiaTheme="minorEastAsia"/>
                <w:color w:val="auto"/>
                <w:szCs w:val="21"/>
                <w:highlight w:val="none"/>
              </w:rPr>
            </w:pPr>
            <w:r>
              <w:rPr>
                <w:rFonts w:eastAsiaTheme="minorEastAsia"/>
                <w:color w:val="auto"/>
                <w:szCs w:val="21"/>
                <w:highlight w:val="none"/>
              </w:rPr>
              <w:t>生产废水</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wordWrap w:val="0"/>
              <w:rPr>
                <w:rFonts w:eastAsiaTheme="minorEastAsia"/>
                <w:color w:val="auto"/>
                <w:szCs w:val="21"/>
                <w:highlight w:val="none"/>
              </w:rPr>
            </w:pPr>
            <w:r>
              <w:rPr>
                <w:rFonts w:eastAsiaTheme="minorEastAsia"/>
                <w:color w:val="auto"/>
                <w:szCs w:val="21"/>
                <w:highlight w:val="none"/>
              </w:rPr>
              <w:t>含油废水</w:t>
            </w:r>
            <w:r>
              <w:rPr>
                <w:rFonts w:hint="eastAsia" w:eastAsiaTheme="minorEastAsia"/>
                <w:color w:val="auto"/>
                <w:szCs w:val="21"/>
                <w:highlight w:val="none"/>
                <w:lang w:val="en-US" w:eastAsia="zh-CN"/>
              </w:rPr>
              <w:t>1840</w:t>
            </w:r>
            <w:r>
              <w:rPr>
                <w:rFonts w:eastAsiaTheme="minorEastAsia"/>
                <w:color w:val="auto"/>
                <w:szCs w:val="21"/>
                <w:highlight w:val="none"/>
              </w:rPr>
              <w:t>m</w:t>
            </w:r>
            <w:r>
              <w:rPr>
                <w:rFonts w:eastAsiaTheme="minorEastAsia"/>
                <w:color w:val="auto"/>
                <w:szCs w:val="21"/>
                <w:highlight w:val="none"/>
                <w:vertAlign w:val="superscript"/>
              </w:rPr>
              <w:t>3</w:t>
            </w:r>
            <w:r>
              <w:rPr>
                <w:rFonts w:eastAsiaTheme="minorEastAsia"/>
                <w:color w:val="auto"/>
                <w:szCs w:val="21"/>
                <w:highlight w:val="none"/>
              </w:rPr>
              <w:t>/a；</w:t>
            </w:r>
          </w:p>
          <w:p>
            <w:pPr>
              <w:wordWrap w:val="0"/>
              <w:rPr>
                <w:rFonts w:eastAsiaTheme="minorEastAsia"/>
                <w:color w:val="auto"/>
                <w:szCs w:val="21"/>
                <w:highlight w:val="none"/>
              </w:rPr>
            </w:pPr>
            <w:r>
              <w:rPr>
                <w:rFonts w:eastAsiaTheme="minorEastAsia"/>
                <w:color w:val="auto"/>
                <w:szCs w:val="21"/>
                <w:highlight w:val="none"/>
              </w:rPr>
              <w:t>综合废水</w:t>
            </w:r>
            <w:r>
              <w:rPr>
                <w:rFonts w:hint="eastAsia" w:eastAsiaTheme="minorEastAsia"/>
                <w:color w:val="auto"/>
                <w:szCs w:val="21"/>
                <w:highlight w:val="none"/>
                <w:lang w:val="en-US" w:eastAsia="zh-CN"/>
              </w:rPr>
              <w:t>3274</w:t>
            </w:r>
            <w:r>
              <w:rPr>
                <w:rFonts w:eastAsiaTheme="minorEastAsia"/>
                <w:color w:val="auto"/>
                <w:szCs w:val="21"/>
                <w:highlight w:val="none"/>
              </w:rPr>
              <w:t>m</w:t>
            </w:r>
            <w:r>
              <w:rPr>
                <w:rFonts w:eastAsiaTheme="minorEastAsia"/>
                <w:color w:val="auto"/>
                <w:szCs w:val="21"/>
                <w:highlight w:val="none"/>
                <w:vertAlign w:val="superscript"/>
              </w:rPr>
              <w:t>3</w:t>
            </w:r>
            <w:r>
              <w:rPr>
                <w:rFonts w:eastAsiaTheme="minorEastAsia"/>
                <w:color w:val="auto"/>
                <w:szCs w:val="21"/>
                <w:highlight w:val="none"/>
              </w:rPr>
              <w:t>/a；</w:t>
            </w:r>
          </w:p>
          <w:p>
            <w:pPr>
              <w:wordWrap w:val="0"/>
              <w:rPr>
                <w:rFonts w:eastAsiaTheme="minorEastAsia"/>
                <w:color w:val="auto"/>
                <w:szCs w:val="21"/>
                <w:highlight w:val="none"/>
              </w:rPr>
            </w:pPr>
            <w:r>
              <w:rPr>
                <w:rFonts w:eastAsiaTheme="minorEastAsia"/>
                <w:color w:val="auto"/>
                <w:szCs w:val="21"/>
                <w:highlight w:val="none"/>
              </w:rPr>
              <w:t>含铬废水</w:t>
            </w:r>
            <w:r>
              <w:rPr>
                <w:rFonts w:hint="eastAsia" w:eastAsiaTheme="minorEastAsia"/>
                <w:color w:val="auto"/>
                <w:szCs w:val="21"/>
                <w:highlight w:val="none"/>
                <w:lang w:val="en-US" w:eastAsia="zh-CN"/>
              </w:rPr>
              <w:t>6297</w:t>
            </w:r>
            <w:r>
              <w:rPr>
                <w:rFonts w:eastAsiaTheme="minorEastAsia"/>
                <w:color w:val="auto"/>
                <w:szCs w:val="21"/>
                <w:highlight w:val="none"/>
              </w:rPr>
              <w:t>m</w:t>
            </w:r>
            <w:r>
              <w:rPr>
                <w:rFonts w:eastAsiaTheme="minorEastAsia"/>
                <w:color w:val="auto"/>
                <w:szCs w:val="21"/>
                <w:highlight w:val="none"/>
                <w:vertAlign w:val="superscript"/>
              </w:rPr>
              <w:t>3</w:t>
            </w:r>
            <w:r>
              <w:rPr>
                <w:rFonts w:eastAsiaTheme="minorEastAsia"/>
                <w:color w:val="auto"/>
                <w:szCs w:val="21"/>
                <w:highlight w:val="none"/>
              </w:rPr>
              <w:t>/a；</w:t>
            </w:r>
          </w:p>
          <w:p>
            <w:pPr>
              <w:wordWrap w:val="0"/>
              <w:rPr>
                <w:rFonts w:eastAsiaTheme="minorEastAsia"/>
                <w:color w:val="auto"/>
                <w:szCs w:val="21"/>
                <w:highlight w:val="none"/>
              </w:rPr>
            </w:pPr>
            <w:r>
              <w:rPr>
                <w:rFonts w:hint="eastAsia" w:eastAsiaTheme="minorEastAsia"/>
                <w:color w:val="auto"/>
                <w:szCs w:val="21"/>
                <w:highlight w:val="none"/>
              </w:rPr>
              <w:t>含镍废水</w:t>
            </w:r>
            <w:r>
              <w:rPr>
                <w:rFonts w:hint="eastAsia" w:eastAsiaTheme="minorEastAsia"/>
                <w:color w:val="auto"/>
                <w:szCs w:val="21"/>
                <w:highlight w:val="none"/>
                <w:lang w:val="en-US" w:eastAsia="zh-CN"/>
              </w:rPr>
              <w:t>173</w:t>
            </w:r>
            <w:r>
              <w:rPr>
                <w:rFonts w:eastAsiaTheme="minorEastAsia"/>
                <w:color w:val="auto"/>
                <w:szCs w:val="21"/>
                <w:highlight w:val="none"/>
              </w:rPr>
              <w:t>m</w:t>
            </w:r>
            <w:r>
              <w:rPr>
                <w:rFonts w:eastAsiaTheme="minorEastAsia"/>
                <w:color w:val="auto"/>
                <w:szCs w:val="21"/>
                <w:highlight w:val="none"/>
                <w:vertAlign w:val="superscript"/>
              </w:rPr>
              <w:t>3</w:t>
            </w:r>
            <w:r>
              <w:rPr>
                <w:rFonts w:eastAsiaTheme="minorEastAsia"/>
                <w:color w:val="auto"/>
                <w:szCs w:val="21"/>
                <w:highlight w:val="none"/>
              </w:rPr>
              <w:t>/a；</w:t>
            </w:r>
          </w:p>
          <w:p>
            <w:pPr>
              <w:wordWrap w:val="0"/>
              <w:rPr>
                <w:rFonts w:hint="eastAsia" w:eastAsiaTheme="minorEastAsia"/>
                <w:color w:val="auto"/>
                <w:highlight w:val="none"/>
                <w:lang w:eastAsia="zh-CN"/>
              </w:rPr>
            </w:pPr>
            <w:r>
              <w:rPr>
                <w:rFonts w:hint="eastAsia" w:eastAsiaTheme="minorEastAsia"/>
                <w:color w:val="auto"/>
                <w:szCs w:val="21"/>
                <w:highlight w:val="none"/>
              </w:rPr>
              <w:t>含氰废水</w:t>
            </w:r>
            <w:r>
              <w:rPr>
                <w:rFonts w:hint="eastAsia" w:eastAsiaTheme="minorEastAsia"/>
                <w:color w:val="auto"/>
                <w:szCs w:val="21"/>
                <w:highlight w:val="none"/>
                <w:lang w:val="en-US" w:eastAsia="zh-CN"/>
              </w:rPr>
              <w:t>100</w:t>
            </w:r>
            <w:r>
              <w:rPr>
                <w:rFonts w:eastAsiaTheme="minorEastAsia"/>
                <w:color w:val="auto"/>
                <w:szCs w:val="21"/>
                <w:highlight w:val="none"/>
              </w:rPr>
              <w:t>m</w:t>
            </w:r>
            <w:r>
              <w:rPr>
                <w:rFonts w:eastAsiaTheme="minorEastAsia"/>
                <w:color w:val="auto"/>
                <w:szCs w:val="21"/>
                <w:highlight w:val="none"/>
                <w:vertAlign w:val="superscript"/>
              </w:rPr>
              <w:t>3</w:t>
            </w:r>
            <w:r>
              <w:rPr>
                <w:rFonts w:eastAsiaTheme="minorEastAsia"/>
                <w:color w:val="auto"/>
                <w:szCs w:val="21"/>
                <w:highlight w:val="none"/>
              </w:rPr>
              <w:t>/a</w:t>
            </w:r>
            <w:r>
              <w:rPr>
                <w:rFonts w:hint="eastAsia" w:eastAsiaTheme="minorEastAsia"/>
                <w:color w:val="auto"/>
                <w:szCs w:val="21"/>
                <w:highlight w:val="none"/>
                <w:lang w:eastAsia="zh-CN"/>
              </w:rPr>
              <w:t>。</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jc w:val="left"/>
              <w:rPr>
                <w:rFonts w:eastAsiaTheme="minorEastAsia"/>
                <w:color w:val="auto"/>
                <w:szCs w:val="21"/>
                <w:highlight w:val="none"/>
              </w:rPr>
            </w:pPr>
            <w:r>
              <w:rPr>
                <w:rFonts w:eastAsiaTheme="minorEastAsia"/>
                <w:color w:val="auto"/>
                <w:szCs w:val="21"/>
                <w:highlight w:val="none"/>
              </w:rPr>
              <w:t>含铬废水：接入集控中心含铬废水管道；</w:t>
            </w:r>
          </w:p>
          <w:p>
            <w:pPr>
              <w:rPr>
                <w:rFonts w:eastAsiaTheme="minorEastAsia"/>
                <w:color w:val="auto"/>
                <w:kern w:val="0"/>
                <w:szCs w:val="21"/>
                <w:highlight w:val="none"/>
                <w:lang w:bidi="he-IL"/>
              </w:rPr>
            </w:pPr>
            <w:r>
              <w:rPr>
                <w:rFonts w:hint="eastAsia" w:eastAsiaTheme="minorEastAsia"/>
                <w:color w:val="auto"/>
                <w:kern w:val="0"/>
                <w:szCs w:val="21"/>
                <w:highlight w:val="none"/>
                <w:lang w:bidi="he-IL"/>
              </w:rPr>
              <w:t>含镍废水：接入集控中心含镍废水管道；</w:t>
            </w:r>
          </w:p>
          <w:p>
            <w:pPr>
              <w:pStyle w:val="2"/>
              <w:spacing w:after="0" w:line="240" w:lineRule="auto"/>
              <w:ind w:firstLine="0"/>
              <w:rPr>
                <w:rFonts w:hint="eastAsia" w:eastAsiaTheme="minorEastAsia"/>
                <w:color w:val="auto"/>
                <w:sz w:val="21"/>
                <w:szCs w:val="21"/>
                <w:highlight w:val="none"/>
                <w:lang w:bidi="he-IL"/>
              </w:rPr>
            </w:pPr>
            <w:r>
              <w:rPr>
                <w:rFonts w:hint="eastAsia" w:eastAsiaTheme="minorEastAsia"/>
                <w:color w:val="auto"/>
                <w:sz w:val="21"/>
                <w:szCs w:val="21"/>
                <w:highlight w:val="none"/>
                <w:lang w:bidi="he-IL"/>
              </w:rPr>
              <w:t>含氰废水：接入集控中心含氰废水管道；</w:t>
            </w:r>
          </w:p>
          <w:p>
            <w:pPr>
              <w:pStyle w:val="2"/>
              <w:spacing w:after="0" w:line="240" w:lineRule="auto"/>
              <w:ind w:firstLine="0"/>
              <w:rPr>
                <w:rFonts w:eastAsiaTheme="minorEastAsia"/>
                <w:color w:val="auto"/>
                <w:sz w:val="21"/>
                <w:szCs w:val="21"/>
                <w:highlight w:val="none"/>
                <w:lang w:bidi="he-IL"/>
              </w:rPr>
            </w:pPr>
            <w:r>
              <w:rPr>
                <w:rFonts w:eastAsiaTheme="minorEastAsia"/>
                <w:color w:val="auto"/>
                <w:sz w:val="21"/>
                <w:szCs w:val="21"/>
                <w:highlight w:val="none"/>
                <w:lang w:bidi="he-IL"/>
              </w:rPr>
              <w:t>综合废水：接入集控中心</w:t>
            </w:r>
            <w:r>
              <w:rPr>
                <w:rFonts w:hint="eastAsia" w:eastAsiaTheme="minorEastAsia"/>
                <w:color w:val="auto"/>
                <w:sz w:val="21"/>
                <w:szCs w:val="21"/>
                <w:highlight w:val="none"/>
                <w:lang w:bidi="he-IL"/>
              </w:rPr>
              <w:t>综合</w:t>
            </w:r>
            <w:r>
              <w:rPr>
                <w:rFonts w:eastAsiaTheme="minorEastAsia"/>
                <w:color w:val="auto"/>
                <w:sz w:val="21"/>
                <w:szCs w:val="21"/>
                <w:highlight w:val="none"/>
                <w:lang w:bidi="he-IL"/>
              </w:rPr>
              <w:t>废水管道；</w:t>
            </w:r>
          </w:p>
          <w:p>
            <w:pPr>
              <w:pStyle w:val="63"/>
              <w:tabs>
                <w:tab w:val="right" w:pos="8502"/>
                <w:tab w:val="right" w:pos="8802"/>
              </w:tabs>
              <w:wordWrap w:val="0"/>
              <w:jc w:val="left"/>
              <w:rPr>
                <w:rFonts w:eastAsiaTheme="minorEastAsia"/>
                <w:color w:val="auto"/>
                <w:szCs w:val="21"/>
                <w:highlight w:val="none"/>
              </w:rPr>
            </w:pPr>
            <w:r>
              <w:rPr>
                <w:rFonts w:eastAsiaTheme="minorEastAsia"/>
                <w:color w:val="auto"/>
                <w:szCs w:val="21"/>
                <w:highlight w:val="none"/>
              </w:rPr>
              <w:t>含油废水</w:t>
            </w:r>
            <w:r>
              <w:rPr>
                <w:rFonts w:hint="eastAsia" w:eastAsiaTheme="minorEastAsia"/>
                <w:color w:val="auto"/>
                <w:szCs w:val="21"/>
                <w:highlight w:val="none"/>
              </w:rPr>
              <w:t>：</w:t>
            </w:r>
            <w:r>
              <w:rPr>
                <w:rFonts w:eastAsiaTheme="minorEastAsia"/>
                <w:color w:val="auto"/>
                <w:szCs w:val="21"/>
                <w:highlight w:val="none"/>
              </w:rPr>
              <w:t>接入</w:t>
            </w:r>
            <w:r>
              <w:rPr>
                <w:rFonts w:hint="eastAsia" w:eastAsiaTheme="minorEastAsia"/>
                <w:color w:val="auto"/>
                <w:szCs w:val="21"/>
                <w:highlight w:val="none"/>
              </w:rPr>
              <w:t>集控中心含油废水</w:t>
            </w:r>
            <w:r>
              <w:rPr>
                <w:rFonts w:eastAsiaTheme="minorEastAsia"/>
                <w:color w:val="auto"/>
                <w:szCs w:val="21"/>
                <w:highlight w:val="none"/>
              </w:rPr>
              <w:t>管道。</w:t>
            </w:r>
          </w:p>
          <w:p>
            <w:pPr>
              <w:pStyle w:val="63"/>
              <w:tabs>
                <w:tab w:val="right" w:pos="8502"/>
                <w:tab w:val="right" w:pos="8802"/>
              </w:tabs>
              <w:wordWrap w:val="0"/>
              <w:jc w:val="left"/>
              <w:rPr>
                <w:rFonts w:eastAsiaTheme="minorEastAsia"/>
                <w:color w:val="auto"/>
                <w:szCs w:val="21"/>
                <w:highlight w:val="none"/>
              </w:rPr>
            </w:pPr>
            <w:r>
              <w:rPr>
                <w:rFonts w:eastAsiaTheme="minorEastAsia"/>
                <w:color w:val="auto"/>
                <w:szCs w:val="21"/>
                <w:highlight w:val="none"/>
              </w:rPr>
              <w:t>每股废水需标示清楚，且管道按颜色区分；</w:t>
            </w:r>
          </w:p>
        </w:tc>
        <w:tc>
          <w:tcPr>
            <w:tcW w:w="2263"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eastAsiaTheme="minorEastAsia"/>
                <w:color w:val="auto"/>
                <w:kern w:val="2"/>
                <w:sz w:val="21"/>
                <w:szCs w:val="21"/>
                <w:highlight w:val="none"/>
              </w:rPr>
            </w:pPr>
            <w:r>
              <w:rPr>
                <w:rFonts w:ascii="Times New Roman" w:hAnsi="Times New Roman" w:cs="Times New Roman" w:eastAsiaTheme="minorEastAsia"/>
                <w:color w:val="auto"/>
                <w:sz w:val="21"/>
                <w:szCs w:val="21"/>
                <w:highlight w:val="none"/>
              </w:rPr>
              <w:t>文渡金属表面处理集控中心污水处理站进水水质标准</w:t>
            </w:r>
          </w:p>
        </w:tc>
        <w:tc>
          <w:tcPr>
            <w:tcW w:w="2123"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总铬≤400mg/L；</w:t>
            </w:r>
          </w:p>
          <w:p>
            <w:pPr>
              <w:pStyle w:val="33"/>
              <w:spacing w:line="240" w:lineRule="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eastAsia="zh-CN"/>
              </w:rPr>
              <w:t>六价</w:t>
            </w:r>
            <w:r>
              <w:rPr>
                <w:rFonts w:ascii="Times New Roman" w:hAnsi="Times New Roman" w:cs="Times New Roman" w:eastAsiaTheme="minorEastAsia"/>
                <w:color w:val="auto"/>
                <w:sz w:val="21"/>
                <w:szCs w:val="21"/>
                <w:highlight w:val="none"/>
              </w:rPr>
              <w:t>铬≤</w:t>
            </w:r>
            <w:r>
              <w:rPr>
                <w:rFonts w:hint="eastAsia" w:ascii="Times New Roman" w:hAnsi="Times New Roman" w:cs="Times New Roman" w:eastAsiaTheme="minorEastAsia"/>
                <w:color w:val="auto"/>
                <w:sz w:val="21"/>
                <w:szCs w:val="21"/>
                <w:highlight w:val="none"/>
                <w:lang w:val="en-US" w:eastAsia="zh-CN"/>
              </w:rPr>
              <w:t>5</w:t>
            </w:r>
            <w:r>
              <w:rPr>
                <w:rFonts w:ascii="Times New Roman" w:hAnsi="Times New Roman" w:cs="Times New Roman" w:eastAsiaTheme="minorEastAsia"/>
                <w:color w:val="auto"/>
                <w:sz w:val="21"/>
                <w:szCs w:val="21"/>
                <w:highlight w:val="none"/>
              </w:rPr>
              <w:t>0mg/L；</w:t>
            </w:r>
          </w:p>
          <w:p>
            <w:pPr>
              <w:pStyle w:val="33"/>
              <w:spacing w:line="240" w:lineRule="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eastAsia="zh-CN"/>
              </w:rPr>
              <w:t>总镍</w:t>
            </w:r>
            <w:r>
              <w:rPr>
                <w:rFonts w:ascii="Times New Roman" w:hAnsi="Times New Roman" w:cs="Times New Roman" w:eastAsiaTheme="minorEastAsia"/>
                <w:color w:val="auto"/>
                <w:sz w:val="21"/>
                <w:szCs w:val="21"/>
                <w:highlight w:val="none"/>
              </w:rPr>
              <w:t>≤</w:t>
            </w:r>
            <w:r>
              <w:rPr>
                <w:rFonts w:hint="eastAsia" w:ascii="Times New Roman" w:hAnsi="Times New Roman" w:cs="Times New Roman" w:eastAsiaTheme="minorEastAsia"/>
                <w:color w:val="auto"/>
                <w:sz w:val="21"/>
                <w:szCs w:val="21"/>
                <w:highlight w:val="none"/>
                <w:lang w:val="en-US" w:eastAsia="zh-CN"/>
              </w:rPr>
              <w:t>10</w:t>
            </w:r>
            <w:r>
              <w:rPr>
                <w:rFonts w:ascii="Times New Roman" w:hAnsi="Times New Roman" w:cs="Times New Roman" w:eastAsiaTheme="minorEastAsia"/>
                <w:color w:val="auto"/>
                <w:sz w:val="21"/>
                <w:szCs w:val="21"/>
                <w:highlight w:val="none"/>
              </w:rPr>
              <w:t>0mg/L；</w:t>
            </w:r>
          </w:p>
          <w:p>
            <w:pPr>
              <w:pStyle w:val="33"/>
              <w:spacing w:line="240" w:lineRule="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eastAsia="zh-CN"/>
              </w:rPr>
              <w:t>总氰化物</w:t>
            </w:r>
            <w:r>
              <w:rPr>
                <w:rFonts w:ascii="Times New Roman" w:hAnsi="Times New Roman" w:cs="Times New Roman" w:eastAsiaTheme="minorEastAsia"/>
                <w:color w:val="auto"/>
                <w:sz w:val="21"/>
                <w:szCs w:val="21"/>
                <w:highlight w:val="none"/>
              </w:rPr>
              <w:t>≤</w:t>
            </w:r>
            <w:r>
              <w:rPr>
                <w:rFonts w:hint="eastAsia" w:ascii="Times New Roman" w:hAnsi="Times New Roman" w:cs="Times New Roman" w:eastAsiaTheme="minorEastAsia"/>
                <w:color w:val="auto"/>
                <w:sz w:val="21"/>
                <w:szCs w:val="21"/>
                <w:highlight w:val="none"/>
                <w:lang w:val="en-US" w:eastAsia="zh-CN"/>
              </w:rPr>
              <w:t>5</w:t>
            </w:r>
            <w:r>
              <w:rPr>
                <w:rFonts w:ascii="Times New Roman" w:hAnsi="Times New Roman" w:cs="Times New Roman" w:eastAsiaTheme="minorEastAsia"/>
                <w:color w:val="auto"/>
                <w:sz w:val="21"/>
                <w:szCs w:val="21"/>
                <w:highlight w:val="none"/>
              </w:rPr>
              <w:t>0mg/L；</w:t>
            </w:r>
          </w:p>
          <w:p>
            <w:pPr>
              <w:pStyle w:val="33"/>
              <w:spacing w:line="240" w:lineRule="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eastAsia="zh-CN"/>
              </w:rPr>
              <w:t>总铜</w:t>
            </w:r>
            <w:r>
              <w:rPr>
                <w:rFonts w:ascii="Times New Roman" w:hAnsi="Times New Roman" w:cs="Times New Roman" w:eastAsiaTheme="minorEastAsia"/>
                <w:color w:val="auto"/>
                <w:sz w:val="21"/>
                <w:szCs w:val="21"/>
                <w:highlight w:val="none"/>
              </w:rPr>
              <w:t>≤</w:t>
            </w:r>
            <w:r>
              <w:rPr>
                <w:rFonts w:hint="eastAsia" w:ascii="Times New Roman" w:hAnsi="Times New Roman" w:cs="Times New Roman" w:eastAsiaTheme="minorEastAsia"/>
                <w:color w:val="auto"/>
                <w:sz w:val="21"/>
                <w:szCs w:val="21"/>
                <w:highlight w:val="none"/>
                <w:lang w:val="en-US" w:eastAsia="zh-CN"/>
              </w:rPr>
              <w:t>8</w:t>
            </w:r>
            <w:r>
              <w:rPr>
                <w:rFonts w:ascii="Times New Roman" w:hAnsi="Times New Roman" w:cs="Times New Roman" w:eastAsiaTheme="minorEastAsia"/>
                <w:color w:val="auto"/>
                <w:sz w:val="21"/>
                <w:szCs w:val="21"/>
                <w:highlight w:val="none"/>
              </w:rPr>
              <w:t>0mg/L；</w:t>
            </w:r>
          </w:p>
          <w:p>
            <w:pPr>
              <w:pStyle w:val="33"/>
              <w:spacing w:line="240" w:lineRule="auto"/>
              <w:rPr>
                <w:rFonts w:ascii="Times New Roman" w:hAnsi="Times New Roman" w:cs="Times New Roman" w:eastAsiaTheme="minorEastAsia"/>
                <w:color w:val="auto"/>
                <w:kern w:val="2"/>
                <w:sz w:val="21"/>
                <w:szCs w:val="21"/>
                <w:highlight w:val="none"/>
              </w:rPr>
            </w:pPr>
            <w:r>
              <w:rPr>
                <w:rFonts w:ascii="Times New Roman" w:hAnsi="Times New Roman" w:cs="Times New Roman" w:eastAsiaTheme="minorEastAsia"/>
                <w:color w:val="auto"/>
                <w:sz w:val="21"/>
                <w:szCs w:val="21"/>
                <w:highlight w:val="none"/>
              </w:rPr>
              <w:t>石油类≤80mg/L；COD≤300mg/L；</w:t>
            </w:r>
            <w:r>
              <w:rPr>
                <w:rFonts w:ascii="Times New Roman" w:hAnsi="Times New Roman" w:cs="Times New Roman"/>
                <w:color w:val="auto"/>
                <w:sz w:val="21"/>
                <w:szCs w:val="21"/>
                <w:highlight w:val="none"/>
              </w:rPr>
              <w:t>NH</w:t>
            </w:r>
            <w:r>
              <w:rPr>
                <w:rFonts w:ascii="Times New Roman" w:hAnsi="Times New Roman" w:cs="Times New Roman"/>
                <w:color w:val="auto"/>
                <w:sz w:val="21"/>
                <w:szCs w:val="21"/>
                <w:highlight w:val="none"/>
                <w:vertAlign w:val="subscript"/>
              </w:rPr>
              <w:t>3</w:t>
            </w:r>
            <w:r>
              <w:rPr>
                <w:rFonts w:ascii="Times New Roman" w:hAnsi="Times New Roman" w:cs="Times New Roman"/>
                <w:color w:val="auto"/>
                <w:sz w:val="21"/>
                <w:szCs w:val="21"/>
                <w:highlight w:val="none"/>
              </w:rPr>
              <w:t>-N</w:t>
            </w:r>
            <w:r>
              <w:rPr>
                <w:rFonts w:ascii="Times New Roman" w:hAnsi="Times New Roman" w:cs="Times New Roman" w:eastAsiaTheme="minorEastAsia"/>
                <w:color w:val="auto"/>
                <w:sz w:val="21"/>
                <w:szCs w:val="21"/>
                <w:highlight w:val="none"/>
              </w:rPr>
              <w:t>≤50mg/L；SS≤200mg/L；TP≤10mg/L；</w:t>
            </w:r>
          </w:p>
        </w:tc>
        <w:tc>
          <w:tcPr>
            <w:tcW w:w="1138" w:type="dxa"/>
            <w:tcBorders>
              <w:top w:val="single" w:color="auto" w:sz="4" w:space="0"/>
              <w:left w:val="single" w:color="auto" w:sz="4" w:space="0"/>
              <w:bottom w:val="single" w:color="auto" w:sz="4" w:space="0"/>
              <w:right w:val="single" w:color="auto" w:sz="4" w:space="0"/>
            </w:tcBorders>
            <w:vAlign w:val="center"/>
          </w:tcPr>
          <w:p>
            <w:pPr>
              <w:rPr>
                <w:rFonts w:eastAsiaTheme="minorEastAsia"/>
                <w:color w:val="auto"/>
                <w:szCs w:val="21"/>
                <w:highlight w:val="none"/>
              </w:rPr>
            </w:pPr>
            <w:r>
              <w:rPr>
                <w:rFonts w:eastAsiaTheme="minorEastAsia"/>
                <w:color w:val="auto"/>
                <w:szCs w:val="21"/>
                <w:highlight w:val="none"/>
              </w:rPr>
              <w:t>含铬废水、</w:t>
            </w:r>
            <w:r>
              <w:rPr>
                <w:rFonts w:hint="eastAsia" w:eastAsiaTheme="minorEastAsia"/>
                <w:color w:val="auto"/>
                <w:szCs w:val="21"/>
                <w:highlight w:val="none"/>
                <w:lang w:eastAsia="zh-CN"/>
              </w:rPr>
              <w:t>含镍废水、含氰废水、</w:t>
            </w:r>
            <w:r>
              <w:rPr>
                <w:rFonts w:eastAsiaTheme="minorEastAsia"/>
                <w:color w:val="auto"/>
                <w:szCs w:val="21"/>
                <w:highlight w:val="none"/>
              </w:rPr>
              <w:t>含油废水、综合废水排放口</w:t>
            </w:r>
          </w:p>
        </w:tc>
        <w:tc>
          <w:tcPr>
            <w:tcW w:w="924" w:type="dxa"/>
            <w:tcBorders>
              <w:top w:val="single" w:color="auto" w:sz="4" w:space="0"/>
              <w:left w:val="single" w:color="auto" w:sz="4" w:space="0"/>
              <w:bottom w:val="single" w:color="auto" w:sz="4" w:space="0"/>
              <w:right w:val="nil"/>
            </w:tcBorders>
            <w:vAlign w:val="center"/>
          </w:tcPr>
          <w:p>
            <w:pPr>
              <w:jc w:val="center"/>
              <w:rPr>
                <w:rFonts w:eastAsiaTheme="minorEastAsia"/>
                <w:color w:val="auto"/>
                <w:szCs w:val="21"/>
                <w:highlight w:val="none"/>
                <w:lang w:val="pt-BR"/>
              </w:rPr>
            </w:pPr>
            <w:r>
              <w:rPr>
                <w:rFonts w:eastAsiaTheme="minorEastAsia"/>
                <w:color w:val="auto"/>
                <w:szCs w:val="21"/>
                <w:highlight w:val="none"/>
                <w:lang w:val="pt-B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15" w:hRule="atLeast"/>
          <w:jc w:val="center"/>
        </w:trPr>
        <w:tc>
          <w:tcPr>
            <w:tcW w:w="713" w:type="dxa"/>
            <w:vMerge w:val="restart"/>
            <w:tcBorders>
              <w:top w:val="single" w:color="auto" w:sz="4" w:space="0"/>
              <w:left w:val="nil"/>
              <w:bottom w:val="single" w:color="auto" w:sz="4" w:space="0"/>
              <w:right w:val="single" w:color="auto" w:sz="4" w:space="0"/>
            </w:tcBorders>
            <w:vAlign w:val="center"/>
          </w:tcPr>
          <w:p>
            <w:pPr>
              <w:pStyle w:val="63"/>
              <w:tabs>
                <w:tab w:val="right" w:pos="8502"/>
                <w:tab w:val="right" w:pos="8802"/>
              </w:tabs>
              <w:wordWrap w:val="0"/>
              <w:jc w:val="both"/>
              <w:rPr>
                <w:rFonts w:eastAsiaTheme="minorEastAsia"/>
                <w:color w:val="auto"/>
                <w:szCs w:val="21"/>
                <w:highlight w:val="none"/>
              </w:rPr>
            </w:pPr>
            <w:r>
              <w:rPr>
                <w:rFonts w:eastAsiaTheme="minorEastAsia"/>
                <w:color w:val="auto"/>
                <w:szCs w:val="21"/>
                <w:highlight w:val="none"/>
              </w:rPr>
              <w:t>废气</w:t>
            </w:r>
          </w:p>
        </w:tc>
        <w:tc>
          <w:tcPr>
            <w:tcW w:w="48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有组织</w:t>
            </w:r>
          </w:p>
        </w:tc>
        <w:tc>
          <w:tcPr>
            <w:tcW w:w="1121" w:type="dxa"/>
            <w:tcBorders>
              <w:top w:val="single" w:color="auto" w:sz="4" w:space="0"/>
              <w:left w:val="single" w:color="auto" w:sz="4" w:space="0"/>
              <w:bottom w:val="single" w:color="auto" w:sz="4" w:space="0"/>
              <w:right w:val="single" w:color="auto" w:sz="4" w:space="0"/>
            </w:tcBorders>
            <w:vAlign w:val="center"/>
          </w:tcPr>
          <w:p>
            <w:pPr>
              <w:wordWrap w:val="0"/>
              <w:jc w:val="center"/>
              <w:rPr>
                <w:rFonts w:hint="eastAsia" w:eastAsiaTheme="minorEastAsia"/>
                <w:color w:val="auto"/>
                <w:szCs w:val="21"/>
                <w:highlight w:val="none"/>
              </w:rPr>
            </w:pPr>
            <w:r>
              <w:rPr>
                <w:rFonts w:eastAsiaTheme="minorEastAsia"/>
                <w:color w:val="auto"/>
                <w:szCs w:val="21"/>
                <w:highlight w:val="none"/>
              </w:rPr>
              <w:t>硫酸雾、</w:t>
            </w:r>
            <w:r>
              <w:rPr>
                <w:rFonts w:hint="eastAsia" w:eastAsiaTheme="minorEastAsia"/>
                <w:color w:val="auto"/>
                <w:szCs w:val="21"/>
                <w:highlight w:val="none"/>
              </w:rPr>
              <w:t>氯化氢、氟化物、铬酸雾、氰化氢</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硫酸雾：</w:t>
            </w:r>
            <w:r>
              <w:rPr>
                <w:rFonts w:hint="default" w:ascii="Times New Roman" w:hAnsi="Times New Roman" w:cs="Times New Roman"/>
                <w:color w:val="auto"/>
                <w:kern w:val="0"/>
                <w:sz w:val="21"/>
                <w:szCs w:val="21"/>
                <w:highlight w:val="none"/>
                <w:lang w:bidi="ar"/>
              </w:rPr>
              <w:t>0.00000632</w:t>
            </w:r>
            <w:r>
              <w:rPr>
                <w:rFonts w:hint="default" w:ascii="Times New Roman" w:hAnsi="Times New Roman" w:cs="Times New Roman" w:eastAsiaTheme="minorEastAsia"/>
                <w:color w:val="auto"/>
                <w:sz w:val="21"/>
                <w:szCs w:val="21"/>
                <w:highlight w:val="none"/>
              </w:rPr>
              <w:t>t/a；</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eastAsiaTheme="minorEastAsia"/>
                <w:color w:val="auto"/>
                <w:kern w:val="0"/>
                <w:sz w:val="21"/>
                <w:szCs w:val="21"/>
                <w:highlight w:val="none"/>
                <w:lang w:bidi="he-IL"/>
              </w:rPr>
            </w:pPr>
            <w:r>
              <w:rPr>
                <w:rFonts w:hint="default" w:ascii="Times New Roman" w:hAnsi="Times New Roman" w:cs="Times New Roman" w:eastAsiaTheme="minorEastAsia"/>
                <w:color w:val="auto"/>
                <w:kern w:val="0"/>
                <w:sz w:val="21"/>
                <w:szCs w:val="21"/>
                <w:highlight w:val="none"/>
                <w:lang w:bidi="he-IL"/>
              </w:rPr>
              <w:t>氯化氢：</w:t>
            </w:r>
            <w:r>
              <w:rPr>
                <w:rFonts w:hint="default" w:ascii="Times New Roman" w:hAnsi="Times New Roman" w:cs="Times New Roman"/>
                <w:color w:val="auto"/>
                <w:kern w:val="0"/>
                <w:sz w:val="21"/>
                <w:szCs w:val="21"/>
                <w:highlight w:val="none"/>
                <w:lang w:bidi="ar"/>
              </w:rPr>
              <w:t>0.0156</w:t>
            </w:r>
            <w:r>
              <w:rPr>
                <w:rFonts w:hint="default" w:ascii="Times New Roman" w:hAnsi="Times New Roman" w:cs="Times New Roman" w:eastAsiaTheme="minorEastAsia"/>
                <w:color w:val="auto"/>
                <w:sz w:val="21"/>
                <w:szCs w:val="21"/>
                <w:highlight w:val="none"/>
              </w:rPr>
              <w:t>t/a；</w:t>
            </w:r>
          </w:p>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left"/>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eastAsiaTheme="minorEastAsia"/>
                <w:color w:val="auto"/>
                <w:sz w:val="21"/>
                <w:szCs w:val="21"/>
                <w:highlight w:val="none"/>
                <w:lang w:bidi="he-IL"/>
              </w:rPr>
              <w:t>氟化物：</w:t>
            </w:r>
            <w:r>
              <w:rPr>
                <w:rFonts w:hint="default" w:ascii="Times New Roman" w:hAnsi="Times New Roman" w:cs="Times New Roman"/>
                <w:color w:val="auto"/>
                <w:kern w:val="0"/>
                <w:sz w:val="21"/>
                <w:szCs w:val="21"/>
                <w:highlight w:val="none"/>
                <w:lang w:bidi="ar"/>
              </w:rPr>
              <w:t>0.00514</w:t>
            </w:r>
            <w:r>
              <w:rPr>
                <w:rFonts w:hint="default" w:ascii="Times New Roman" w:hAnsi="Times New Roman" w:cs="Times New Roman" w:eastAsiaTheme="minorEastAsia"/>
                <w:color w:val="auto"/>
                <w:sz w:val="21"/>
                <w:szCs w:val="21"/>
                <w:highlight w:val="none"/>
              </w:rPr>
              <w:t>t/a；</w:t>
            </w:r>
            <w:r>
              <w:rPr>
                <w:rFonts w:hint="default" w:ascii="Times New Roman" w:hAnsi="Times New Roman" w:cs="Times New Roman"/>
                <w:color w:val="auto"/>
                <w:kern w:val="0"/>
                <w:sz w:val="21"/>
                <w:szCs w:val="21"/>
                <w:highlight w:val="none"/>
                <w:lang w:bidi="ar"/>
              </w:rPr>
              <w:t xml:space="preserve"> </w:t>
            </w:r>
          </w:p>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left"/>
              <w:textAlignment w:val="auto"/>
              <w:rPr>
                <w:rFonts w:hint="default" w:ascii="Times New Roman" w:hAnsi="Times New Roman" w:cs="Times New Roman" w:eastAsiaTheme="minorEastAsia"/>
                <w:color w:val="auto"/>
                <w:sz w:val="21"/>
                <w:szCs w:val="21"/>
                <w:highlight w:val="none"/>
                <w:lang w:bidi="he-IL"/>
              </w:rPr>
            </w:pPr>
            <w:r>
              <w:rPr>
                <w:rFonts w:hint="default" w:ascii="Times New Roman" w:hAnsi="Times New Roman" w:cs="Times New Roman" w:eastAsiaTheme="minorEastAsia"/>
                <w:color w:val="auto"/>
                <w:sz w:val="21"/>
                <w:szCs w:val="21"/>
                <w:highlight w:val="none"/>
                <w:lang w:bidi="he-IL"/>
              </w:rPr>
              <w:t>铬酸雾：</w:t>
            </w:r>
            <w:r>
              <w:rPr>
                <w:rFonts w:hint="default" w:ascii="Times New Roman" w:hAnsi="Times New Roman" w:cs="Times New Roman"/>
                <w:color w:val="auto"/>
                <w:kern w:val="0"/>
                <w:sz w:val="21"/>
                <w:szCs w:val="21"/>
                <w:highlight w:val="none"/>
                <w:lang w:bidi="ar"/>
              </w:rPr>
              <w:t>0.000078</w:t>
            </w:r>
            <w:r>
              <w:rPr>
                <w:rFonts w:hint="default" w:ascii="Times New Roman" w:hAnsi="Times New Roman" w:cs="Times New Roman" w:eastAsiaTheme="minorEastAsia"/>
                <w:color w:val="auto"/>
                <w:sz w:val="21"/>
                <w:szCs w:val="21"/>
                <w:highlight w:val="none"/>
              </w:rPr>
              <w:t>t/a；</w:t>
            </w:r>
          </w:p>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left"/>
              <w:textAlignment w:val="auto"/>
              <w:rPr>
                <w:rFonts w:hint="eastAsia" w:eastAsiaTheme="minorEastAsia"/>
                <w:color w:val="auto"/>
                <w:sz w:val="21"/>
                <w:szCs w:val="21"/>
                <w:highlight w:val="none"/>
                <w:lang w:bidi="he-IL"/>
              </w:rPr>
            </w:pPr>
            <w:r>
              <w:rPr>
                <w:rFonts w:hint="default" w:ascii="Times New Roman" w:hAnsi="Times New Roman" w:cs="Times New Roman" w:eastAsiaTheme="minorEastAsia"/>
                <w:color w:val="auto"/>
                <w:sz w:val="21"/>
                <w:szCs w:val="21"/>
                <w:highlight w:val="none"/>
                <w:lang w:bidi="he-IL"/>
              </w:rPr>
              <w:t>氰化氢：</w:t>
            </w:r>
            <w:r>
              <w:rPr>
                <w:rFonts w:hint="default" w:ascii="Times New Roman" w:hAnsi="Times New Roman" w:cs="Times New Roman"/>
                <w:color w:val="auto"/>
                <w:kern w:val="0"/>
                <w:sz w:val="21"/>
                <w:szCs w:val="21"/>
                <w:highlight w:val="none"/>
                <w:lang w:val="en-US" w:eastAsia="zh-CN" w:bidi="ar"/>
              </w:rPr>
              <w:t>0.00026</w:t>
            </w:r>
            <w:r>
              <w:rPr>
                <w:rFonts w:hint="default" w:ascii="Times New Roman" w:hAnsi="Times New Roman" w:cs="Times New Roman" w:eastAsiaTheme="minorEastAsia"/>
                <w:color w:val="auto"/>
                <w:sz w:val="21"/>
                <w:szCs w:val="21"/>
                <w:highlight w:val="none"/>
              </w:rPr>
              <w:t>t/a</w:t>
            </w:r>
            <w:r>
              <w:rPr>
                <w:rFonts w:eastAsiaTheme="minorEastAsia"/>
                <w:color w:val="auto"/>
                <w:szCs w:val="21"/>
                <w:highlight w:val="none"/>
              </w:rPr>
              <w:t>；</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集气罩+</w:t>
            </w:r>
            <w:r>
              <w:rPr>
                <w:rFonts w:eastAsiaTheme="minorEastAsia"/>
                <w:color w:val="auto"/>
                <w:spacing w:val="-10"/>
                <w:szCs w:val="21"/>
                <w:highlight w:val="none"/>
              </w:rPr>
              <w:t>碱液喷淋塔</w:t>
            </w:r>
            <w:r>
              <w:rPr>
                <w:rFonts w:eastAsiaTheme="minorEastAsia"/>
                <w:color w:val="auto"/>
                <w:szCs w:val="21"/>
                <w:highlight w:val="none"/>
              </w:rPr>
              <w:t>+15m排气筒</w:t>
            </w:r>
            <w:r>
              <w:rPr>
                <w:rFonts w:hint="eastAsia" w:eastAsiaTheme="minorEastAsia"/>
                <w:color w:val="auto"/>
                <w:szCs w:val="21"/>
                <w:highlight w:val="none"/>
              </w:rPr>
              <w:t>；</w:t>
            </w:r>
          </w:p>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集气罩+</w:t>
            </w:r>
            <w:r>
              <w:rPr>
                <w:rFonts w:hint="eastAsia" w:eastAsiaTheme="minorEastAsia"/>
                <w:color w:val="auto"/>
                <w:spacing w:val="-10"/>
                <w:szCs w:val="21"/>
                <w:highlight w:val="none"/>
              </w:rPr>
              <w:t>氰净化塔</w:t>
            </w:r>
            <w:r>
              <w:rPr>
                <w:rFonts w:eastAsiaTheme="minorEastAsia"/>
                <w:color w:val="auto"/>
                <w:szCs w:val="21"/>
                <w:highlight w:val="none"/>
              </w:rPr>
              <w:t>+15m排气筒</w:t>
            </w:r>
            <w:r>
              <w:rPr>
                <w:rFonts w:hint="eastAsia" w:eastAsiaTheme="minorEastAsia"/>
                <w:color w:val="auto"/>
                <w:szCs w:val="21"/>
                <w:highlight w:val="none"/>
              </w:rPr>
              <w:t>；</w:t>
            </w:r>
          </w:p>
          <w:p>
            <w:pPr>
              <w:pStyle w:val="63"/>
              <w:tabs>
                <w:tab w:val="right" w:pos="8502"/>
                <w:tab w:val="right" w:pos="8802"/>
              </w:tabs>
              <w:wordWrap w:val="0"/>
              <w:rPr>
                <w:rFonts w:hint="eastAsia" w:eastAsiaTheme="minorEastAsia"/>
                <w:color w:val="auto"/>
                <w:szCs w:val="21"/>
                <w:highlight w:val="none"/>
              </w:rPr>
            </w:pPr>
            <w:r>
              <w:rPr>
                <w:rFonts w:eastAsiaTheme="minorEastAsia"/>
                <w:color w:val="auto"/>
                <w:szCs w:val="21"/>
                <w:highlight w:val="none"/>
              </w:rPr>
              <w:t>集气罩+</w:t>
            </w:r>
            <w:r>
              <w:rPr>
                <w:rFonts w:hint="eastAsia" w:eastAsiaTheme="minorEastAsia"/>
                <w:color w:val="auto"/>
                <w:spacing w:val="-10"/>
                <w:szCs w:val="21"/>
                <w:highlight w:val="none"/>
              </w:rPr>
              <w:t>网格净化器</w:t>
            </w:r>
            <w:r>
              <w:rPr>
                <w:rFonts w:eastAsiaTheme="minorEastAsia"/>
                <w:color w:val="auto"/>
                <w:szCs w:val="21"/>
                <w:highlight w:val="none"/>
              </w:rPr>
              <w:t>+15m排气筒</w:t>
            </w:r>
            <w:r>
              <w:rPr>
                <w:rFonts w:hint="eastAsia" w:eastAsiaTheme="minorEastAsia"/>
                <w:color w:val="auto"/>
                <w:szCs w:val="21"/>
                <w:highlight w:val="none"/>
              </w:rPr>
              <w:t>；</w:t>
            </w:r>
          </w:p>
          <w:p>
            <w:pPr>
              <w:pStyle w:val="63"/>
              <w:tabs>
                <w:tab w:val="right" w:pos="8502"/>
                <w:tab w:val="right" w:pos="8802"/>
              </w:tabs>
              <w:wordWrap w:val="0"/>
              <w:rPr>
                <w:rFonts w:eastAsiaTheme="minorEastAsia"/>
                <w:color w:val="auto"/>
                <w:szCs w:val="21"/>
                <w:highlight w:val="none"/>
              </w:rPr>
            </w:pPr>
            <w:r>
              <w:rPr>
                <w:rFonts w:hint="eastAsia" w:eastAsiaTheme="minorEastAsia"/>
                <w:color w:val="auto"/>
                <w:szCs w:val="21"/>
                <w:highlight w:val="none"/>
              </w:rPr>
              <w:t>各废气排放口</w:t>
            </w:r>
            <w:r>
              <w:rPr>
                <w:rFonts w:eastAsiaTheme="minorEastAsia"/>
                <w:color w:val="auto"/>
                <w:szCs w:val="21"/>
                <w:highlight w:val="none"/>
              </w:rPr>
              <w:t>预留监测口并设废气排放口标示牌</w:t>
            </w:r>
          </w:p>
        </w:tc>
        <w:tc>
          <w:tcPr>
            <w:tcW w:w="2263"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eastAsiaTheme="minorEastAsia"/>
                <w:iCs/>
                <w:color w:val="auto"/>
                <w:kern w:val="2"/>
                <w:sz w:val="21"/>
                <w:szCs w:val="21"/>
                <w:highlight w:val="none"/>
              </w:rPr>
            </w:pPr>
            <w:r>
              <w:rPr>
                <w:rFonts w:ascii="Times New Roman" w:hAnsi="Times New Roman" w:cs="Times New Roman" w:eastAsiaTheme="minorEastAsia"/>
                <w:color w:val="auto"/>
                <w:sz w:val="21"/>
                <w:szCs w:val="21"/>
                <w:highlight w:val="none"/>
              </w:rPr>
              <w:t>执行《电镀污染物排放标准》GB21900-2008）中表5建企业大气污染物排放限值（排气筒未高出周边200m半径范围的建筑5m以上，应按排放浓度限值的50%执行）</w:t>
            </w:r>
          </w:p>
        </w:tc>
        <w:tc>
          <w:tcPr>
            <w:tcW w:w="2123"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highlight w:val="none"/>
                <w:lang w:eastAsia="zh-CN"/>
              </w:rPr>
            </w:pPr>
            <w:r>
              <w:rPr>
                <w:color w:val="auto"/>
                <w:highlight w:val="none"/>
              </w:rPr>
              <w:t>硫酸雾≤</w:t>
            </w:r>
            <w:r>
              <w:rPr>
                <w:rFonts w:hint="eastAsia"/>
                <w:color w:val="auto"/>
                <w:highlight w:val="none"/>
                <w:lang w:val="en-US" w:eastAsia="zh-CN"/>
              </w:rPr>
              <w:t>15</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color w:val="auto"/>
                <w:highlight w:val="none"/>
                <w:lang w:eastAsia="zh-CN"/>
              </w:rPr>
            </w:pPr>
            <w:r>
              <w:rPr>
                <w:rFonts w:hint="eastAsia"/>
                <w:color w:val="auto"/>
                <w:highlight w:val="none"/>
                <w:lang w:eastAsia="zh-CN"/>
              </w:rPr>
              <w:t>铬酸</w:t>
            </w:r>
            <w:r>
              <w:rPr>
                <w:color w:val="auto"/>
                <w:highlight w:val="none"/>
              </w:rPr>
              <w:t>雾≤</w:t>
            </w:r>
            <w:r>
              <w:rPr>
                <w:rFonts w:hint="eastAsia"/>
                <w:color w:val="auto"/>
                <w:highlight w:val="none"/>
                <w:lang w:val="en-US" w:eastAsia="zh-CN"/>
              </w:rPr>
              <w:t>0.025</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color w:val="auto"/>
                <w:highlight w:val="none"/>
                <w:lang w:eastAsia="zh-CN"/>
              </w:rPr>
            </w:pPr>
            <w:r>
              <w:rPr>
                <w:rFonts w:hint="eastAsia"/>
                <w:color w:val="auto"/>
                <w:highlight w:val="none"/>
                <w:lang w:eastAsia="zh-CN"/>
              </w:rPr>
              <w:t>氯化氢</w:t>
            </w:r>
            <w:r>
              <w:rPr>
                <w:color w:val="auto"/>
                <w:highlight w:val="none"/>
              </w:rPr>
              <w:t>≤</w:t>
            </w:r>
            <w:r>
              <w:rPr>
                <w:rFonts w:hint="eastAsia"/>
                <w:color w:val="auto"/>
                <w:highlight w:val="none"/>
                <w:lang w:val="en-US" w:eastAsia="zh-CN"/>
              </w:rPr>
              <w:t>15</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color w:val="auto"/>
                <w:highlight w:val="none"/>
                <w:lang w:eastAsia="zh-CN"/>
              </w:rPr>
            </w:pPr>
            <w:r>
              <w:rPr>
                <w:rFonts w:hint="eastAsia"/>
                <w:color w:val="auto"/>
                <w:highlight w:val="none"/>
                <w:lang w:eastAsia="zh-CN"/>
              </w:rPr>
              <w:t>氟化物</w:t>
            </w:r>
            <w:r>
              <w:rPr>
                <w:color w:val="auto"/>
                <w:highlight w:val="none"/>
              </w:rPr>
              <w:t>≤3</w:t>
            </w:r>
            <w:r>
              <w:rPr>
                <w:rFonts w:hint="eastAsia"/>
                <w:color w:val="auto"/>
                <w:highlight w:val="none"/>
                <w:lang w:val="en-US" w:eastAsia="zh-CN"/>
              </w:rPr>
              <w:t>.5</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eastAsiaTheme="minorEastAsia"/>
                <w:color w:val="auto"/>
                <w:szCs w:val="21"/>
                <w:highlight w:val="none"/>
                <w:lang w:eastAsia="zh-CN"/>
              </w:rPr>
            </w:pPr>
            <w:r>
              <w:rPr>
                <w:rFonts w:hint="eastAsia"/>
                <w:color w:val="auto"/>
                <w:highlight w:val="none"/>
                <w:lang w:eastAsia="zh-CN"/>
              </w:rPr>
              <w:t>氰化氢</w:t>
            </w:r>
            <w:r>
              <w:rPr>
                <w:color w:val="auto"/>
                <w:highlight w:val="none"/>
              </w:rPr>
              <w:t>≤</w:t>
            </w:r>
            <w:r>
              <w:rPr>
                <w:rFonts w:hint="eastAsia"/>
                <w:color w:val="auto"/>
                <w:highlight w:val="none"/>
                <w:lang w:val="en-US" w:eastAsia="zh-CN"/>
              </w:rPr>
              <w:t>0.25</w:t>
            </w:r>
            <w:r>
              <w:rPr>
                <w:color w:val="auto"/>
                <w:highlight w:val="none"/>
              </w:rPr>
              <w:t>mg/m</w:t>
            </w:r>
            <w:r>
              <w:rPr>
                <w:color w:val="auto"/>
                <w:highlight w:val="none"/>
                <w:vertAlign w:val="superscript"/>
              </w:rPr>
              <w:t>3</w:t>
            </w:r>
            <w:r>
              <w:rPr>
                <w:rFonts w:hint="eastAsia"/>
                <w:color w:val="auto"/>
                <w:highlight w:val="none"/>
                <w:lang w:eastAsia="zh-CN"/>
              </w:rPr>
              <w:t>；</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排气筒排放口</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lang w:val="pt-B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83" w:hRule="atLeast"/>
          <w:jc w:val="center"/>
        </w:trPr>
        <w:tc>
          <w:tcPr>
            <w:tcW w:w="713"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color w:val="auto"/>
                <w:szCs w:val="21"/>
                <w:highlight w:val="none"/>
                <w:lang w:bidi="he-IL"/>
              </w:rPr>
            </w:pPr>
          </w:p>
        </w:tc>
        <w:tc>
          <w:tcPr>
            <w:tcW w:w="48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无组织</w:t>
            </w:r>
          </w:p>
        </w:tc>
        <w:tc>
          <w:tcPr>
            <w:tcW w:w="1121"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hint="eastAsia" w:eastAsiaTheme="minorEastAsia"/>
                <w:color w:val="auto"/>
                <w:szCs w:val="21"/>
                <w:highlight w:val="none"/>
              </w:rPr>
            </w:pPr>
            <w:r>
              <w:rPr>
                <w:rFonts w:eastAsiaTheme="minorEastAsia"/>
                <w:color w:val="auto"/>
                <w:szCs w:val="21"/>
                <w:highlight w:val="none"/>
              </w:rPr>
              <w:t>硫酸雾、</w:t>
            </w:r>
            <w:r>
              <w:rPr>
                <w:rFonts w:hint="eastAsia" w:eastAsiaTheme="minorEastAsia"/>
                <w:color w:val="auto"/>
                <w:szCs w:val="21"/>
                <w:highlight w:val="none"/>
              </w:rPr>
              <w:t>氯化氢、氟化物、铬酸雾、氰化氢</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jc w:val="both"/>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硫酸雾：</w:t>
            </w:r>
            <w:r>
              <w:rPr>
                <w:color w:val="auto"/>
                <w:kern w:val="0"/>
                <w:szCs w:val="21"/>
                <w:highlight w:val="none"/>
                <w:lang w:bidi="ar"/>
              </w:rPr>
              <w:t xml:space="preserve">0.0000011 </w:t>
            </w:r>
            <w:r>
              <w:rPr>
                <w:rFonts w:hint="default" w:ascii="Times New Roman" w:hAnsi="Times New Roman" w:cs="Times New Roman" w:eastAsiaTheme="minorEastAsia"/>
                <w:color w:val="auto"/>
                <w:sz w:val="21"/>
                <w:szCs w:val="21"/>
                <w:highlight w:val="none"/>
              </w:rPr>
              <w:t>t/a；</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eastAsiaTheme="minorEastAsia"/>
                <w:color w:val="auto"/>
                <w:kern w:val="0"/>
                <w:sz w:val="21"/>
                <w:szCs w:val="21"/>
                <w:highlight w:val="none"/>
                <w:lang w:bidi="he-IL"/>
              </w:rPr>
            </w:pPr>
            <w:r>
              <w:rPr>
                <w:rFonts w:hint="default" w:ascii="Times New Roman" w:hAnsi="Times New Roman" w:cs="Times New Roman" w:eastAsiaTheme="minorEastAsia"/>
                <w:color w:val="auto"/>
                <w:kern w:val="0"/>
                <w:sz w:val="21"/>
                <w:szCs w:val="21"/>
                <w:highlight w:val="none"/>
                <w:lang w:bidi="he-IL"/>
              </w:rPr>
              <w:t>氯化氢：</w:t>
            </w:r>
            <w:r>
              <w:rPr>
                <w:color w:val="auto"/>
                <w:kern w:val="0"/>
                <w:szCs w:val="21"/>
                <w:highlight w:val="none"/>
                <w:lang w:bidi="ar"/>
              </w:rPr>
              <w:t xml:space="preserve">0.0028 </w:t>
            </w:r>
            <w:r>
              <w:rPr>
                <w:rFonts w:hint="default" w:ascii="Times New Roman" w:hAnsi="Times New Roman" w:cs="Times New Roman" w:eastAsiaTheme="minorEastAsia"/>
                <w:color w:val="auto"/>
                <w:sz w:val="21"/>
                <w:szCs w:val="21"/>
                <w:highlight w:val="none"/>
              </w:rPr>
              <w:t>t/a；</w:t>
            </w:r>
          </w:p>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bidi="he-IL"/>
              </w:rPr>
              <w:t>氟化物：</w:t>
            </w:r>
            <w:r>
              <w:rPr>
                <w:rFonts w:hint="default" w:ascii="Times New Roman" w:hAnsi="Times New Roman" w:eastAsia="宋体" w:cs="Times New Roman"/>
                <w:color w:val="auto"/>
                <w:kern w:val="0"/>
                <w:sz w:val="21"/>
                <w:szCs w:val="21"/>
                <w:highlight w:val="none"/>
                <w:lang w:val="en-US" w:eastAsia="zh-CN" w:bidi="ar"/>
              </w:rPr>
              <w:t xml:space="preserve">0.00091t/a； </w:t>
            </w:r>
          </w:p>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铬酸雾：0.000013t/a；</w:t>
            </w:r>
          </w:p>
          <w:p>
            <w:pPr>
              <w:pStyle w:val="63"/>
              <w:tabs>
                <w:tab w:val="right" w:pos="8502"/>
                <w:tab w:val="right" w:pos="8802"/>
              </w:tabs>
              <w:wordWrap w:val="0"/>
              <w:jc w:val="both"/>
              <w:rPr>
                <w:rFonts w:eastAsiaTheme="minorEastAsia"/>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氰化氢：0.000047t/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Cs w:val="21"/>
                <w:highlight w:val="none"/>
              </w:rPr>
              <w:t>；</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车间通风</w:t>
            </w:r>
          </w:p>
        </w:tc>
        <w:tc>
          <w:tcPr>
            <w:tcW w:w="226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jc w:val="both"/>
              <w:rPr>
                <w:rFonts w:eastAsiaTheme="minorEastAsia"/>
                <w:iCs/>
                <w:color w:val="auto"/>
                <w:szCs w:val="21"/>
                <w:highlight w:val="none"/>
              </w:rPr>
            </w:pPr>
            <w:r>
              <w:rPr>
                <w:rFonts w:eastAsiaTheme="minorEastAsia"/>
                <w:iCs/>
                <w:color w:val="auto"/>
                <w:szCs w:val="21"/>
                <w:highlight w:val="none"/>
              </w:rPr>
              <w:t>《大气污染物综合排放标准》（GB16297-1996）表2中二级标准限值</w:t>
            </w:r>
          </w:p>
        </w:tc>
        <w:tc>
          <w:tcPr>
            <w:tcW w:w="2123"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highlight w:val="none"/>
                <w:lang w:eastAsia="zh-CN"/>
              </w:rPr>
            </w:pPr>
            <w:r>
              <w:rPr>
                <w:color w:val="auto"/>
                <w:highlight w:val="none"/>
              </w:rPr>
              <w:t>硫酸雾≤</w:t>
            </w:r>
            <w:r>
              <w:rPr>
                <w:rFonts w:hint="eastAsia"/>
                <w:color w:val="auto"/>
                <w:highlight w:val="none"/>
                <w:lang w:val="en-US" w:eastAsia="zh-CN"/>
              </w:rPr>
              <w:t>1.2</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color w:val="auto"/>
                <w:highlight w:val="none"/>
                <w:lang w:eastAsia="zh-CN"/>
              </w:rPr>
            </w:pPr>
            <w:r>
              <w:rPr>
                <w:rFonts w:hint="eastAsia"/>
                <w:color w:val="auto"/>
                <w:highlight w:val="none"/>
                <w:lang w:eastAsia="zh-CN"/>
              </w:rPr>
              <w:t>铬酸</w:t>
            </w:r>
            <w:r>
              <w:rPr>
                <w:color w:val="auto"/>
                <w:highlight w:val="none"/>
              </w:rPr>
              <w:t>雾≤</w:t>
            </w:r>
            <w:r>
              <w:rPr>
                <w:rFonts w:hint="eastAsia"/>
                <w:color w:val="auto"/>
                <w:highlight w:val="none"/>
                <w:lang w:val="en-US" w:eastAsia="zh-CN"/>
              </w:rPr>
              <w:t>0.006</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color w:val="auto"/>
                <w:highlight w:val="none"/>
                <w:lang w:eastAsia="zh-CN"/>
              </w:rPr>
            </w:pPr>
            <w:r>
              <w:rPr>
                <w:rFonts w:hint="eastAsia"/>
                <w:color w:val="auto"/>
                <w:highlight w:val="none"/>
                <w:lang w:eastAsia="zh-CN"/>
              </w:rPr>
              <w:t>氯化氢</w:t>
            </w:r>
            <w:r>
              <w:rPr>
                <w:color w:val="auto"/>
                <w:highlight w:val="none"/>
              </w:rPr>
              <w:t>≤</w:t>
            </w:r>
            <w:r>
              <w:rPr>
                <w:rFonts w:hint="eastAsia"/>
                <w:color w:val="auto"/>
                <w:highlight w:val="none"/>
                <w:lang w:val="en-US" w:eastAsia="zh-CN"/>
              </w:rPr>
              <w:t>0.2</w:t>
            </w:r>
            <w:r>
              <w:rPr>
                <w:color w:val="auto"/>
                <w:highlight w:val="none"/>
              </w:rPr>
              <w:t>mg/m</w:t>
            </w:r>
            <w:r>
              <w:rPr>
                <w:color w:val="auto"/>
                <w:highlight w:val="none"/>
                <w:vertAlign w:val="superscript"/>
              </w:rPr>
              <w:t>3</w:t>
            </w:r>
            <w:r>
              <w:rPr>
                <w:rFonts w:hint="eastAsia"/>
                <w:color w:val="auto"/>
                <w:highlight w:val="none"/>
                <w:lang w:eastAsia="zh-CN"/>
              </w:rPr>
              <w:t>；</w:t>
            </w:r>
          </w:p>
          <w:p>
            <w:pPr>
              <w:jc w:val="center"/>
              <w:rPr>
                <w:rFonts w:hint="eastAsia"/>
                <w:color w:val="auto"/>
                <w:highlight w:val="none"/>
                <w:lang w:eastAsia="zh-CN"/>
              </w:rPr>
            </w:pPr>
            <w:r>
              <w:rPr>
                <w:rFonts w:hint="eastAsia"/>
                <w:color w:val="auto"/>
                <w:highlight w:val="none"/>
                <w:lang w:eastAsia="zh-CN"/>
              </w:rPr>
              <w:t>氟化物</w:t>
            </w:r>
            <w:r>
              <w:rPr>
                <w:color w:val="auto"/>
                <w:highlight w:val="none"/>
              </w:rPr>
              <w:t>≤</w:t>
            </w:r>
            <w:r>
              <w:rPr>
                <w:rFonts w:hint="eastAsia"/>
                <w:color w:val="auto"/>
                <w:highlight w:val="none"/>
                <w:lang w:val="en-US" w:eastAsia="zh-CN"/>
              </w:rPr>
              <w:t>0.02</w:t>
            </w:r>
            <w:r>
              <w:rPr>
                <w:color w:val="auto"/>
                <w:highlight w:val="none"/>
              </w:rPr>
              <w:t>mg/m</w:t>
            </w:r>
            <w:r>
              <w:rPr>
                <w:color w:val="auto"/>
                <w:highlight w:val="none"/>
                <w:vertAlign w:val="superscript"/>
              </w:rPr>
              <w:t>3</w:t>
            </w:r>
            <w:r>
              <w:rPr>
                <w:rFonts w:hint="eastAsia"/>
                <w:color w:val="auto"/>
                <w:highlight w:val="none"/>
                <w:lang w:eastAsia="zh-CN"/>
              </w:rPr>
              <w:t>；</w:t>
            </w:r>
          </w:p>
          <w:p>
            <w:pPr>
              <w:pStyle w:val="63"/>
              <w:tabs>
                <w:tab w:val="right" w:pos="8502"/>
                <w:tab w:val="right" w:pos="8802"/>
              </w:tabs>
              <w:wordWrap w:val="0"/>
              <w:rPr>
                <w:rFonts w:eastAsiaTheme="minorEastAsia"/>
                <w:color w:val="auto"/>
                <w:szCs w:val="21"/>
                <w:highlight w:val="none"/>
              </w:rPr>
            </w:pPr>
            <w:r>
              <w:rPr>
                <w:rFonts w:hint="eastAsia" w:ascii="Times New Roman" w:hAnsi="Times New Roman" w:eastAsia="宋体" w:cs="Times New Roman"/>
                <w:color w:val="auto"/>
                <w:kern w:val="2"/>
                <w:sz w:val="21"/>
                <w:szCs w:val="24"/>
                <w:highlight w:val="none"/>
                <w:lang w:val="en-US" w:eastAsia="zh-CN" w:bidi="ar-SA"/>
              </w:rPr>
              <w:t>氰化氢</w:t>
            </w:r>
            <w:r>
              <w:rPr>
                <w:color w:val="auto"/>
                <w:highlight w:val="none"/>
              </w:rPr>
              <w:t>≤</w:t>
            </w:r>
            <w:r>
              <w:rPr>
                <w:rFonts w:hint="eastAsia"/>
                <w:color w:val="auto"/>
                <w:highlight w:val="none"/>
                <w:lang w:val="en-US" w:eastAsia="zh-CN"/>
              </w:rPr>
              <w:t>0.024</w:t>
            </w:r>
            <w:r>
              <w:rPr>
                <w:color w:val="auto"/>
                <w:highlight w:val="none"/>
              </w:rPr>
              <w:t>mg/m</w:t>
            </w:r>
            <w:r>
              <w:rPr>
                <w:color w:val="auto"/>
                <w:highlight w:val="none"/>
                <w:vertAlign w:val="superscript"/>
              </w:rPr>
              <w:t>3</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厂界四周</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highlight w:val="none"/>
              </w:rPr>
            </w:pPr>
            <w:r>
              <w:rPr>
                <w:rFonts w:eastAsiaTheme="minorEastAsia"/>
                <w:color w:val="auto"/>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713" w:type="dxa"/>
            <w:tcBorders>
              <w:top w:val="single" w:color="auto" w:sz="4" w:space="0"/>
              <w:left w:val="nil"/>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噪声</w:t>
            </w:r>
          </w:p>
        </w:tc>
        <w:tc>
          <w:tcPr>
            <w:tcW w:w="1604"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设备噪声</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75~85dB（A）</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采取厂房隔声、基础减振等，合理布局厂区</w:t>
            </w:r>
          </w:p>
        </w:tc>
        <w:tc>
          <w:tcPr>
            <w:tcW w:w="4386"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 xml:space="preserve">厂界噪声执行GB12348-2008标准3类标准，昼间65dB（A），夜间55dB（A）； </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厂界四周</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58" w:hRule="atLeast"/>
          <w:jc w:val="center"/>
        </w:trPr>
        <w:tc>
          <w:tcPr>
            <w:tcW w:w="713" w:type="dxa"/>
            <w:vMerge w:val="restart"/>
            <w:tcBorders>
              <w:top w:val="single" w:color="auto" w:sz="4" w:space="0"/>
              <w:left w:val="nil"/>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固废</w:t>
            </w:r>
          </w:p>
        </w:tc>
        <w:tc>
          <w:tcPr>
            <w:tcW w:w="48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危险废物</w:t>
            </w:r>
          </w:p>
        </w:tc>
        <w:tc>
          <w:tcPr>
            <w:tcW w:w="1121"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废老化液、废过滤芯、</w:t>
            </w:r>
            <w:r>
              <w:rPr>
                <w:rFonts w:hint="eastAsia" w:eastAsiaTheme="minorEastAsia"/>
                <w:color w:val="auto"/>
                <w:szCs w:val="21"/>
              </w:rPr>
              <w:t>废化学包装袋</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废老化液0.</w:t>
            </w:r>
            <w:r>
              <w:rPr>
                <w:rFonts w:hint="eastAsia" w:eastAsiaTheme="minorEastAsia"/>
                <w:color w:val="auto"/>
                <w:szCs w:val="21"/>
                <w:lang w:val="en-US" w:eastAsia="zh-CN"/>
              </w:rPr>
              <w:t>628</w:t>
            </w:r>
            <w:r>
              <w:rPr>
                <w:rFonts w:eastAsiaTheme="minorEastAsia"/>
                <w:color w:val="auto"/>
                <w:szCs w:val="21"/>
              </w:rPr>
              <w:t>t/a</w:t>
            </w:r>
            <w:r>
              <w:rPr>
                <w:rFonts w:hint="eastAsia" w:eastAsiaTheme="minorEastAsia"/>
                <w:color w:val="auto"/>
                <w:szCs w:val="21"/>
                <w:lang w:eastAsia="zh-CN"/>
              </w:rPr>
              <w:t>、废槽渣</w:t>
            </w:r>
            <w:r>
              <w:rPr>
                <w:rFonts w:eastAsiaTheme="minorEastAsia"/>
                <w:color w:val="auto"/>
                <w:szCs w:val="21"/>
              </w:rPr>
              <w:t>0.</w:t>
            </w:r>
            <w:r>
              <w:rPr>
                <w:rFonts w:hint="eastAsia" w:eastAsiaTheme="minorEastAsia"/>
                <w:color w:val="auto"/>
                <w:szCs w:val="21"/>
                <w:lang w:val="en-US" w:eastAsia="zh-CN"/>
              </w:rPr>
              <w:t>269</w:t>
            </w:r>
            <w:r>
              <w:rPr>
                <w:rFonts w:eastAsiaTheme="minorEastAsia"/>
                <w:color w:val="auto"/>
                <w:szCs w:val="21"/>
              </w:rPr>
              <w:t>t/a</w:t>
            </w:r>
            <w:r>
              <w:rPr>
                <w:rFonts w:hint="eastAsia" w:eastAsiaTheme="minorEastAsia"/>
                <w:color w:val="auto"/>
                <w:szCs w:val="21"/>
                <w:lang w:eastAsia="zh-CN"/>
              </w:rPr>
              <w:t>、</w:t>
            </w:r>
          </w:p>
          <w:p>
            <w:pPr>
              <w:rPr>
                <w:rFonts w:eastAsiaTheme="minorEastAsia"/>
                <w:color w:val="auto"/>
                <w:szCs w:val="21"/>
                <w:lang w:bidi="he-IL"/>
              </w:rPr>
            </w:pPr>
            <w:r>
              <w:rPr>
                <w:rFonts w:eastAsiaTheme="minorEastAsia"/>
                <w:color w:val="auto"/>
                <w:szCs w:val="21"/>
                <w:lang w:bidi="he-IL"/>
              </w:rPr>
              <w:t>废过滤芯0.0</w:t>
            </w:r>
            <w:r>
              <w:rPr>
                <w:rFonts w:hint="eastAsia" w:eastAsiaTheme="minorEastAsia"/>
                <w:color w:val="auto"/>
                <w:szCs w:val="21"/>
                <w:lang w:val="en-US" w:eastAsia="zh-CN" w:bidi="he-IL"/>
              </w:rPr>
              <w:t>3</w:t>
            </w:r>
            <w:r>
              <w:rPr>
                <w:rFonts w:eastAsiaTheme="minorEastAsia"/>
                <w:color w:val="auto"/>
                <w:szCs w:val="21"/>
                <w:lang w:bidi="he-IL"/>
              </w:rPr>
              <w:t>8t/a</w:t>
            </w:r>
            <w:r>
              <w:rPr>
                <w:rFonts w:hint="eastAsia" w:eastAsiaTheme="minorEastAsia"/>
                <w:color w:val="auto"/>
                <w:szCs w:val="21"/>
                <w:lang w:eastAsia="zh-CN" w:bidi="he-IL"/>
              </w:rPr>
              <w:t>、</w:t>
            </w:r>
            <w:r>
              <w:rPr>
                <w:rFonts w:hint="eastAsia" w:eastAsiaTheme="minorEastAsia"/>
                <w:color w:val="auto"/>
                <w:szCs w:val="21"/>
                <w:lang w:eastAsia="zh-CN"/>
              </w:rPr>
              <w:t>过滤残渣</w:t>
            </w:r>
            <w:r>
              <w:rPr>
                <w:rFonts w:eastAsiaTheme="minorEastAsia"/>
                <w:color w:val="auto"/>
                <w:szCs w:val="21"/>
              </w:rPr>
              <w:t>0.</w:t>
            </w:r>
            <w:r>
              <w:rPr>
                <w:rFonts w:hint="eastAsia" w:eastAsiaTheme="minorEastAsia"/>
                <w:color w:val="auto"/>
                <w:szCs w:val="21"/>
                <w:lang w:val="en-US" w:eastAsia="zh-CN"/>
              </w:rPr>
              <w:t>01</w:t>
            </w:r>
            <w:r>
              <w:rPr>
                <w:rFonts w:eastAsiaTheme="minorEastAsia"/>
                <w:color w:val="auto"/>
                <w:szCs w:val="21"/>
              </w:rPr>
              <w:t>t/a</w:t>
            </w:r>
            <w:r>
              <w:rPr>
                <w:rFonts w:hint="eastAsia" w:eastAsiaTheme="minorEastAsia"/>
                <w:color w:val="auto"/>
                <w:szCs w:val="21"/>
                <w:lang w:eastAsia="zh-CN"/>
              </w:rPr>
              <w:t>、</w:t>
            </w:r>
            <w:r>
              <w:rPr>
                <w:rFonts w:eastAsiaTheme="minorEastAsia"/>
                <w:color w:val="auto"/>
                <w:szCs w:val="21"/>
                <w:lang w:bidi="he-IL"/>
              </w:rPr>
              <w:t>；</w:t>
            </w:r>
            <w:r>
              <w:rPr>
                <w:rFonts w:eastAsiaTheme="minorEastAsia"/>
                <w:color w:val="auto"/>
                <w:szCs w:val="21"/>
              </w:rPr>
              <w:t>废包装材料（废包装袋/瓶、破损废包装桶）0.18t/a</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依托集控中心建设入驻企业危废暂存间150m</w:t>
            </w:r>
            <w:r>
              <w:rPr>
                <w:rFonts w:eastAsiaTheme="minorEastAsia"/>
                <w:color w:val="auto"/>
                <w:szCs w:val="21"/>
                <w:vertAlign w:val="superscript"/>
              </w:rPr>
              <w:t>2</w:t>
            </w:r>
            <w:r>
              <w:rPr>
                <w:rFonts w:eastAsiaTheme="minorEastAsia"/>
                <w:color w:val="auto"/>
                <w:szCs w:val="21"/>
              </w:rPr>
              <w:t>，产生的危险废物依托集控中心统一管理，由集控中心负责委托有危废处置资质的单位接收处置。</w:t>
            </w:r>
          </w:p>
        </w:tc>
        <w:tc>
          <w:tcPr>
            <w:tcW w:w="438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措施落实</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已建</w:t>
            </w:r>
          </w:p>
          <w:p>
            <w:pPr>
              <w:pStyle w:val="63"/>
              <w:tabs>
                <w:tab w:val="right" w:pos="8502"/>
                <w:tab w:val="right" w:pos="8802"/>
              </w:tabs>
              <w:wordWrap w:val="0"/>
              <w:rPr>
                <w:rFonts w:eastAsiaTheme="minorEastAsia"/>
                <w:color w:val="auto"/>
                <w:szCs w:val="21"/>
              </w:rPr>
            </w:pPr>
            <w:r>
              <w:rPr>
                <w:rFonts w:eastAsiaTheme="minorEastAsia"/>
                <w:color w:val="auto"/>
                <w:sz w:val="18"/>
                <w:szCs w:val="18"/>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713" w:type="dxa"/>
            <w:vMerge w:val="continue"/>
            <w:tcBorders>
              <w:top w:val="single" w:color="auto" w:sz="4" w:space="0"/>
              <w:left w:val="nil"/>
              <w:bottom w:val="single" w:color="auto" w:sz="4" w:space="0"/>
              <w:right w:val="single" w:color="auto" w:sz="4" w:space="0"/>
            </w:tcBorders>
            <w:vAlign w:val="center"/>
          </w:tcPr>
          <w:p>
            <w:pPr>
              <w:widowControl/>
              <w:jc w:val="left"/>
              <w:rPr>
                <w:rFonts w:eastAsiaTheme="minorEastAsia"/>
                <w:color w:val="auto"/>
                <w:szCs w:val="21"/>
                <w:lang w:bidi="he-IL"/>
              </w:rPr>
            </w:pPr>
          </w:p>
        </w:tc>
        <w:tc>
          <w:tcPr>
            <w:tcW w:w="2670" w:type="dxa"/>
            <w:gridSpan w:val="3"/>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生活垃圾</w:t>
            </w:r>
          </w:p>
        </w:tc>
        <w:tc>
          <w:tcPr>
            <w:tcW w:w="1252"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6.0t/a</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委托环卫部门外运卫生填埋处置</w:t>
            </w:r>
          </w:p>
        </w:tc>
        <w:tc>
          <w:tcPr>
            <w:tcW w:w="438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Theme="minorEastAsia"/>
                <w:color w:val="auto"/>
                <w:szCs w:val="21"/>
                <w:lang w:bidi="he-IL"/>
              </w:rPr>
            </w:pP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jc w:val="center"/>
        </w:trPr>
        <w:tc>
          <w:tcPr>
            <w:tcW w:w="713" w:type="dxa"/>
            <w:tcBorders>
              <w:top w:val="single" w:color="auto" w:sz="4" w:space="0"/>
              <w:left w:val="nil"/>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地下水</w:t>
            </w:r>
          </w:p>
        </w:tc>
        <w:tc>
          <w:tcPr>
            <w:tcW w:w="2670" w:type="dxa"/>
            <w:gridSpan w:val="3"/>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重点防渗区</w:t>
            </w:r>
          </w:p>
        </w:tc>
        <w:tc>
          <w:tcPr>
            <w:tcW w:w="1252"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车间按重点防渗区要求进行防渗；</w:t>
            </w:r>
          </w:p>
        </w:tc>
        <w:tc>
          <w:tcPr>
            <w:tcW w:w="4386"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措施落实</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jc w:val="center"/>
        </w:trPr>
        <w:tc>
          <w:tcPr>
            <w:tcW w:w="713" w:type="dxa"/>
            <w:tcBorders>
              <w:top w:val="single" w:color="auto" w:sz="4" w:space="0"/>
              <w:left w:val="nil"/>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风险</w:t>
            </w:r>
          </w:p>
        </w:tc>
        <w:tc>
          <w:tcPr>
            <w:tcW w:w="2670" w:type="dxa"/>
            <w:gridSpan w:val="3"/>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风险防范措施</w:t>
            </w:r>
          </w:p>
        </w:tc>
        <w:tc>
          <w:tcPr>
            <w:tcW w:w="1252"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szCs w:val="21"/>
              </w:rPr>
            </w:pPr>
            <w:r>
              <w:rPr>
                <w:rFonts w:eastAsiaTheme="minorEastAsia"/>
                <w:color w:val="auto"/>
                <w:szCs w:val="21"/>
              </w:rPr>
              <w:t>/</w:t>
            </w:r>
          </w:p>
        </w:tc>
        <w:tc>
          <w:tcPr>
            <w:tcW w:w="3137"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jc w:val="both"/>
              <w:rPr>
                <w:rFonts w:eastAsiaTheme="minorEastAsia"/>
                <w:color w:val="auto"/>
                <w:szCs w:val="21"/>
              </w:rPr>
            </w:pPr>
            <w:r>
              <w:rPr>
                <w:rFonts w:eastAsiaTheme="minorEastAsia"/>
                <w:color w:val="auto"/>
                <w:szCs w:val="21"/>
              </w:rPr>
              <w:t>生产及输配的所有设备和管道应经常检查，严防跑、冒、滴、漏；</w:t>
            </w:r>
          </w:p>
          <w:p>
            <w:pPr>
              <w:pStyle w:val="63"/>
              <w:tabs>
                <w:tab w:val="right" w:pos="8502"/>
                <w:tab w:val="right" w:pos="8802"/>
              </w:tabs>
              <w:jc w:val="both"/>
              <w:rPr>
                <w:rFonts w:hint="eastAsia" w:eastAsiaTheme="minorEastAsia"/>
                <w:color w:val="auto"/>
                <w:szCs w:val="21"/>
              </w:rPr>
            </w:pPr>
            <w:r>
              <w:rPr>
                <w:rFonts w:eastAsiaTheme="minorEastAsia"/>
                <w:color w:val="auto"/>
                <w:szCs w:val="21"/>
              </w:rPr>
              <w:t>对车间设置防渗措施</w:t>
            </w:r>
            <w:r>
              <w:rPr>
                <w:rFonts w:hint="eastAsia" w:eastAsiaTheme="minorEastAsia"/>
                <w:color w:val="auto"/>
                <w:szCs w:val="21"/>
              </w:rPr>
              <w:t>；</w:t>
            </w:r>
          </w:p>
          <w:p>
            <w:pPr>
              <w:pStyle w:val="63"/>
              <w:tabs>
                <w:tab w:val="right" w:pos="8502"/>
                <w:tab w:val="right" w:pos="8802"/>
              </w:tabs>
              <w:jc w:val="both"/>
              <w:rPr>
                <w:rFonts w:hint="eastAsia" w:eastAsiaTheme="minorEastAsia"/>
                <w:color w:val="auto"/>
                <w:szCs w:val="21"/>
              </w:rPr>
            </w:pPr>
            <w:r>
              <w:rPr>
                <w:rFonts w:hint="eastAsia" w:eastAsiaTheme="minorEastAsia"/>
                <w:color w:val="auto"/>
                <w:szCs w:val="21"/>
              </w:rPr>
              <w:t>设各股废水事故应急池；</w:t>
            </w:r>
          </w:p>
          <w:p>
            <w:pPr>
              <w:pStyle w:val="63"/>
              <w:tabs>
                <w:tab w:val="right" w:pos="8502"/>
                <w:tab w:val="right" w:pos="8802"/>
              </w:tabs>
              <w:jc w:val="both"/>
              <w:rPr>
                <w:rFonts w:eastAsiaTheme="minorEastAsia"/>
                <w:color w:val="auto"/>
                <w:szCs w:val="21"/>
              </w:rPr>
            </w:pPr>
            <w:r>
              <w:rPr>
                <w:rFonts w:eastAsiaTheme="minorEastAsia"/>
                <w:color w:val="auto"/>
                <w:szCs w:val="21"/>
              </w:rPr>
              <w:t>危险化学品暂存区设置围堰。</w:t>
            </w:r>
          </w:p>
        </w:tc>
        <w:tc>
          <w:tcPr>
            <w:tcW w:w="4386" w:type="dxa"/>
            <w:gridSpan w:val="2"/>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落实设施及应急预案</w:t>
            </w:r>
          </w:p>
        </w:tc>
        <w:tc>
          <w:tcPr>
            <w:tcW w:w="1138"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w:t>
            </w:r>
          </w:p>
        </w:tc>
        <w:tc>
          <w:tcPr>
            <w:tcW w:w="924"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jc w:val="center"/>
        </w:trPr>
        <w:tc>
          <w:tcPr>
            <w:tcW w:w="713" w:type="dxa"/>
            <w:tcBorders>
              <w:top w:val="single" w:color="auto" w:sz="4" w:space="0"/>
              <w:left w:val="nil"/>
              <w:bottom w:val="single" w:color="auto" w:sz="12"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环境管理</w:t>
            </w:r>
          </w:p>
        </w:tc>
        <w:tc>
          <w:tcPr>
            <w:tcW w:w="2670" w:type="dxa"/>
            <w:gridSpan w:val="3"/>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rPr>
                <w:rFonts w:eastAsiaTheme="minorEastAsia"/>
                <w:color w:val="auto"/>
                <w:szCs w:val="21"/>
              </w:rPr>
            </w:pPr>
            <w:r>
              <w:rPr>
                <w:rFonts w:eastAsiaTheme="minorEastAsia"/>
                <w:color w:val="auto"/>
                <w:szCs w:val="21"/>
              </w:rPr>
              <w:t>环境管理措施</w:t>
            </w:r>
          </w:p>
        </w:tc>
        <w:tc>
          <w:tcPr>
            <w:tcW w:w="1252" w:type="dxa"/>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rPr>
                <w:rFonts w:eastAsiaTheme="minorEastAsia"/>
                <w:color w:val="auto"/>
                <w:szCs w:val="21"/>
              </w:rPr>
            </w:pPr>
            <w:r>
              <w:rPr>
                <w:rFonts w:eastAsiaTheme="minorEastAsia"/>
                <w:color w:val="auto"/>
                <w:szCs w:val="21"/>
              </w:rPr>
              <w:t>/</w:t>
            </w:r>
          </w:p>
        </w:tc>
        <w:tc>
          <w:tcPr>
            <w:tcW w:w="3137" w:type="dxa"/>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jc w:val="both"/>
              <w:rPr>
                <w:rFonts w:eastAsiaTheme="minorEastAsia"/>
                <w:color w:val="auto"/>
                <w:szCs w:val="21"/>
              </w:rPr>
            </w:pPr>
            <w:r>
              <w:rPr>
                <w:rFonts w:eastAsiaTheme="minorEastAsia"/>
                <w:color w:val="auto"/>
                <w:szCs w:val="21"/>
              </w:rPr>
              <w:t>配备环保人员，负责全厂的环境管理工作，建立有效的环境管理制度，日常生产中落实监测计划</w:t>
            </w:r>
          </w:p>
        </w:tc>
        <w:tc>
          <w:tcPr>
            <w:tcW w:w="4386" w:type="dxa"/>
            <w:gridSpan w:val="2"/>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检查落实情况</w:t>
            </w:r>
          </w:p>
        </w:tc>
        <w:tc>
          <w:tcPr>
            <w:tcW w:w="1138" w:type="dxa"/>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w:t>
            </w:r>
          </w:p>
        </w:tc>
        <w:tc>
          <w:tcPr>
            <w:tcW w:w="924" w:type="dxa"/>
            <w:tcBorders>
              <w:top w:val="single" w:color="auto" w:sz="4" w:space="0"/>
              <w:left w:val="single" w:color="auto" w:sz="4" w:space="0"/>
              <w:bottom w:val="single" w:color="auto" w:sz="12" w:space="0"/>
              <w:right w:val="nil"/>
            </w:tcBorders>
            <w:vAlign w:val="center"/>
          </w:tcPr>
          <w:p>
            <w:pPr>
              <w:pStyle w:val="63"/>
              <w:tabs>
                <w:tab w:val="right" w:pos="8502"/>
                <w:tab w:val="right" w:pos="8802"/>
              </w:tabs>
              <w:wordWrap w:val="0"/>
              <w:rPr>
                <w:rFonts w:eastAsiaTheme="minorEastAsia"/>
                <w:color w:val="auto"/>
                <w:szCs w:val="21"/>
              </w:rPr>
            </w:pPr>
            <w:r>
              <w:rPr>
                <w:rFonts w:eastAsiaTheme="minorEastAsia"/>
                <w:color w:val="auto"/>
                <w:szCs w:val="21"/>
              </w:rPr>
              <w:t>新建</w:t>
            </w:r>
          </w:p>
        </w:tc>
      </w:tr>
    </w:tbl>
    <w:p>
      <w:pPr>
        <w:widowControl/>
        <w:spacing w:line="360" w:lineRule="auto"/>
        <w:jc w:val="left"/>
        <w:rPr>
          <w:b/>
          <w:color w:val="auto"/>
          <w:kern w:val="0"/>
          <w:sz w:val="24"/>
          <w:szCs w:val="32"/>
          <w:highlight w:val="yellow"/>
        </w:rPr>
        <w:sectPr>
          <w:pgSz w:w="16838" w:h="11906" w:orient="landscape"/>
          <w:pgMar w:top="935" w:right="1418" w:bottom="936" w:left="1418" w:header="992" w:footer="992" w:gutter="0"/>
          <w:pgBorders>
            <w:top w:val="none" w:sz="0" w:space="0"/>
            <w:left w:val="none" w:sz="0" w:space="0"/>
            <w:bottom w:val="none" w:sz="0" w:space="0"/>
            <w:right w:val="none" w:sz="0" w:space="0"/>
          </w:pgBorders>
          <w:cols w:space="720" w:num="1"/>
        </w:sectPr>
      </w:pPr>
    </w:p>
    <w:p>
      <w:pPr>
        <w:pStyle w:val="37"/>
        <w:snapToGrid w:val="0"/>
        <w:spacing w:before="156" w:beforeLines="50" w:line="360" w:lineRule="auto"/>
        <w:rPr>
          <w:rFonts w:ascii="Times New Roman" w:hAnsi="Times New Roman"/>
          <w:color w:val="auto"/>
        </w:rPr>
      </w:pPr>
      <w:r>
        <w:rPr>
          <w:rFonts w:hint="eastAsia" w:ascii="Times New Roman" w:hAnsi="Times New Roman"/>
          <w:color w:val="auto"/>
        </w:rPr>
        <w:t>13.8总结论</w:t>
      </w:r>
    </w:p>
    <w:p>
      <w:pPr>
        <w:autoSpaceDE w:val="0"/>
        <w:autoSpaceDN w:val="0"/>
        <w:adjustRightInd w:val="0"/>
        <w:snapToGrid w:val="0"/>
        <w:spacing w:line="360" w:lineRule="auto"/>
        <w:ind w:firstLine="480" w:firstLineChars="200"/>
        <w:rPr>
          <w:rFonts w:hint="eastAsia" w:hAnsi="宋体" w:eastAsia="宋体"/>
          <w:color w:val="auto"/>
          <w:kern w:val="0"/>
          <w:sz w:val="24"/>
          <w:lang w:eastAsia="zh-CN"/>
        </w:rPr>
      </w:pPr>
      <w:r>
        <w:rPr>
          <w:rFonts w:hint="eastAsia"/>
          <w:color w:val="auto"/>
          <w:sz w:val="24"/>
        </w:rPr>
        <w:t>综上所述，</w:t>
      </w:r>
      <w:r>
        <w:rPr>
          <w:rFonts w:hint="eastAsia" w:hAnsi="宋体"/>
          <w:color w:val="auto"/>
          <w:kern w:val="0"/>
          <w:sz w:val="24"/>
        </w:rPr>
        <w:t>福鼎市质达金属表面处理有限公司</w:t>
      </w:r>
      <w:r>
        <w:rPr>
          <w:rFonts w:hint="eastAsia" w:hAnsi="宋体"/>
          <w:color w:val="auto"/>
          <w:kern w:val="0"/>
          <w:sz w:val="24"/>
          <w:lang w:eastAsia="zh-CN"/>
        </w:rPr>
        <w:t>各类金属元件表面处理项目</w:t>
      </w:r>
    </w:p>
    <w:p>
      <w:pPr>
        <w:spacing w:line="360" w:lineRule="auto"/>
        <w:rPr>
          <w:rFonts w:hAnsi="宋体"/>
          <w:color w:val="auto"/>
          <w:sz w:val="24"/>
        </w:rPr>
      </w:pPr>
      <w:r>
        <w:rPr>
          <w:rFonts w:hint="eastAsia" w:hAnsi="宋体"/>
          <w:color w:val="auto"/>
          <w:sz w:val="24"/>
        </w:rPr>
        <w:t>建设符合国家产业政策，所在地环境质量现状达标，建设过程符合清洁生产要求，清洁生产水平达到国内先进水平，项目拟采取的环保措施切实可行，</w:t>
      </w:r>
      <w:r>
        <w:rPr>
          <w:rFonts w:hint="eastAsia" w:hAnsi="宋体"/>
          <w:bCs/>
          <w:color w:val="auto"/>
          <w:sz w:val="24"/>
        </w:rPr>
        <w:t>在建设期和运营期产生的污染物在按本报告所提出的环保措施进行治理、确保污染物达标排放</w:t>
      </w:r>
      <w:r>
        <w:rPr>
          <w:rFonts w:hint="eastAsia" w:hAnsi="宋体"/>
          <w:color w:val="auto"/>
          <w:sz w:val="24"/>
        </w:rPr>
        <w:t>。项目</w:t>
      </w:r>
      <w:r>
        <w:rPr>
          <w:rFonts w:hint="eastAsia" w:hAnsi="宋体"/>
          <w:bCs/>
          <w:color w:val="auto"/>
          <w:sz w:val="24"/>
        </w:rPr>
        <w:t>严格执行</w:t>
      </w:r>
      <w:r>
        <w:rPr>
          <w:rFonts w:hint="eastAsia"/>
          <w:bCs/>
          <w:color w:val="auto"/>
          <w:sz w:val="24"/>
        </w:rPr>
        <w:t>“</w:t>
      </w:r>
      <w:r>
        <w:rPr>
          <w:rFonts w:hint="eastAsia" w:hAnsi="宋体"/>
          <w:bCs/>
          <w:color w:val="auto"/>
          <w:sz w:val="24"/>
        </w:rPr>
        <w:t>三同时</w:t>
      </w:r>
      <w:r>
        <w:rPr>
          <w:rFonts w:hint="eastAsia"/>
          <w:bCs/>
          <w:color w:val="auto"/>
          <w:sz w:val="24"/>
        </w:rPr>
        <w:t>”</w:t>
      </w:r>
      <w:r>
        <w:rPr>
          <w:rFonts w:hint="eastAsia" w:hAnsi="宋体"/>
          <w:bCs/>
          <w:color w:val="auto"/>
          <w:sz w:val="24"/>
        </w:rPr>
        <w:t>制度，项目对周围环境不会产生大的影响，</w:t>
      </w:r>
      <w:r>
        <w:rPr>
          <w:rFonts w:hint="eastAsia" w:hAnsi="宋体"/>
          <w:color w:val="auto"/>
          <w:sz w:val="24"/>
        </w:rPr>
        <w:t>基本可以满足区域环境功能要求。</w:t>
      </w:r>
    </w:p>
    <w:p>
      <w:pPr>
        <w:spacing w:line="360" w:lineRule="auto"/>
        <w:ind w:firstLine="480" w:firstLineChars="200"/>
        <w:rPr>
          <w:rFonts w:hAnsi="宋体"/>
          <w:color w:val="auto"/>
          <w:sz w:val="24"/>
        </w:rPr>
      </w:pPr>
      <w:r>
        <w:rPr>
          <w:rFonts w:hint="eastAsia" w:hAnsi="宋体"/>
          <w:color w:val="auto"/>
          <w:sz w:val="24"/>
        </w:rPr>
        <w:t>因此，本评价认为，在建设单位严格落实本报告表提出的各项环保措施，生产过程加强环境管理，节能降耗，提高资源的综合利用率，确保污染防治设施稳定运行和污染物达标排放前提下，从环保的角度分析，该项目建设是可行的。</w:t>
      </w:r>
    </w:p>
    <w:p>
      <w:pPr>
        <w:snapToGrid w:val="0"/>
        <w:spacing w:line="360" w:lineRule="auto"/>
        <w:ind w:firstLine="472" w:firstLineChars="196"/>
        <w:rPr>
          <w:b/>
          <w:color w:val="auto"/>
          <w:sz w:val="24"/>
        </w:rPr>
      </w:pPr>
    </w:p>
    <w:p>
      <w:pPr>
        <w:snapToGrid w:val="0"/>
        <w:spacing w:line="360" w:lineRule="auto"/>
        <w:ind w:firstLine="472" w:firstLineChars="196"/>
        <w:rPr>
          <w:b/>
          <w:color w:val="auto"/>
          <w:sz w:val="24"/>
        </w:rPr>
      </w:pPr>
    </w:p>
    <w:p>
      <w:pPr>
        <w:snapToGrid w:val="0"/>
        <w:spacing w:line="360" w:lineRule="auto"/>
        <w:ind w:firstLine="6375" w:firstLineChars="2646"/>
        <w:rPr>
          <w:b/>
          <w:color w:val="auto"/>
          <w:sz w:val="24"/>
        </w:rPr>
      </w:pPr>
      <w:r>
        <w:rPr>
          <w:rFonts w:hint="eastAsia"/>
          <w:b/>
          <w:color w:val="auto"/>
          <w:sz w:val="24"/>
        </w:rPr>
        <w:t>福建省环境保护股份公司</w:t>
      </w:r>
    </w:p>
    <w:p>
      <w:pPr>
        <w:pStyle w:val="49"/>
        <w:adjustRightInd/>
        <w:ind w:firstLine="482" w:firstLineChars="200"/>
        <w:rPr>
          <w:rFonts w:eastAsia="宋体"/>
          <w:b/>
          <w:color w:val="auto"/>
          <w:sz w:val="24"/>
        </w:rPr>
      </w:pPr>
      <w:r>
        <w:rPr>
          <w:rFonts w:eastAsia="宋体"/>
          <w:b/>
          <w:color w:val="auto"/>
          <w:sz w:val="24"/>
        </w:rPr>
        <w:t xml:space="preserve">                                                      </w:t>
      </w:r>
      <w:r>
        <w:rPr>
          <w:rFonts w:hint="eastAsia" w:eastAsia="宋体"/>
          <w:b/>
          <w:color w:val="auto"/>
          <w:sz w:val="24"/>
        </w:rPr>
        <w:t>2019年</w:t>
      </w:r>
      <w:r>
        <w:rPr>
          <w:rFonts w:hint="eastAsia" w:eastAsia="宋体"/>
          <w:b/>
          <w:color w:val="auto"/>
          <w:sz w:val="24"/>
          <w:lang w:val="en-US" w:eastAsia="zh-CN"/>
        </w:rPr>
        <w:t>6</w:t>
      </w:r>
      <w:r>
        <w:rPr>
          <w:rFonts w:hint="eastAsia" w:eastAsia="宋体"/>
          <w:b/>
          <w:color w:val="auto"/>
          <w:sz w:val="24"/>
        </w:rPr>
        <w:t>月</w:t>
      </w:r>
      <w:r>
        <w:rPr>
          <w:rFonts w:hint="eastAsia" w:eastAsia="宋体"/>
          <w:b/>
          <w:color w:val="auto"/>
          <w:sz w:val="24"/>
          <w:lang w:val="en-US" w:eastAsia="zh-CN"/>
        </w:rPr>
        <w:t>12</w:t>
      </w:r>
      <w:r>
        <w:rPr>
          <w:rFonts w:hint="eastAsia" w:eastAsia="宋体"/>
          <w:b/>
          <w:color w:val="auto"/>
          <w:sz w:val="24"/>
        </w:rPr>
        <w:t>日</w:t>
      </w:r>
    </w:p>
    <w:p>
      <w:pPr>
        <w:pStyle w:val="49"/>
        <w:adjustRightInd/>
        <w:ind w:firstLine="482" w:firstLineChars="200"/>
        <w:rPr>
          <w:rFonts w:eastAsia="宋体"/>
          <w:b/>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
        <w:numPr>
          <w:ilvl w:val="0"/>
          <w:numId w:val="0"/>
        </w:numPr>
        <w:spacing w:before="156"/>
        <w:jc w:val="center"/>
        <w:rPr>
          <w:color w:val="auto"/>
        </w:rPr>
      </w:pPr>
      <w:r>
        <w:rPr>
          <w:rFonts w:hint="eastAsia"/>
          <w:color w:val="auto"/>
        </w:rPr>
        <w:t>附录：大气环境影响专题评价</w:t>
      </w:r>
    </w:p>
    <w:p>
      <w:pPr>
        <w:pStyle w:val="31"/>
        <w:rPr>
          <w:color w:val="auto"/>
        </w:rPr>
      </w:pPr>
      <w:r>
        <w:rPr>
          <w:rFonts w:hint="eastAsia"/>
          <w:color w:val="auto"/>
        </w:rPr>
        <w:t>1、前言</w:t>
      </w:r>
    </w:p>
    <w:p>
      <w:pPr>
        <w:pStyle w:val="5"/>
        <w:numPr>
          <w:ilvl w:val="1"/>
          <w:numId w:val="0"/>
        </w:numPr>
        <w:spacing w:before="156"/>
        <w:rPr>
          <w:bCs w:val="0"/>
          <w:color w:val="auto"/>
          <w:sz w:val="28"/>
          <w:szCs w:val="28"/>
        </w:rPr>
      </w:pPr>
      <w:r>
        <w:rPr>
          <w:rFonts w:hint="eastAsia"/>
          <w:bCs w:val="0"/>
          <w:color w:val="auto"/>
          <w:sz w:val="28"/>
          <w:szCs w:val="28"/>
        </w:rPr>
        <w:t>1.1项目概况</w:t>
      </w:r>
    </w:p>
    <w:p>
      <w:pPr>
        <w:adjustRightInd w:val="0"/>
        <w:snapToGrid w:val="0"/>
        <w:spacing w:line="360" w:lineRule="auto"/>
        <w:ind w:firstLine="480" w:firstLineChars="200"/>
        <w:rPr>
          <w:color w:val="auto"/>
          <w:sz w:val="24"/>
          <w:highlight w:val="yellow"/>
        </w:rPr>
      </w:pPr>
      <w:r>
        <w:rPr>
          <w:rFonts w:hint="eastAsia"/>
          <w:color w:val="auto"/>
          <w:sz w:val="24"/>
        </w:rPr>
        <w:t>福鼎市质达金属表面处理有限公司现有工程位于福鼎市文渡金属表面处理集控中心（福建省众鑫金属表面处理有限公司）1#楼一层3号车间，租用集控中心厂房面积335平方米，建设有龙门挂锌合金钝化（铝合金氧化）共用生产线，半自动镀铜、镍生产线和手动锌合金钝化线，年加工400吨化油器表面处理。项目于2014年11月通过福鼎市经贸局备案（闽经备[2014]J03099号），《福鼎市质达金属表面处理有限公司各类金属元件表面处理项目环境影响报告表》于2015年11月17日通过福鼎市环境保护局审批（鼎环审[2015]099号），2017年12月21日通过福鼎市环保局验收（鼎环保站验（2017）第12号）。现由于生产需要，拟将厂址由福鼎市文渡金属表面处理集控中心1#楼一层3号车间搬至福鼎市文渡金属表面处理集控中心2#楼一层1号车间，厂房面积932平方米，原有生产线设备（龙门挂锌合金钝化（铝合金氧化）共用生产线，半自动镀铜、镍生产线，手动锌合金钝化线）均搬至新</w:t>
      </w:r>
      <w:r>
        <w:rPr>
          <w:rFonts w:hint="eastAsia"/>
          <w:color w:val="auto"/>
          <w:sz w:val="24"/>
          <w:lang w:eastAsia="zh-CN"/>
        </w:rPr>
        <w:t>车间</w:t>
      </w:r>
      <w:r>
        <w:rPr>
          <w:rFonts w:hint="eastAsia"/>
          <w:color w:val="auto"/>
          <w:sz w:val="24"/>
        </w:rPr>
        <w:t>，同时新建1条龙门挂铝合金氧化生产线，原有龙门挂锌合金钝化（铝合金氧化）共用线仅用于锌合金钝化。</w:t>
      </w:r>
    </w:p>
    <w:p>
      <w:pPr>
        <w:pStyle w:val="42"/>
        <w:rPr>
          <w:color w:val="auto"/>
          <w:lang w:eastAsia="zh-CN"/>
        </w:rPr>
      </w:pPr>
      <w:r>
        <w:rPr>
          <w:rFonts w:hint="eastAsia"/>
          <w:color w:val="auto"/>
          <w:lang w:eastAsia="zh-CN"/>
        </w:rPr>
        <w:t>根据《中华人民共和国环境影响评价法》、《建设项目环境保护管理条例》和国家环境保护有关法律、法规的要求，以及宁德市环保局所出具的《宁德市环保局关于福鼎市文渡金属表面处理集控中心入驻企业简化环境影响评价形式的复函》，该项目需编制环境影响报告表</w:t>
      </w:r>
      <w:r>
        <w:rPr>
          <w:color w:val="auto"/>
          <w:lang w:eastAsia="zh-CN"/>
        </w:rPr>
        <w:t>。</w:t>
      </w:r>
      <w:r>
        <w:rPr>
          <w:rFonts w:hint="eastAsia"/>
          <w:color w:val="auto"/>
          <w:lang w:eastAsia="zh-CN"/>
        </w:rPr>
        <w:t>由于本项目钝化、氧化产生的污染物对大气环境的影响较大，因此设置本大气环境影响专题评价专章</w:t>
      </w:r>
      <w:r>
        <w:rPr>
          <w:color w:val="auto"/>
          <w:lang w:eastAsia="zh-CN"/>
        </w:rPr>
        <w:t>。</w:t>
      </w:r>
    </w:p>
    <w:p>
      <w:pPr>
        <w:pStyle w:val="5"/>
        <w:numPr>
          <w:ilvl w:val="1"/>
          <w:numId w:val="0"/>
        </w:numPr>
        <w:spacing w:before="156"/>
        <w:rPr>
          <w:bCs w:val="0"/>
          <w:color w:val="auto"/>
          <w:sz w:val="28"/>
          <w:szCs w:val="28"/>
        </w:rPr>
      </w:pPr>
      <w:r>
        <w:rPr>
          <w:rFonts w:hint="eastAsia"/>
          <w:bCs w:val="0"/>
          <w:color w:val="auto"/>
          <w:sz w:val="28"/>
          <w:szCs w:val="28"/>
        </w:rPr>
        <w:t>1.2编制依据</w:t>
      </w:r>
    </w:p>
    <w:p>
      <w:pPr>
        <w:adjustRightInd w:val="0"/>
        <w:snapToGrid w:val="0"/>
        <w:spacing w:line="360" w:lineRule="auto"/>
        <w:outlineLvl w:val="2"/>
        <w:rPr>
          <w:b/>
          <w:color w:val="auto"/>
          <w:sz w:val="24"/>
        </w:rPr>
      </w:pPr>
      <w:bookmarkStart w:id="49" w:name="_Toc3482"/>
      <w:r>
        <w:rPr>
          <w:rFonts w:hint="eastAsia"/>
          <w:b/>
          <w:color w:val="auto"/>
          <w:sz w:val="24"/>
        </w:rPr>
        <w:t>1.2.1</w:t>
      </w:r>
      <w:r>
        <w:rPr>
          <w:b/>
          <w:color w:val="auto"/>
          <w:sz w:val="24"/>
        </w:rPr>
        <w:t>国家环保法律</w:t>
      </w:r>
      <w:bookmarkEnd w:id="49"/>
    </w:p>
    <w:p>
      <w:pPr>
        <w:pStyle w:val="42"/>
        <w:rPr>
          <w:color w:val="auto"/>
          <w:lang w:eastAsia="zh-CN"/>
        </w:rPr>
      </w:pPr>
      <w:r>
        <w:rPr>
          <w:color w:val="auto"/>
          <w:lang w:eastAsia="zh-CN"/>
        </w:rPr>
        <w:t>(1)《中华人民共和国环境保护法》（</w:t>
      </w:r>
      <w:r>
        <w:rPr>
          <w:rFonts w:hint="eastAsia"/>
          <w:color w:val="auto"/>
          <w:lang w:eastAsia="zh-CN"/>
        </w:rPr>
        <w:t>2015年1月1日起实施</w:t>
      </w:r>
      <w:r>
        <w:rPr>
          <w:color w:val="auto"/>
          <w:lang w:eastAsia="zh-CN"/>
        </w:rPr>
        <w:t>）；</w:t>
      </w:r>
    </w:p>
    <w:p>
      <w:pPr>
        <w:pStyle w:val="42"/>
        <w:rPr>
          <w:color w:val="auto"/>
          <w:lang w:eastAsia="zh-CN"/>
        </w:rPr>
      </w:pPr>
      <w:r>
        <w:rPr>
          <w:color w:val="auto"/>
          <w:lang w:eastAsia="zh-CN"/>
        </w:rPr>
        <w:t>(2)《中华人民共和国环境影响评价法》（</w:t>
      </w:r>
      <w:r>
        <w:rPr>
          <w:rFonts w:hint="eastAsia"/>
          <w:color w:val="auto"/>
          <w:lang w:eastAsia="zh-CN"/>
        </w:rPr>
        <w:t>2018年12月29日起实施</w:t>
      </w:r>
      <w:r>
        <w:rPr>
          <w:color w:val="auto"/>
          <w:lang w:eastAsia="zh-CN"/>
        </w:rPr>
        <w:t>）；</w:t>
      </w:r>
    </w:p>
    <w:p>
      <w:pPr>
        <w:pStyle w:val="42"/>
        <w:rPr>
          <w:color w:val="auto"/>
          <w:lang w:eastAsia="zh-CN"/>
        </w:rPr>
      </w:pPr>
      <w:r>
        <w:rPr>
          <w:color w:val="auto"/>
          <w:lang w:eastAsia="zh-CN"/>
        </w:rPr>
        <w:t>(</w:t>
      </w:r>
      <w:r>
        <w:rPr>
          <w:rFonts w:hint="eastAsia"/>
          <w:color w:val="auto"/>
          <w:lang w:eastAsia="zh-CN"/>
        </w:rPr>
        <w:t>3</w:t>
      </w:r>
      <w:r>
        <w:rPr>
          <w:color w:val="auto"/>
          <w:lang w:eastAsia="zh-CN"/>
        </w:rPr>
        <w:t>)《中华人民共和国大气污染防治法》（</w:t>
      </w:r>
      <w:r>
        <w:rPr>
          <w:rFonts w:hint="eastAsia"/>
          <w:color w:val="auto"/>
          <w:lang w:eastAsia="zh-CN"/>
        </w:rPr>
        <w:t>2018年10月26日起实施</w:t>
      </w:r>
      <w:r>
        <w:rPr>
          <w:color w:val="auto"/>
          <w:lang w:eastAsia="zh-CN"/>
        </w:rPr>
        <w:t>）；</w:t>
      </w:r>
    </w:p>
    <w:p>
      <w:pPr>
        <w:adjustRightInd w:val="0"/>
        <w:snapToGrid w:val="0"/>
        <w:spacing w:line="360" w:lineRule="auto"/>
        <w:outlineLvl w:val="2"/>
        <w:rPr>
          <w:b/>
          <w:color w:val="auto"/>
          <w:sz w:val="24"/>
        </w:rPr>
      </w:pPr>
      <w:bookmarkStart w:id="50" w:name="_Toc22329"/>
      <w:r>
        <w:rPr>
          <w:rFonts w:hint="eastAsia"/>
          <w:b/>
          <w:color w:val="auto"/>
          <w:sz w:val="24"/>
        </w:rPr>
        <w:t>1.2.2国家法规、规章及规范性文件</w:t>
      </w:r>
      <w:bookmarkEnd w:id="50"/>
    </w:p>
    <w:p>
      <w:pPr>
        <w:pStyle w:val="42"/>
        <w:rPr>
          <w:color w:val="auto"/>
          <w:lang w:eastAsia="zh-CN"/>
        </w:rPr>
      </w:pPr>
      <w:r>
        <w:rPr>
          <w:rFonts w:hint="eastAsia"/>
          <w:color w:val="auto"/>
          <w:lang w:eastAsia="zh-CN"/>
        </w:rPr>
        <w:t>(1)</w:t>
      </w:r>
      <w:r>
        <w:rPr>
          <w:color w:val="auto"/>
          <w:lang w:eastAsia="zh-CN"/>
        </w:rPr>
        <w:t>《建设项目环境影响评价分类管理名录》(201</w:t>
      </w:r>
      <w:r>
        <w:rPr>
          <w:rFonts w:hint="eastAsia"/>
          <w:color w:val="auto"/>
          <w:lang w:eastAsia="zh-CN"/>
        </w:rPr>
        <w:t>8</w:t>
      </w:r>
      <w:r>
        <w:rPr>
          <w:color w:val="auto"/>
          <w:lang w:eastAsia="zh-CN"/>
        </w:rPr>
        <w:t>年修订）；</w:t>
      </w:r>
    </w:p>
    <w:p>
      <w:pPr>
        <w:pStyle w:val="42"/>
        <w:rPr>
          <w:color w:val="auto"/>
          <w:lang w:eastAsia="zh-CN"/>
        </w:rPr>
      </w:pPr>
      <w:r>
        <w:rPr>
          <w:rFonts w:hint="eastAsia"/>
          <w:color w:val="auto"/>
          <w:lang w:eastAsia="zh-CN"/>
        </w:rPr>
        <w:t>(2)</w:t>
      </w:r>
      <w:r>
        <w:rPr>
          <w:color w:val="auto"/>
          <w:lang w:eastAsia="zh-CN"/>
        </w:rPr>
        <w:t>《建设项目环境保护管理条例》（</w:t>
      </w:r>
      <w:r>
        <w:rPr>
          <w:rFonts w:hint="eastAsia"/>
          <w:color w:val="auto"/>
          <w:lang w:eastAsia="zh-CN"/>
        </w:rPr>
        <w:t>2017修订版</w:t>
      </w:r>
      <w:r>
        <w:rPr>
          <w:color w:val="auto"/>
          <w:lang w:eastAsia="zh-CN"/>
        </w:rPr>
        <w:t>）；</w:t>
      </w:r>
    </w:p>
    <w:p>
      <w:pPr>
        <w:pStyle w:val="42"/>
        <w:rPr>
          <w:color w:val="auto"/>
          <w:lang w:eastAsia="zh-CN"/>
        </w:rPr>
      </w:pPr>
      <w:r>
        <w:rPr>
          <w:color w:val="auto"/>
          <w:lang w:eastAsia="zh-CN"/>
        </w:rPr>
        <w:t>(3)关于加强规划环境影响评价与建设项目环境影响评价联动工作的意见（环发[2015]178号）；</w:t>
      </w:r>
    </w:p>
    <w:p>
      <w:pPr>
        <w:pStyle w:val="42"/>
        <w:rPr>
          <w:color w:val="auto"/>
          <w:lang w:eastAsia="zh-CN"/>
        </w:rPr>
      </w:pPr>
      <w:r>
        <w:rPr>
          <w:color w:val="auto"/>
          <w:lang w:eastAsia="zh-CN"/>
        </w:rPr>
        <w:t>(</w:t>
      </w:r>
      <w:r>
        <w:rPr>
          <w:rFonts w:hint="eastAsia"/>
          <w:color w:val="auto"/>
          <w:lang w:eastAsia="zh-CN"/>
        </w:rPr>
        <w:t>4</w:t>
      </w:r>
      <w:r>
        <w:rPr>
          <w:color w:val="auto"/>
          <w:lang w:eastAsia="zh-CN"/>
        </w:rPr>
        <w:t>)《关于加强化工园区环境保护工作的意见》（环发[2012]54号）；</w:t>
      </w:r>
    </w:p>
    <w:p>
      <w:pPr>
        <w:pStyle w:val="42"/>
        <w:rPr>
          <w:color w:val="auto"/>
          <w:lang w:eastAsia="zh-CN"/>
        </w:rPr>
      </w:pPr>
      <w:r>
        <w:rPr>
          <w:color w:val="auto"/>
          <w:lang w:eastAsia="zh-CN"/>
        </w:rPr>
        <w:t>(</w:t>
      </w:r>
      <w:r>
        <w:rPr>
          <w:rFonts w:hint="eastAsia"/>
          <w:color w:val="auto"/>
          <w:lang w:eastAsia="zh-CN"/>
        </w:rPr>
        <w:t>5</w:t>
      </w:r>
      <w:r>
        <w:rPr>
          <w:color w:val="auto"/>
          <w:lang w:eastAsia="zh-CN"/>
        </w:rPr>
        <w:t>)《大气污染防治行动计划》（环发[2013]37号）；</w:t>
      </w:r>
    </w:p>
    <w:p>
      <w:pPr>
        <w:pStyle w:val="42"/>
        <w:rPr>
          <w:color w:val="auto"/>
          <w:lang w:eastAsia="zh-CN"/>
        </w:rPr>
      </w:pPr>
      <w:r>
        <w:rPr>
          <w:color w:val="auto"/>
          <w:lang w:eastAsia="zh-CN"/>
        </w:rPr>
        <w:t>(</w:t>
      </w:r>
      <w:r>
        <w:rPr>
          <w:rFonts w:hint="eastAsia"/>
          <w:color w:val="auto"/>
          <w:lang w:eastAsia="zh-CN"/>
        </w:rPr>
        <w:t>6</w:t>
      </w:r>
      <w:r>
        <w:rPr>
          <w:color w:val="auto"/>
          <w:lang w:eastAsia="zh-CN"/>
        </w:rPr>
        <w:t>)《重点区域大气污染防治“十二五”规划》(环发[2012]130号)；</w:t>
      </w:r>
    </w:p>
    <w:p>
      <w:pPr>
        <w:pStyle w:val="42"/>
        <w:rPr>
          <w:color w:val="auto"/>
          <w:lang w:eastAsia="zh-CN"/>
        </w:rPr>
      </w:pPr>
      <w:r>
        <w:rPr>
          <w:color w:val="auto"/>
          <w:lang w:eastAsia="zh-CN"/>
        </w:rPr>
        <w:t>(</w:t>
      </w:r>
      <w:r>
        <w:rPr>
          <w:rFonts w:hint="eastAsia"/>
          <w:color w:val="auto"/>
          <w:lang w:eastAsia="zh-CN"/>
        </w:rPr>
        <w:t>7</w:t>
      </w:r>
      <w:r>
        <w:rPr>
          <w:color w:val="auto"/>
          <w:lang w:eastAsia="zh-CN"/>
        </w:rPr>
        <w:t>)《关于落实大气污染防治行动计划严格环境影响评价准入的通知》（环办[2014]30号）；</w:t>
      </w:r>
    </w:p>
    <w:p>
      <w:pPr>
        <w:pStyle w:val="42"/>
        <w:rPr>
          <w:color w:val="auto"/>
          <w:lang w:eastAsia="zh-CN"/>
        </w:rPr>
      </w:pPr>
      <w:r>
        <w:rPr>
          <w:color w:val="auto"/>
          <w:lang w:eastAsia="zh-CN"/>
        </w:rPr>
        <w:t>(</w:t>
      </w:r>
      <w:r>
        <w:rPr>
          <w:rFonts w:hint="eastAsia"/>
          <w:color w:val="auto"/>
          <w:lang w:eastAsia="zh-CN"/>
        </w:rPr>
        <w:t>8</w:t>
      </w:r>
      <w:r>
        <w:rPr>
          <w:color w:val="auto"/>
          <w:lang w:eastAsia="zh-CN"/>
        </w:rPr>
        <w:t>)《挥发性有机物（VOCs）污染防治技术政策》（2013年）；</w:t>
      </w:r>
    </w:p>
    <w:p>
      <w:pPr>
        <w:pStyle w:val="42"/>
        <w:rPr>
          <w:color w:val="auto"/>
          <w:lang w:eastAsia="zh-CN"/>
        </w:rPr>
      </w:pPr>
      <w:r>
        <w:rPr>
          <w:color w:val="auto"/>
          <w:lang w:eastAsia="zh-CN"/>
        </w:rPr>
        <w:t>(</w:t>
      </w:r>
      <w:r>
        <w:rPr>
          <w:rFonts w:hint="eastAsia"/>
          <w:color w:val="auto"/>
          <w:lang w:eastAsia="zh-CN"/>
        </w:rPr>
        <w:t>9</w:t>
      </w:r>
      <w:r>
        <w:rPr>
          <w:color w:val="auto"/>
          <w:lang w:eastAsia="zh-CN"/>
        </w:rPr>
        <w:t>)《环境空气细颗粒物污染综合防治技术政策》（2013年）；</w:t>
      </w:r>
    </w:p>
    <w:p>
      <w:pPr>
        <w:adjustRightInd w:val="0"/>
        <w:snapToGrid w:val="0"/>
        <w:spacing w:line="360" w:lineRule="auto"/>
        <w:outlineLvl w:val="2"/>
        <w:rPr>
          <w:b/>
          <w:color w:val="auto"/>
          <w:sz w:val="24"/>
        </w:rPr>
      </w:pPr>
      <w:bookmarkStart w:id="51" w:name="_Toc19895"/>
      <w:r>
        <w:rPr>
          <w:rFonts w:hint="eastAsia"/>
          <w:b/>
          <w:color w:val="auto"/>
          <w:sz w:val="24"/>
        </w:rPr>
        <w:t>1.2.3地方性法规、规章及规范性文件</w:t>
      </w:r>
      <w:bookmarkEnd w:id="51"/>
    </w:p>
    <w:p>
      <w:pPr>
        <w:pStyle w:val="42"/>
        <w:rPr>
          <w:color w:val="auto"/>
          <w:lang w:eastAsia="zh-CN"/>
        </w:rPr>
      </w:pPr>
      <w:r>
        <w:rPr>
          <w:rFonts w:hint="eastAsia"/>
          <w:color w:val="auto"/>
          <w:lang w:eastAsia="zh-CN"/>
        </w:rPr>
        <w:t>(1)</w:t>
      </w:r>
      <w:r>
        <w:rPr>
          <w:color w:val="auto"/>
          <w:lang w:eastAsia="zh-CN"/>
        </w:rPr>
        <w:t>《福建省环境保护条例》（2012年修订）；</w:t>
      </w:r>
    </w:p>
    <w:p>
      <w:pPr>
        <w:pStyle w:val="42"/>
        <w:rPr>
          <w:color w:val="auto"/>
          <w:lang w:eastAsia="zh-CN"/>
        </w:rPr>
      </w:pPr>
      <w:r>
        <w:rPr>
          <w:rFonts w:hint="eastAsia"/>
          <w:color w:val="auto"/>
          <w:lang w:eastAsia="zh-CN"/>
        </w:rPr>
        <w:t xml:space="preserve">(2)《福建省环保厅关于印发福建省大气、水、土壤污染防治2017年度实施方案（计划）的通知》，闽环发﹝2017﹞6号； </w:t>
      </w:r>
    </w:p>
    <w:p>
      <w:pPr>
        <w:pStyle w:val="42"/>
        <w:rPr>
          <w:color w:val="auto"/>
          <w:lang w:eastAsia="zh-CN"/>
        </w:rPr>
      </w:pPr>
      <w:r>
        <w:rPr>
          <w:color w:val="auto"/>
          <w:lang w:eastAsia="zh-CN"/>
        </w:rPr>
        <w:t>(</w:t>
      </w:r>
      <w:r>
        <w:rPr>
          <w:rFonts w:hint="eastAsia"/>
          <w:color w:val="auto"/>
          <w:lang w:eastAsia="zh-CN"/>
        </w:rPr>
        <w:t>3</w:t>
      </w:r>
      <w:r>
        <w:rPr>
          <w:color w:val="auto"/>
          <w:lang w:eastAsia="zh-CN"/>
        </w:rPr>
        <w:t>)《福建省大气污染防治行动计划实施细则》（闽政[2014]</w:t>
      </w:r>
      <w:r>
        <w:rPr>
          <w:rFonts w:hint="eastAsia"/>
          <w:color w:val="auto"/>
          <w:lang w:eastAsia="zh-CN"/>
        </w:rPr>
        <w:t xml:space="preserve"> </w:t>
      </w:r>
      <w:r>
        <w:rPr>
          <w:color w:val="auto"/>
          <w:lang w:eastAsia="zh-CN"/>
        </w:rPr>
        <w:t>1号）；</w:t>
      </w:r>
    </w:p>
    <w:p>
      <w:pPr>
        <w:pStyle w:val="42"/>
        <w:rPr>
          <w:color w:val="auto"/>
          <w:lang w:eastAsia="zh-CN"/>
        </w:rPr>
      </w:pPr>
      <w:r>
        <w:rPr>
          <w:rFonts w:hint="eastAsia"/>
          <w:color w:val="auto"/>
          <w:lang w:eastAsia="zh-CN"/>
        </w:rPr>
        <w:t>(4)</w:t>
      </w:r>
      <w:r>
        <w:rPr>
          <w:color w:val="auto"/>
          <w:lang w:eastAsia="zh-CN"/>
        </w:rPr>
        <w:t>《福建省大气污染防治行动计划2015年度实施方案》(2015年5月)；</w:t>
      </w:r>
    </w:p>
    <w:p>
      <w:pPr>
        <w:pStyle w:val="42"/>
        <w:rPr>
          <w:color w:val="auto"/>
          <w:lang w:eastAsia="zh-CN"/>
        </w:rPr>
      </w:pPr>
      <w:r>
        <w:rPr>
          <w:color w:val="auto"/>
          <w:lang w:eastAsia="zh-CN"/>
        </w:rPr>
        <w:t>(</w:t>
      </w:r>
      <w:r>
        <w:rPr>
          <w:rFonts w:hint="eastAsia"/>
          <w:color w:val="auto"/>
          <w:lang w:eastAsia="zh-CN"/>
        </w:rPr>
        <w:t>5</w:t>
      </w:r>
      <w:r>
        <w:rPr>
          <w:color w:val="auto"/>
          <w:lang w:eastAsia="zh-CN"/>
        </w:rPr>
        <w:t>)《福建省环境保护厅贯彻环保部关于进一步推进建设项目环境监理工作的通知》（闽环发〔2012〕28号）；</w:t>
      </w:r>
    </w:p>
    <w:p>
      <w:pPr>
        <w:pStyle w:val="42"/>
        <w:rPr>
          <w:color w:val="auto"/>
          <w:lang w:eastAsia="zh-CN"/>
        </w:rPr>
      </w:pPr>
      <w:r>
        <w:rPr>
          <w:color w:val="auto"/>
          <w:lang w:eastAsia="zh-CN"/>
        </w:rPr>
        <w:t>(</w:t>
      </w:r>
      <w:r>
        <w:rPr>
          <w:rFonts w:hint="eastAsia"/>
          <w:color w:val="auto"/>
          <w:lang w:eastAsia="zh-CN"/>
        </w:rPr>
        <w:t>6</w:t>
      </w:r>
      <w:r>
        <w:rPr>
          <w:color w:val="auto"/>
          <w:lang w:eastAsia="zh-CN"/>
        </w:rPr>
        <w:t>)《宁德市大气污染防治行动计划实施细则》2014年</w:t>
      </w:r>
      <w:r>
        <w:rPr>
          <w:rFonts w:hint="eastAsia"/>
          <w:color w:val="auto"/>
          <w:lang w:eastAsia="zh-CN"/>
        </w:rPr>
        <w:t>5</w:t>
      </w:r>
      <w:r>
        <w:rPr>
          <w:color w:val="auto"/>
          <w:lang w:eastAsia="zh-CN"/>
        </w:rPr>
        <w:t>月；</w:t>
      </w:r>
    </w:p>
    <w:p>
      <w:pPr>
        <w:adjustRightInd w:val="0"/>
        <w:snapToGrid w:val="0"/>
        <w:spacing w:line="360" w:lineRule="auto"/>
        <w:outlineLvl w:val="2"/>
        <w:rPr>
          <w:b/>
          <w:color w:val="auto"/>
          <w:sz w:val="24"/>
        </w:rPr>
      </w:pPr>
      <w:bookmarkStart w:id="52" w:name="_Toc18586"/>
      <w:r>
        <w:rPr>
          <w:rFonts w:hint="eastAsia"/>
          <w:b/>
          <w:color w:val="auto"/>
          <w:sz w:val="24"/>
        </w:rPr>
        <w:t>1.2.4有关技术规范</w:t>
      </w:r>
      <w:bookmarkEnd w:id="52"/>
    </w:p>
    <w:p>
      <w:pPr>
        <w:pStyle w:val="42"/>
        <w:rPr>
          <w:color w:val="auto"/>
          <w:lang w:eastAsia="zh-CN"/>
        </w:rPr>
      </w:pPr>
      <w:r>
        <w:rPr>
          <w:color w:val="auto"/>
          <w:lang w:eastAsia="zh-CN"/>
        </w:rPr>
        <w:t>(1)《环境影响评价技术导则  总纲》（HJ 2.1-2016）；</w:t>
      </w:r>
    </w:p>
    <w:p>
      <w:pPr>
        <w:pStyle w:val="42"/>
        <w:rPr>
          <w:color w:val="auto"/>
          <w:lang w:eastAsia="zh-CN"/>
        </w:rPr>
      </w:pPr>
      <w:r>
        <w:rPr>
          <w:color w:val="auto"/>
          <w:lang w:eastAsia="zh-CN"/>
        </w:rPr>
        <w:t>(2)《环境影响评价技术导则  大气环境》（HJ 2.2-20</w:t>
      </w:r>
      <w:r>
        <w:rPr>
          <w:rFonts w:hint="eastAsia"/>
          <w:color w:val="auto"/>
          <w:lang w:eastAsia="zh-CN"/>
        </w:rPr>
        <w:t>18</w:t>
      </w:r>
      <w:r>
        <w:rPr>
          <w:color w:val="auto"/>
          <w:lang w:eastAsia="zh-CN"/>
        </w:rPr>
        <w:t>）；</w:t>
      </w:r>
    </w:p>
    <w:p>
      <w:pPr>
        <w:pStyle w:val="42"/>
        <w:rPr>
          <w:color w:val="auto"/>
          <w:lang w:eastAsia="zh-CN"/>
        </w:rPr>
      </w:pPr>
      <w:r>
        <w:rPr>
          <w:color w:val="auto"/>
          <w:lang w:eastAsia="zh-CN"/>
        </w:rPr>
        <w:t>(</w:t>
      </w:r>
      <w:r>
        <w:rPr>
          <w:rFonts w:hint="eastAsia"/>
          <w:color w:val="auto"/>
          <w:lang w:eastAsia="zh-CN"/>
        </w:rPr>
        <w:t>3</w:t>
      </w:r>
      <w:r>
        <w:rPr>
          <w:color w:val="auto"/>
          <w:lang w:eastAsia="zh-CN"/>
        </w:rPr>
        <w:t>)《排污单位自行监测技术指南  总则》（HJ 819-2017）。</w:t>
      </w:r>
    </w:p>
    <w:p>
      <w:pPr>
        <w:adjustRightInd w:val="0"/>
        <w:snapToGrid w:val="0"/>
        <w:spacing w:line="360" w:lineRule="auto"/>
        <w:outlineLvl w:val="2"/>
        <w:rPr>
          <w:b/>
          <w:color w:val="auto"/>
          <w:sz w:val="24"/>
        </w:rPr>
      </w:pPr>
      <w:bookmarkStart w:id="53" w:name="_Toc29575"/>
      <w:r>
        <w:rPr>
          <w:rFonts w:hint="eastAsia"/>
          <w:b/>
          <w:color w:val="auto"/>
          <w:sz w:val="24"/>
        </w:rPr>
        <w:t>1.2.5有关规划与区划</w:t>
      </w:r>
      <w:bookmarkEnd w:id="53"/>
    </w:p>
    <w:p>
      <w:pPr>
        <w:pStyle w:val="47"/>
        <w:rPr>
          <w:rFonts w:ascii="Times New Roman" w:hAnsi="Times New Roman"/>
          <w:color w:val="auto"/>
        </w:rPr>
      </w:pPr>
      <w:bookmarkStart w:id="54" w:name="_Toc15342"/>
      <w:r>
        <w:rPr>
          <w:rFonts w:hint="eastAsia" w:ascii="Times New Roman" w:hAnsi="Times New Roman"/>
          <w:color w:val="auto"/>
        </w:rPr>
        <w:t>(1)</w:t>
      </w:r>
      <w:r>
        <w:rPr>
          <w:rFonts w:ascii="Times New Roman" w:hAnsi="Times New Roman"/>
          <w:color w:val="auto"/>
        </w:rPr>
        <w:t>《福建省水（环境）功能区划》（闽政文[2004]3号），2004 年1 月；</w:t>
      </w:r>
    </w:p>
    <w:p>
      <w:pPr>
        <w:pStyle w:val="47"/>
        <w:rPr>
          <w:rFonts w:ascii="Times New Roman" w:hAnsi="Times New Roman"/>
          <w:color w:val="auto"/>
        </w:rPr>
      </w:pPr>
      <w:r>
        <w:rPr>
          <w:rFonts w:hint="eastAsia" w:ascii="Times New Roman" w:hAnsi="Times New Roman"/>
          <w:color w:val="auto"/>
        </w:rPr>
        <w:t>(2)</w:t>
      </w:r>
      <w:r>
        <w:rPr>
          <w:rFonts w:ascii="Times New Roman" w:hAnsi="Times New Roman"/>
          <w:color w:val="auto"/>
        </w:rPr>
        <w:t>《福建省近岸海域环境功能区划（修编）》，2011年6月；</w:t>
      </w:r>
    </w:p>
    <w:p>
      <w:pPr>
        <w:pStyle w:val="47"/>
        <w:rPr>
          <w:rFonts w:ascii="Times New Roman" w:hAnsi="Times New Roman"/>
          <w:color w:val="auto"/>
        </w:rPr>
      </w:pPr>
      <w:r>
        <w:rPr>
          <w:rFonts w:hint="eastAsia" w:ascii="Times New Roman" w:hAnsi="Times New Roman"/>
          <w:color w:val="auto"/>
        </w:rPr>
        <w:t>(3)</w:t>
      </w:r>
      <w:r>
        <w:rPr>
          <w:rFonts w:ascii="Times New Roman" w:hAnsi="Times New Roman"/>
          <w:color w:val="auto"/>
        </w:rPr>
        <w:t>《福鼎市城市总体规划(2014～2030)》(2016年)；</w:t>
      </w:r>
    </w:p>
    <w:p>
      <w:pPr>
        <w:pStyle w:val="47"/>
        <w:rPr>
          <w:rFonts w:ascii="Times New Roman" w:hAnsi="Times New Roman"/>
          <w:color w:val="auto"/>
        </w:rPr>
      </w:pPr>
      <w:r>
        <w:rPr>
          <w:rFonts w:hint="eastAsia" w:ascii="Times New Roman" w:hAnsi="Times New Roman"/>
          <w:color w:val="auto"/>
        </w:rPr>
        <w:t>(4)</w:t>
      </w:r>
      <w:r>
        <w:rPr>
          <w:rFonts w:ascii="Times New Roman" w:hAnsi="Times New Roman"/>
          <w:color w:val="auto"/>
        </w:rPr>
        <w:t>《福鼎市环境功能区划》(2006年)；</w:t>
      </w:r>
    </w:p>
    <w:p>
      <w:pPr>
        <w:pStyle w:val="47"/>
        <w:rPr>
          <w:rFonts w:ascii="Times New Roman" w:hAnsi="Times New Roman"/>
          <w:color w:val="auto"/>
        </w:rPr>
      </w:pPr>
      <w:r>
        <w:rPr>
          <w:rFonts w:hint="eastAsia" w:ascii="Times New Roman" w:hAnsi="Times New Roman"/>
          <w:color w:val="auto"/>
        </w:rPr>
        <w:t>(5)</w:t>
      </w:r>
      <w:r>
        <w:rPr>
          <w:rFonts w:ascii="Times New Roman" w:hAnsi="Times New Roman"/>
          <w:color w:val="auto"/>
        </w:rPr>
        <w:t>《福鼎市土地利用总体规划（2006-2020）》(福鼎市人民政府，2010)；</w:t>
      </w:r>
    </w:p>
    <w:p>
      <w:pPr>
        <w:pStyle w:val="47"/>
        <w:rPr>
          <w:rFonts w:ascii="Times New Roman" w:hAnsi="Times New Roman"/>
          <w:color w:val="auto"/>
        </w:rPr>
      </w:pPr>
      <w:r>
        <w:rPr>
          <w:rFonts w:hint="eastAsia" w:ascii="Times New Roman" w:hAnsi="Times New Roman"/>
          <w:color w:val="auto"/>
        </w:rPr>
        <w:t>(6)</w:t>
      </w:r>
      <w:r>
        <w:rPr>
          <w:rFonts w:ascii="Times New Roman" w:hAnsi="Times New Roman"/>
          <w:color w:val="auto"/>
        </w:rPr>
        <w:t>《福鼎市温州园文渡工业集中区总体规划（调整）》，2010-2030年；</w:t>
      </w:r>
    </w:p>
    <w:p>
      <w:pPr>
        <w:pStyle w:val="47"/>
        <w:rPr>
          <w:rFonts w:ascii="Times New Roman" w:hAnsi="Times New Roman"/>
          <w:color w:val="auto"/>
        </w:rPr>
      </w:pPr>
      <w:r>
        <w:rPr>
          <w:rFonts w:hint="eastAsia" w:ascii="Times New Roman" w:hAnsi="Times New Roman"/>
          <w:color w:val="auto"/>
        </w:rPr>
        <w:t>(7)</w:t>
      </w:r>
      <w:r>
        <w:rPr>
          <w:rFonts w:ascii="Times New Roman" w:hAnsi="Times New Roman"/>
          <w:color w:val="auto"/>
        </w:rPr>
        <w:t>《福鼎市文渡项目集中区近期实施地块控制性详细规划》，（2007-2012）；</w:t>
      </w:r>
    </w:p>
    <w:p>
      <w:pPr>
        <w:adjustRightInd w:val="0"/>
        <w:snapToGrid w:val="0"/>
        <w:spacing w:line="360" w:lineRule="auto"/>
        <w:outlineLvl w:val="2"/>
        <w:rPr>
          <w:b/>
          <w:color w:val="auto"/>
          <w:sz w:val="24"/>
        </w:rPr>
      </w:pPr>
      <w:r>
        <w:rPr>
          <w:rFonts w:hint="eastAsia"/>
          <w:b/>
          <w:color w:val="auto"/>
          <w:sz w:val="24"/>
        </w:rPr>
        <w:t>1.2.6其他相关文件</w:t>
      </w:r>
      <w:bookmarkEnd w:id="54"/>
    </w:p>
    <w:p>
      <w:pPr>
        <w:pStyle w:val="47"/>
        <w:rPr>
          <w:rFonts w:ascii="Times New Roman" w:hAnsi="Times New Roman"/>
          <w:color w:val="auto"/>
        </w:rPr>
      </w:pPr>
      <w:r>
        <w:rPr>
          <w:rFonts w:hint="eastAsia" w:ascii="Times New Roman" w:hAnsi="Times New Roman"/>
          <w:color w:val="auto"/>
        </w:rPr>
        <w:t>(1)</w:t>
      </w:r>
      <w:r>
        <w:rPr>
          <w:rFonts w:ascii="Times New Roman" w:hAnsi="Times New Roman"/>
          <w:color w:val="auto"/>
        </w:rPr>
        <w:t>《建设项目环境影响评价委托书》，201</w:t>
      </w:r>
      <w:r>
        <w:rPr>
          <w:rFonts w:hint="eastAsia" w:ascii="Times New Roman" w:hAnsi="Times New Roman"/>
          <w:color w:val="auto"/>
        </w:rPr>
        <w:t>8</w:t>
      </w:r>
      <w:r>
        <w:rPr>
          <w:rFonts w:ascii="Times New Roman" w:hAnsi="Times New Roman"/>
          <w:color w:val="auto"/>
        </w:rPr>
        <w:t>年</w:t>
      </w:r>
      <w:r>
        <w:rPr>
          <w:rFonts w:hint="eastAsia" w:ascii="Times New Roman" w:hAnsi="Times New Roman"/>
          <w:color w:val="auto"/>
        </w:rPr>
        <w:t>12</w:t>
      </w:r>
      <w:r>
        <w:rPr>
          <w:rFonts w:ascii="Times New Roman" w:hAnsi="Times New Roman"/>
          <w:color w:val="auto"/>
        </w:rPr>
        <w:t>月，附件1；</w:t>
      </w:r>
    </w:p>
    <w:p>
      <w:pPr>
        <w:pStyle w:val="47"/>
        <w:rPr>
          <w:rFonts w:ascii="Times New Roman" w:hAnsi="Times New Roman"/>
          <w:color w:val="auto"/>
        </w:rPr>
      </w:pPr>
      <w:r>
        <w:rPr>
          <w:rFonts w:hint="eastAsia" w:ascii="Times New Roman" w:hAnsi="Times New Roman"/>
          <w:color w:val="auto"/>
        </w:rPr>
        <w:t>(2)</w:t>
      </w:r>
      <w:r>
        <w:rPr>
          <w:rFonts w:ascii="Times New Roman" w:hAnsi="Times New Roman"/>
          <w:color w:val="auto"/>
        </w:rPr>
        <w:t>《福建省企业投资项目备案</w:t>
      </w:r>
      <w:r>
        <w:rPr>
          <w:rFonts w:hint="eastAsia" w:ascii="Times New Roman" w:hAnsi="Times New Roman"/>
          <w:color w:val="auto"/>
        </w:rPr>
        <w:t>证明</w:t>
      </w:r>
      <w:r>
        <w:rPr>
          <w:rFonts w:ascii="Times New Roman" w:hAnsi="Times New Roman"/>
          <w:color w:val="auto"/>
        </w:rPr>
        <w:t>》（闽经信备[201</w:t>
      </w:r>
      <w:r>
        <w:rPr>
          <w:rFonts w:hint="eastAsia" w:ascii="Times New Roman" w:hAnsi="Times New Roman"/>
          <w:color w:val="auto"/>
        </w:rPr>
        <w:t>9</w:t>
      </w:r>
      <w:r>
        <w:rPr>
          <w:rFonts w:ascii="Times New Roman" w:hAnsi="Times New Roman"/>
          <w:color w:val="auto"/>
        </w:rPr>
        <w:t>]J03</w:t>
      </w:r>
      <w:r>
        <w:rPr>
          <w:rFonts w:hint="eastAsia" w:ascii="Times New Roman" w:hAnsi="Times New Roman"/>
          <w:color w:val="auto"/>
        </w:rPr>
        <w:t>0011</w:t>
      </w:r>
      <w:r>
        <w:rPr>
          <w:rFonts w:ascii="Times New Roman" w:hAnsi="Times New Roman"/>
          <w:color w:val="auto"/>
        </w:rPr>
        <w:t>号），附件2；</w:t>
      </w:r>
    </w:p>
    <w:p>
      <w:pPr>
        <w:pStyle w:val="47"/>
        <w:rPr>
          <w:rFonts w:ascii="Times New Roman" w:hAnsi="Times New Roman"/>
          <w:color w:val="auto"/>
        </w:rPr>
      </w:pPr>
      <w:r>
        <w:rPr>
          <w:rFonts w:hint="eastAsia" w:ascii="Times New Roman" w:hAnsi="Times New Roman"/>
          <w:color w:val="auto"/>
        </w:rPr>
        <w:t>(3)</w:t>
      </w:r>
      <w:r>
        <w:rPr>
          <w:rFonts w:ascii="Times New Roman" w:hAnsi="Times New Roman"/>
          <w:color w:val="auto"/>
        </w:rPr>
        <w:t>《福鼎市环保局关于福鼎市温州园文渡工业集中区总体规划（调整）环境影响报告书》，2014年4月</w:t>
      </w:r>
      <w:r>
        <w:rPr>
          <w:rFonts w:hint="eastAsia" w:ascii="Times New Roman" w:hAnsi="Times New Roman"/>
          <w:color w:val="auto"/>
        </w:rPr>
        <w:t>；</w:t>
      </w:r>
    </w:p>
    <w:p>
      <w:pPr>
        <w:pStyle w:val="47"/>
        <w:rPr>
          <w:rFonts w:ascii="Times New Roman" w:hAnsi="Times New Roman"/>
          <w:color w:val="auto"/>
        </w:rPr>
      </w:pPr>
      <w:r>
        <w:rPr>
          <w:rFonts w:hint="eastAsia" w:ascii="Times New Roman" w:hAnsi="Times New Roman"/>
          <w:color w:val="auto"/>
        </w:rPr>
        <w:t>(4)</w:t>
      </w:r>
      <w:r>
        <w:rPr>
          <w:rFonts w:ascii="Times New Roman" w:hAnsi="Times New Roman"/>
          <w:color w:val="auto"/>
        </w:rPr>
        <w:t>《福鼎市环保局关于福鼎市温州园文渡工业集中区总体规划（调整）环境影响报告书审查意见的函》，鼎环保函[2014]72</w:t>
      </w:r>
      <w:r>
        <w:rPr>
          <w:rFonts w:hint="eastAsia" w:ascii="Times New Roman" w:hAnsi="Times New Roman"/>
          <w:color w:val="auto"/>
        </w:rPr>
        <w:t>；</w:t>
      </w:r>
    </w:p>
    <w:p>
      <w:pPr>
        <w:pStyle w:val="47"/>
        <w:rPr>
          <w:rFonts w:ascii="Times New Roman" w:hAnsi="Times New Roman"/>
          <w:color w:val="auto"/>
        </w:rPr>
      </w:pPr>
      <w:r>
        <w:rPr>
          <w:rFonts w:hint="eastAsia" w:ascii="Times New Roman" w:hAnsi="Times New Roman"/>
          <w:color w:val="auto"/>
        </w:rPr>
        <w:t>(5)业主提供的其他相关资料。</w:t>
      </w:r>
    </w:p>
    <w:p>
      <w:pPr>
        <w:pStyle w:val="5"/>
        <w:numPr>
          <w:ilvl w:val="1"/>
          <w:numId w:val="0"/>
        </w:numPr>
        <w:spacing w:before="156"/>
        <w:rPr>
          <w:bCs w:val="0"/>
          <w:color w:val="auto"/>
          <w:sz w:val="28"/>
          <w:szCs w:val="28"/>
        </w:rPr>
      </w:pPr>
      <w:r>
        <w:rPr>
          <w:rFonts w:hint="eastAsia"/>
          <w:bCs w:val="0"/>
          <w:color w:val="auto"/>
          <w:sz w:val="28"/>
          <w:szCs w:val="28"/>
        </w:rPr>
        <w:t>1.3评价因子、评价标准、等级及范围及环境敏感目标</w:t>
      </w:r>
    </w:p>
    <w:p>
      <w:pPr>
        <w:adjustRightInd w:val="0"/>
        <w:snapToGrid w:val="0"/>
        <w:spacing w:line="360" w:lineRule="auto"/>
        <w:outlineLvl w:val="2"/>
        <w:rPr>
          <w:b/>
          <w:color w:val="auto"/>
          <w:sz w:val="24"/>
        </w:rPr>
      </w:pPr>
      <w:r>
        <w:rPr>
          <w:rFonts w:hint="eastAsia"/>
          <w:b/>
          <w:color w:val="auto"/>
          <w:sz w:val="24"/>
        </w:rPr>
        <w:t>1.3.1评价因子</w:t>
      </w:r>
    </w:p>
    <w:p>
      <w:pPr>
        <w:pStyle w:val="21"/>
        <w:ind w:firstLine="240"/>
        <w:rPr>
          <w:color w:val="auto"/>
          <w:sz w:val="24"/>
        </w:rPr>
      </w:pPr>
      <w:r>
        <w:rPr>
          <w:color w:val="auto"/>
          <w:sz w:val="24"/>
        </w:rPr>
        <w:t>根据拟建项目工程分析及环境现状调查，本报告选择的评价因子详见表</w:t>
      </w:r>
      <w:r>
        <w:rPr>
          <w:rFonts w:hint="eastAsia"/>
          <w:color w:val="auto"/>
          <w:sz w:val="24"/>
        </w:rPr>
        <w:t>1.3-1</w:t>
      </w:r>
      <w:r>
        <w:rPr>
          <w:color w:val="auto"/>
          <w:sz w:val="24"/>
        </w:rPr>
        <w:t>。</w:t>
      </w:r>
    </w:p>
    <w:p>
      <w:pPr>
        <w:pStyle w:val="40"/>
        <w:spacing w:before="156" w:after="156"/>
        <w:rPr>
          <w:color w:val="auto"/>
        </w:rPr>
      </w:pPr>
      <w:r>
        <w:rPr>
          <w:color w:val="auto"/>
        </w:rPr>
        <w:t>表</w:t>
      </w:r>
      <w:r>
        <w:rPr>
          <w:rFonts w:hint="eastAsia"/>
          <w:color w:val="auto"/>
        </w:rPr>
        <w:t>1.3-1</w:t>
      </w:r>
      <w:r>
        <w:rPr>
          <w:color w:val="auto"/>
        </w:rPr>
        <w:t xml:space="preserve"> 评价因子一览表</w:t>
      </w:r>
    </w:p>
    <w:tbl>
      <w:tblPr>
        <w:tblStyle w:val="22"/>
        <w:tblW w:w="92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3795"/>
        <w:gridCol w:w="3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2" w:type="dxa"/>
            <w:vAlign w:val="center"/>
          </w:tcPr>
          <w:p>
            <w:pPr>
              <w:pStyle w:val="41"/>
              <w:rPr>
                <w:color w:val="auto"/>
              </w:rPr>
            </w:pPr>
            <w:r>
              <w:rPr>
                <w:color w:val="auto"/>
              </w:rPr>
              <w:t>评价要素</w:t>
            </w:r>
          </w:p>
        </w:tc>
        <w:tc>
          <w:tcPr>
            <w:tcW w:w="3795" w:type="dxa"/>
            <w:vAlign w:val="center"/>
          </w:tcPr>
          <w:p>
            <w:pPr>
              <w:pStyle w:val="41"/>
              <w:rPr>
                <w:color w:val="auto"/>
              </w:rPr>
            </w:pPr>
            <w:r>
              <w:rPr>
                <w:color w:val="auto"/>
              </w:rPr>
              <w:t>现状评价因子</w:t>
            </w:r>
          </w:p>
        </w:tc>
        <w:tc>
          <w:tcPr>
            <w:tcW w:w="3630" w:type="dxa"/>
            <w:vAlign w:val="center"/>
          </w:tcPr>
          <w:p>
            <w:pPr>
              <w:pStyle w:val="41"/>
              <w:rPr>
                <w:color w:val="auto"/>
              </w:rPr>
            </w:pPr>
            <w:r>
              <w:rPr>
                <w:color w:val="auto"/>
              </w:rPr>
              <w:t>环境影响评价因子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2" w:type="dxa"/>
            <w:vAlign w:val="center"/>
          </w:tcPr>
          <w:p>
            <w:pPr>
              <w:pStyle w:val="41"/>
              <w:rPr>
                <w:color w:val="auto"/>
              </w:rPr>
            </w:pPr>
            <w:r>
              <w:rPr>
                <w:color w:val="auto"/>
              </w:rPr>
              <w:t>空气环境</w:t>
            </w:r>
          </w:p>
        </w:tc>
        <w:tc>
          <w:tcPr>
            <w:tcW w:w="3795" w:type="dxa"/>
            <w:vAlign w:val="center"/>
          </w:tcPr>
          <w:p>
            <w:pPr>
              <w:pStyle w:val="41"/>
              <w:rPr>
                <w:color w:val="auto"/>
              </w:rPr>
            </w:pPr>
            <w:r>
              <w:rPr>
                <w:color w:val="auto"/>
              </w:rPr>
              <w:t>SO</w:t>
            </w:r>
            <w:r>
              <w:rPr>
                <w:color w:val="auto"/>
                <w:vertAlign w:val="subscript"/>
              </w:rPr>
              <w:t>2</w:t>
            </w:r>
            <w:r>
              <w:rPr>
                <w:rFonts w:hint="eastAsia"/>
                <w:color w:val="auto"/>
              </w:rPr>
              <w:t>、</w:t>
            </w:r>
            <w:r>
              <w:rPr>
                <w:color w:val="auto"/>
              </w:rPr>
              <w:t>NO</w:t>
            </w:r>
            <w:r>
              <w:rPr>
                <w:color w:val="auto"/>
                <w:vertAlign w:val="subscript"/>
              </w:rPr>
              <w:t>2</w:t>
            </w:r>
            <w:r>
              <w:rPr>
                <w:rFonts w:hint="eastAsia"/>
                <w:color w:val="auto"/>
              </w:rPr>
              <w:t>、</w:t>
            </w:r>
            <w:r>
              <w:rPr>
                <w:color w:val="auto"/>
              </w:rPr>
              <w:t>PM</w:t>
            </w:r>
            <w:r>
              <w:rPr>
                <w:color w:val="auto"/>
                <w:vertAlign w:val="subscript"/>
              </w:rPr>
              <w:t>10</w:t>
            </w:r>
            <w:r>
              <w:rPr>
                <w:rFonts w:hint="eastAsia"/>
                <w:color w:val="auto"/>
              </w:rPr>
              <w:t>、</w:t>
            </w:r>
            <w:r>
              <w:rPr>
                <w:color w:val="auto"/>
              </w:rPr>
              <w:t>PM</w:t>
            </w:r>
            <w:r>
              <w:rPr>
                <w:rFonts w:hint="eastAsia"/>
                <w:color w:val="auto"/>
                <w:vertAlign w:val="subscript"/>
              </w:rPr>
              <w:t>2.5</w:t>
            </w:r>
            <w:r>
              <w:rPr>
                <w:rFonts w:hint="eastAsia"/>
                <w:color w:val="auto"/>
              </w:rPr>
              <w:t>、</w:t>
            </w:r>
            <w:r>
              <w:rPr>
                <w:color w:val="auto"/>
              </w:rPr>
              <w:t>O</w:t>
            </w:r>
            <w:r>
              <w:rPr>
                <w:color w:val="auto"/>
                <w:vertAlign w:val="subscript"/>
              </w:rPr>
              <w:t>3</w:t>
            </w:r>
            <w:r>
              <w:rPr>
                <w:rFonts w:hint="eastAsia"/>
                <w:color w:val="auto"/>
              </w:rPr>
              <w:t>、</w:t>
            </w:r>
            <w:r>
              <w:rPr>
                <w:color w:val="auto"/>
              </w:rPr>
              <w:t>CO</w:t>
            </w:r>
          </w:p>
          <w:p>
            <w:pPr>
              <w:pStyle w:val="41"/>
              <w:rPr>
                <w:rFonts w:hint="eastAsia" w:eastAsia="宋体"/>
                <w:color w:val="auto"/>
                <w:lang w:eastAsia="zh-CN"/>
              </w:rPr>
            </w:pPr>
            <w:r>
              <w:rPr>
                <w:rFonts w:hint="eastAsia"/>
                <w:color w:val="auto"/>
                <w:lang w:eastAsia="zh-CN"/>
              </w:rPr>
              <w:t>氯化氢、氟化物</w:t>
            </w:r>
          </w:p>
        </w:tc>
        <w:tc>
          <w:tcPr>
            <w:tcW w:w="3630" w:type="dxa"/>
            <w:vAlign w:val="center"/>
          </w:tcPr>
          <w:p>
            <w:pPr>
              <w:pStyle w:val="41"/>
              <w:rPr>
                <w:color w:val="auto"/>
              </w:rPr>
            </w:pPr>
            <w:r>
              <w:rPr>
                <w:rFonts w:hint="eastAsia"/>
                <w:color w:val="auto"/>
              </w:rPr>
              <w:t>氯化氢、氟化氢、铬酸雾、硫酸雾、氰化氢</w:t>
            </w:r>
          </w:p>
        </w:tc>
      </w:tr>
    </w:tbl>
    <w:p>
      <w:pPr>
        <w:adjustRightInd w:val="0"/>
        <w:snapToGrid w:val="0"/>
        <w:spacing w:before="156" w:beforeLines="50" w:line="360" w:lineRule="auto"/>
        <w:outlineLvl w:val="2"/>
        <w:rPr>
          <w:b/>
          <w:color w:val="auto"/>
          <w:sz w:val="24"/>
        </w:rPr>
      </w:pPr>
      <w:r>
        <w:rPr>
          <w:rFonts w:hint="eastAsia"/>
          <w:b/>
          <w:color w:val="auto"/>
          <w:sz w:val="24"/>
        </w:rPr>
        <w:t>1.3.2评价标准</w:t>
      </w:r>
    </w:p>
    <w:p>
      <w:pPr>
        <w:pStyle w:val="6"/>
        <w:spacing w:before="0"/>
        <w:ind w:firstLine="482" w:firstLineChars="200"/>
        <w:rPr>
          <w:rFonts w:eastAsia="宋体"/>
          <w:b/>
          <w:color w:val="auto"/>
          <w:kern w:val="2"/>
          <w:sz w:val="24"/>
          <w:szCs w:val="24"/>
        </w:rPr>
      </w:pPr>
      <w:r>
        <w:rPr>
          <w:rFonts w:hint="eastAsia" w:eastAsia="宋体"/>
          <w:b/>
          <w:color w:val="auto"/>
          <w:kern w:val="2"/>
          <w:sz w:val="24"/>
          <w:szCs w:val="24"/>
        </w:rPr>
        <w:t>（1）大气环境功能区划及质量标准</w:t>
      </w:r>
    </w:p>
    <w:p>
      <w:pPr>
        <w:pStyle w:val="47"/>
        <w:rPr>
          <w:rFonts w:ascii="Times New Roman" w:hAnsi="Times New Roman"/>
          <w:color w:val="auto"/>
        </w:rPr>
      </w:pPr>
      <w:r>
        <w:rPr>
          <w:rFonts w:hint="eastAsia" w:ascii="Times New Roman" w:hAnsi="Times New Roman"/>
          <w:color w:val="auto"/>
        </w:rPr>
        <w:t>本项目位于福鼎市文渡项目区，环境空气功能区划为二类区，执行《环境空气质量标准》（GB3095-2012）中的二级标准。具体详见表1.3-2。特征污染物氯化氢、硫酸雾参照《环境影响评价技术导则</w:t>
      </w:r>
      <w:r>
        <w:rPr>
          <w:rFonts w:ascii="Times New Roman" w:hAnsi="Times New Roman"/>
          <w:color w:val="auto"/>
        </w:rPr>
        <w:t xml:space="preserve">  </w:t>
      </w:r>
      <w:r>
        <w:rPr>
          <w:rFonts w:hint="eastAsia" w:ascii="Times New Roman" w:hAnsi="Times New Roman"/>
          <w:color w:val="auto"/>
        </w:rPr>
        <w:t>大气环境》（</w:t>
      </w:r>
      <w:r>
        <w:rPr>
          <w:rFonts w:ascii="Times New Roman" w:hAnsi="Times New Roman"/>
          <w:color w:val="auto"/>
        </w:rPr>
        <w:t>HJ 2.2-2018</w:t>
      </w:r>
      <w:r>
        <w:rPr>
          <w:rFonts w:hint="eastAsia" w:ascii="Times New Roman" w:hAnsi="Times New Roman"/>
          <w:color w:val="auto"/>
        </w:rPr>
        <w:t>）附录</w:t>
      </w:r>
      <w:r>
        <w:rPr>
          <w:rFonts w:ascii="Times New Roman" w:hAnsi="Times New Roman"/>
          <w:color w:val="auto"/>
        </w:rPr>
        <w:t>D</w:t>
      </w:r>
      <w:r>
        <w:rPr>
          <w:rFonts w:hint="eastAsia" w:ascii="Times New Roman" w:hAnsi="Times New Roman"/>
          <w:color w:val="auto"/>
        </w:rPr>
        <w:t>执行</w:t>
      </w:r>
      <w:r>
        <w:rPr>
          <w:rFonts w:hint="eastAsia" w:ascii="Times New Roman" w:hAnsi="Times New Roman"/>
          <w:color w:val="auto"/>
          <w:lang w:eastAsia="zh-CN"/>
        </w:rPr>
        <w:t>；铬酸雾参照</w:t>
      </w:r>
      <w:r>
        <w:rPr>
          <w:rFonts w:ascii="宋体" w:hAnsi="宋体"/>
          <w:color w:val="auto"/>
        </w:rPr>
        <w:t>参</w:t>
      </w:r>
      <w:r>
        <w:rPr>
          <w:rFonts w:hAnsi="宋体"/>
          <w:color w:val="auto"/>
        </w:rPr>
        <w:t>考</w:t>
      </w:r>
      <w:r>
        <w:rPr>
          <w:rFonts w:hint="eastAsia" w:hAnsi="宋体"/>
          <w:color w:val="auto"/>
        </w:rPr>
        <w:t>原</w:t>
      </w:r>
      <w:r>
        <w:rPr>
          <w:rFonts w:hAnsi="宋体"/>
          <w:color w:val="auto"/>
        </w:rPr>
        <w:t>《</w:t>
      </w:r>
      <w:r>
        <w:rPr>
          <w:rFonts w:hAnsi="宋体"/>
          <w:bCs/>
          <w:color w:val="auto"/>
        </w:rPr>
        <w:t>工业企业设计卫生标准</w:t>
      </w:r>
      <w:r>
        <w:rPr>
          <w:rFonts w:hAnsi="宋体"/>
          <w:color w:val="auto"/>
        </w:rPr>
        <w:t>》</w:t>
      </w:r>
      <w:r>
        <w:rPr>
          <w:rFonts w:hint="eastAsia" w:ascii="Times New Roman" w:hAnsi="Times New Roman"/>
          <w:color w:val="auto"/>
        </w:rPr>
        <w:t>（TJ36-79）</w:t>
      </w:r>
      <w:r>
        <w:rPr>
          <w:rFonts w:hint="eastAsia"/>
          <w:color w:val="auto"/>
          <w:lang w:eastAsia="zh-CN"/>
        </w:rPr>
        <w:t>执行；氰化氢参照前苏联居民区大气中有害物质的最大允许浓度</w:t>
      </w:r>
      <w:r>
        <w:rPr>
          <w:rFonts w:hint="eastAsia" w:ascii="Times New Roman" w:hAnsi="Times New Roman"/>
          <w:color w:val="auto"/>
          <w:lang w:eastAsia="zh-CN"/>
        </w:rPr>
        <w:t>（</w:t>
      </w:r>
      <w:r>
        <w:rPr>
          <w:rFonts w:hint="eastAsia" w:ascii="Times New Roman" w:hAnsi="Times New Roman"/>
          <w:color w:val="auto"/>
          <w:lang w:val="en-US" w:eastAsia="zh-CN"/>
        </w:rPr>
        <w:t>CH 245-71</w:t>
      </w:r>
      <w:r>
        <w:rPr>
          <w:rFonts w:hint="eastAsia" w:ascii="Times New Roman" w:hAnsi="Times New Roman"/>
          <w:color w:val="auto"/>
          <w:lang w:eastAsia="zh-CN"/>
        </w:rPr>
        <w:t>）</w:t>
      </w:r>
      <w:r>
        <w:rPr>
          <w:rFonts w:hint="eastAsia" w:ascii="Times New Roman" w:hAnsi="Times New Roman"/>
          <w:color w:val="auto"/>
        </w:rPr>
        <w:t>。</w:t>
      </w:r>
    </w:p>
    <w:p>
      <w:pPr>
        <w:pStyle w:val="40"/>
        <w:spacing w:before="156" w:after="156"/>
        <w:rPr>
          <w:color w:val="auto"/>
        </w:rPr>
      </w:pPr>
      <w:r>
        <w:rPr>
          <w:rFonts w:hint="eastAsia"/>
          <w:color w:val="auto"/>
        </w:rPr>
        <w:t>表1.3-2 环境空气质量标准</w:t>
      </w:r>
    </w:p>
    <w:tbl>
      <w:tblPr>
        <w:tblStyle w:val="22"/>
        <w:tblW w:w="92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3040"/>
        <w:gridCol w:w="3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blHeader/>
          <w:jc w:val="center"/>
        </w:trPr>
        <w:tc>
          <w:tcPr>
            <w:tcW w:w="3065" w:type="dxa"/>
            <w:vMerge w:val="restart"/>
            <w:vAlign w:val="center"/>
          </w:tcPr>
          <w:p>
            <w:pPr>
              <w:pStyle w:val="41"/>
              <w:rPr>
                <w:color w:val="auto"/>
              </w:rPr>
            </w:pPr>
            <w:r>
              <w:rPr>
                <w:rFonts w:hint="eastAsia"/>
                <w:color w:val="auto"/>
              </w:rPr>
              <w:t>污染物项目</w:t>
            </w:r>
          </w:p>
        </w:tc>
        <w:tc>
          <w:tcPr>
            <w:tcW w:w="6222" w:type="dxa"/>
            <w:gridSpan w:val="2"/>
            <w:vAlign w:val="center"/>
          </w:tcPr>
          <w:p>
            <w:pPr>
              <w:pStyle w:val="41"/>
              <w:rPr>
                <w:color w:val="auto"/>
              </w:rPr>
            </w:pPr>
            <w:r>
              <w:rPr>
                <w:color w:val="auto"/>
              </w:rPr>
              <w:t>GB3095-2012</w:t>
            </w:r>
            <w:r>
              <w:rPr>
                <w:rFonts w:hint="eastAsia"/>
                <w:color w:val="auto"/>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blHeader/>
          <w:jc w:val="center"/>
        </w:trPr>
        <w:tc>
          <w:tcPr>
            <w:tcW w:w="3065" w:type="dxa"/>
            <w:vMerge w:val="continue"/>
            <w:vAlign w:val="center"/>
          </w:tcPr>
          <w:p>
            <w:pPr>
              <w:pStyle w:val="41"/>
              <w:rPr>
                <w:color w:val="auto"/>
              </w:rPr>
            </w:pPr>
          </w:p>
        </w:tc>
        <w:tc>
          <w:tcPr>
            <w:tcW w:w="3040" w:type="dxa"/>
            <w:vAlign w:val="center"/>
          </w:tcPr>
          <w:p>
            <w:pPr>
              <w:pStyle w:val="41"/>
              <w:rPr>
                <w:color w:val="auto"/>
              </w:rPr>
            </w:pPr>
            <w:r>
              <w:rPr>
                <w:rFonts w:hint="eastAsia"/>
                <w:color w:val="auto"/>
              </w:rPr>
              <w:t>平均时间</w:t>
            </w:r>
          </w:p>
        </w:tc>
        <w:tc>
          <w:tcPr>
            <w:tcW w:w="3182" w:type="dxa"/>
            <w:vAlign w:val="center"/>
          </w:tcPr>
          <w:p>
            <w:pPr>
              <w:pStyle w:val="41"/>
              <w:rPr>
                <w:color w:val="auto"/>
              </w:rPr>
            </w:pPr>
            <w:r>
              <w:rPr>
                <w:rFonts w:hint="eastAsia"/>
                <w:color w:val="auto"/>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restart"/>
            <w:vAlign w:val="center"/>
          </w:tcPr>
          <w:p>
            <w:pPr>
              <w:pStyle w:val="41"/>
              <w:rPr>
                <w:color w:val="auto"/>
              </w:rPr>
            </w:pPr>
            <w:r>
              <w:rPr>
                <w:color w:val="auto"/>
              </w:rPr>
              <w:t>SO</w:t>
            </w:r>
            <w:r>
              <w:rPr>
                <w:color w:val="auto"/>
                <w:vertAlign w:val="subscript"/>
              </w:rPr>
              <w:t>2</w:t>
            </w:r>
          </w:p>
        </w:tc>
        <w:tc>
          <w:tcPr>
            <w:tcW w:w="3040" w:type="dxa"/>
            <w:vAlign w:val="center"/>
          </w:tcPr>
          <w:p>
            <w:pPr>
              <w:pStyle w:val="41"/>
              <w:rPr>
                <w:color w:val="auto"/>
              </w:rPr>
            </w:pPr>
            <w:r>
              <w:rPr>
                <w:color w:val="auto"/>
              </w:rPr>
              <w:t>24</w:t>
            </w:r>
            <w:r>
              <w:rPr>
                <w:rFonts w:hint="eastAsia"/>
                <w:color w:val="auto"/>
              </w:rPr>
              <w:t>小时平均</w:t>
            </w:r>
          </w:p>
        </w:tc>
        <w:tc>
          <w:tcPr>
            <w:tcW w:w="3182" w:type="dxa"/>
            <w:vAlign w:val="center"/>
          </w:tcPr>
          <w:p>
            <w:pPr>
              <w:pStyle w:val="41"/>
              <w:rPr>
                <w:color w:val="auto"/>
              </w:rPr>
            </w:pPr>
            <w:r>
              <w:rPr>
                <w:rFonts w:hint="eastAsia"/>
                <w:color w:val="auto"/>
              </w:rPr>
              <w:t>＜150μ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continue"/>
            <w:vAlign w:val="center"/>
          </w:tcPr>
          <w:p>
            <w:pPr>
              <w:pStyle w:val="41"/>
              <w:rPr>
                <w:color w:val="auto"/>
              </w:rPr>
            </w:pPr>
          </w:p>
        </w:tc>
        <w:tc>
          <w:tcPr>
            <w:tcW w:w="3040" w:type="dxa"/>
            <w:vAlign w:val="center"/>
          </w:tcPr>
          <w:p>
            <w:pPr>
              <w:pStyle w:val="41"/>
              <w:rPr>
                <w:color w:val="auto"/>
              </w:rPr>
            </w:pPr>
            <w:r>
              <w:rPr>
                <w:color w:val="auto"/>
              </w:rPr>
              <w:t>1</w:t>
            </w:r>
            <w:r>
              <w:rPr>
                <w:rFonts w:hint="eastAsia"/>
                <w:color w:val="auto"/>
              </w:rPr>
              <w:t>小时平均</w:t>
            </w:r>
          </w:p>
        </w:tc>
        <w:tc>
          <w:tcPr>
            <w:tcW w:w="3182" w:type="dxa"/>
            <w:vAlign w:val="center"/>
          </w:tcPr>
          <w:p>
            <w:pPr>
              <w:pStyle w:val="41"/>
              <w:rPr>
                <w:color w:val="auto"/>
              </w:rPr>
            </w:pPr>
            <w:r>
              <w:rPr>
                <w:rFonts w:hint="eastAsia"/>
                <w:color w:val="auto"/>
              </w:rPr>
              <w:t>＜50</w:t>
            </w:r>
            <w:r>
              <w:rPr>
                <w:color w:val="auto"/>
              </w:rPr>
              <w:t>0</w:t>
            </w:r>
            <w:r>
              <w:rPr>
                <w:rFonts w:hint="eastAsia"/>
                <w:color w:val="auto"/>
              </w:rPr>
              <w:t>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restart"/>
            <w:vAlign w:val="center"/>
          </w:tcPr>
          <w:p>
            <w:pPr>
              <w:pStyle w:val="41"/>
              <w:rPr>
                <w:color w:val="auto"/>
              </w:rPr>
            </w:pPr>
            <w:r>
              <w:rPr>
                <w:color w:val="auto"/>
              </w:rPr>
              <w:t>NO</w:t>
            </w:r>
            <w:r>
              <w:rPr>
                <w:color w:val="auto"/>
                <w:vertAlign w:val="subscript"/>
              </w:rPr>
              <w:t>2</w:t>
            </w:r>
          </w:p>
        </w:tc>
        <w:tc>
          <w:tcPr>
            <w:tcW w:w="3040" w:type="dxa"/>
            <w:vAlign w:val="center"/>
          </w:tcPr>
          <w:p>
            <w:pPr>
              <w:pStyle w:val="41"/>
              <w:rPr>
                <w:color w:val="auto"/>
              </w:rPr>
            </w:pPr>
            <w:r>
              <w:rPr>
                <w:color w:val="auto"/>
              </w:rPr>
              <w:t>24</w:t>
            </w:r>
            <w:r>
              <w:rPr>
                <w:rFonts w:hint="eastAsia"/>
                <w:color w:val="auto"/>
              </w:rPr>
              <w:t>小时平均</w:t>
            </w:r>
          </w:p>
        </w:tc>
        <w:tc>
          <w:tcPr>
            <w:tcW w:w="3182" w:type="dxa"/>
            <w:vAlign w:val="center"/>
          </w:tcPr>
          <w:p>
            <w:pPr>
              <w:pStyle w:val="41"/>
              <w:rPr>
                <w:color w:val="auto"/>
              </w:rPr>
            </w:pPr>
            <w:r>
              <w:rPr>
                <w:rFonts w:hint="eastAsia"/>
                <w:color w:val="auto"/>
              </w:rPr>
              <w:t>＜80μ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continue"/>
            <w:vAlign w:val="center"/>
          </w:tcPr>
          <w:p>
            <w:pPr>
              <w:pStyle w:val="41"/>
              <w:rPr>
                <w:color w:val="auto"/>
              </w:rPr>
            </w:pPr>
          </w:p>
        </w:tc>
        <w:tc>
          <w:tcPr>
            <w:tcW w:w="3040" w:type="dxa"/>
            <w:vAlign w:val="center"/>
          </w:tcPr>
          <w:p>
            <w:pPr>
              <w:pStyle w:val="41"/>
              <w:rPr>
                <w:color w:val="auto"/>
              </w:rPr>
            </w:pPr>
            <w:r>
              <w:rPr>
                <w:color w:val="auto"/>
              </w:rPr>
              <w:t>1</w:t>
            </w:r>
            <w:r>
              <w:rPr>
                <w:rFonts w:hint="eastAsia"/>
                <w:color w:val="auto"/>
              </w:rPr>
              <w:t>小时平均</w:t>
            </w:r>
          </w:p>
        </w:tc>
        <w:tc>
          <w:tcPr>
            <w:tcW w:w="3182" w:type="dxa"/>
            <w:vAlign w:val="center"/>
          </w:tcPr>
          <w:p>
            <w:pPr>
              <w:pStyle w:val="41"/>
              <w:rPr>
                <w:color w:val="auto"/>
              </w:rPr>
            </w:pPr>
            <w:r>
              <w:rPr>
                <w:rFonts w:hint="eastAsia"/>
                <w:color w:val="auto"/>
              </w:rPr>
              <w:t>＜</w:t>
            </w:r>
            <w:r>
              <w:rPr>
                <w:color w:val="auto"/>
              </w:rPr>
              <w:t>2</w:t>
            </w:r>
            <w:r>
              <w:rPr>
                <w:rFonts w:hint="eastAsia"/>
                <w:color w:val="auto"/>
              </w:rPr>
              <w:t>0</w:t>
            </w:r>
            <w:r>
              <w:rPr>
                <w:color w:val="auto"/>
              </w:rPr>
              <w:t>0</w:t>
            </w:r>
            <w:r>
              <w:rPr>
                <w:rFonts w:hint="eastAsia"/>
                <w:color w:val="auto"/>
              </w:rPr>
              <w:t>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3065" w:type="dxa"/>
            <w:vAlign w:val="center"/>
          </w:tcPr>
          <w:p>
            <w:pPr>
              <w:pStyle w:val="41"/>
              <w:rPr>
                <w:color w:val="auto"/>
              </w:rPr>
            </w:pPr>
            <w:r>
              <w:rPr>
                <w:color w:val="auto"/>
              </w:rPr>
              <w:t>TSP</w:t>
            </w:r>
          </w:p>
        </w:tc>
        <w:tc>
          <w:tcPr>
            <w:tcW w:w="3040" w:type="dxa"/>
            <w:vAlign w:val="center"/>
          </w:tcPr>
          <w:p>
            <w:pPr>
              <w:pStyle w:val="41"/>
              <w:rPr>
                <w:color w:val="auto"/>
              </w:rPr>
            </w:pPr>
            <w:r>
              <w:rPr>
                <w:color w:val="auto"/>
              </w:rPr>
              <w:t>24</w:t>
            </w:r>
            <w:r>
              <w:rPr>
                <w:rFonts w:hint="eastAsia"/>
                <w:color w:val="auto"/>
              </w:rPr>
              <w:t>小时平均</w:t>
            </w:r>
          </w:p>
        </w:tc>
        <w:tc>
          <w:tcPr>
            <w:tcW w:w="3182" w:type="dxa"/>
            <w:vAlign w:val="center"/>
          </w:tcPr>
          <w:p>
            <w:pPr>
              <w:pStyle w:val="41"/>
              <w:rPr>
                <w:color w:val="auto"/>
              </w:rPr>
            </w:pPr>
            <w:r>
              <w:rPr>
                <w:rFonts w:hint="eastAsia"/>
                <w:color w:val="auto"/>
              </w:rPr>
              <w:t>＜30</w:t>
            </w:r>
            <w:r>
              <w:rPr>
                <w:color w:val="auto"/>
              </w:rPr>
              <w:t>0</w:t>
            </w:r>
            <w:r>
              <w:rPr>
                <w:rFonts w:hint="eastAsia"/>
                <w:color w:val="auto"/>
              </w:rPr>
              <w:t>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3065" w:type="dxa"/>
            <w:vAlign w:val="center"/>
          </w:tcPr>
          <w:p>
            <w:pPr>
              <w:pStyle w:val="41"/>
              <w:rPr>
                <w:color w:val="auto"/>
              </w:rPr>
            </w:pPr>
            <w:r>
              <w:rPr>
                <w:rFonts w:hint="eastAsia"/>
                <w:color w:val="auto"/>
              </w:rPr>
              <w:t>颗粒物（PM</w:t>
            </w:r>
            <w:r>
              <w:rPr>
                <w:rFonts w:hint="eastAsia"/>
                <w:color w:val="auto"/>
                <w:vertAlign w:val="subscript"/>
              </w:rPr>
              <w:t>10</w:t>
            </w:r>
            <w:r>
              <w:rPr>
                <w:rFonts w:hint="eastAsia"/>
                <w:color w:val="auto"/>
              </w:rPr>
              <w:t>）</w:t>
            </w:r>
          </w:p>
        </w:tc>
        <w:tc>
          <w:tcPr>
            <w:tcW w:w="3040" w:type="dxa"/>
            <w:vAlign w:val="center"/>
          </w:tcPr>
          <w:p>
            <w:pPr>
              <w:pStyle w:val="41"/>
              <w:rPr>
                <w:color w:val="auto"/>
              </w:rPr>
            </w:pPr>
            <w:r>
              <w:rPr>
                <w:color w:val="auto"/>
              </w:rPr>
              <w:t>24</w:t>
            </w:r>
            <w:r>
              <w:rPr>
                <w:rFonts w:hint="eastAsia"/>
                <w:color w:val="auto"/>
              </w:rPr>
              <w:t>小时平均</w:t>
            </w:r>
          </w:p>
        </w:tc>
        <w:tc>
          <w:tcPr>
            <w:tcW w:w="3182" w:type="dxa"/>
            <w:vAlign w:val="center"/>
          </w:tcPr>
          <w:p>
            <w:pPr>
              <w:pStyle w:val="41"/>
              <w:rPr>
                <w:color w:val="auto"/>
              </w:rPr>
            </w:pPr>
            <w:r>
              <w:rPr>
                <w:rFonts w:hint="eastAsia"/>
                <w:color w:val="auto"/>
              </w:rPr>
              <w:t>＜150μ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restart"/>
            <w:vAlign w:val="center"/>
          </w:tcPr>
          <w:p>
            <w:pPr>
              <w:pStyle w:val="41"/>
              <w:rPr>
                <w:color w:val="auto"/>
              </w:rPr>
            </w:pPr>
            <w:r>
              <w:rPr>
                <w:rFonts w:hint="eastAsia"/>
                <w:color w:val="auto"/>
              </w:rPr>
              <w:t>CO</w:t>
            </w:r>
          </w:p>
        </w:tc>
        <w:tc>
          <w:tcPr>
            <w:tcW w:w="3040" w:type="dxa"/>
            <w:vAlign w:val="center"/>
          </w:tcPr>
          <w:p>
            <w:pPr>
              <w:pStyle w:val="41"/>
              <w:rPr>
                <w:color w:val="auto"/>
              </w:rPr>
            </w:pPr>
            <w:r>
              <w:rPr>
                <w:color w:val="auto"/>
              </w:rPr>
              <w:t>1</w:t>
            </w:r>
            <w:r>
              <w:rPr>
                <w:rFonts w:hint="eastAsia"/>
                <w:color w:val="auto"/>
              </w:rPr>
              <w:t>小时平均</w:t>
            </w:r>
          </w:p>
        </w:tc>
        <w:tc>
          <w:tcPr>
            <w:tcW w:w="3182" w:type="dxa"/>
            <w:vAlign w:val="center"/>
          </w:tcPr>
          <w:p>
            <w:pPr>
              <w:pStyle w:val="41"/>
              <w:rPr>
                <w:color w:val="auto"/>
              </w:rPr>
            </w:pPr>
            <w:r>
              <w:rPr>
                <w:rFonts w:hint="eastAsia"/>
                <w:color w:val="auto"/>
              </w:rPr>
              <w:t>＜4.0</w:t>
            </w:r>
            <w:r>
              <w:rPr>
                <w:color w:val="auto"/>
              </w:rPr>
              <w:t>mg/m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continue"/>
            <w:vAlign w:val="center"/>
          </w:tcPr>
          <w:p>
            <w:pPr>
              <w:pStyle w:val="41"/>
              <w:rPr>
                <w:color w:val="auto"/>
              </w:rPr>
            </w:pPr>
          </w:p>
        </w:tc>
        <w:tc>
          <w:tcPr>
            <w:tcW w:w="3040" w:type="dxa"/>
            <w:vAlign w:val="center"/>
          </w:tcPr>
          <w:p>
            <w:pPr>
              <w:pStyle w:val="41"/>
              <w:rPr>
                <w:color w:val="auto"/>
              </w:rPr>
            </w:pPr>
            <w:r>
              <w:rPr>
                <w:color w:val="auto"/>
              </w:rPr>
              <w:t>24</w:t>
            </w:r>
            <w:r>
              <w:rPr>
                <w:rFonts w:hint="eastAsia"/>
                <w:color w:val="auto"/>
              </w:rPr>
              <w:t>小时平均</w:t>
            </w:r>
          </w:p>
        </w:tc>
        <w:tc>
          <w:tcPr>
            <w:tcW w:w="3182" w:type="dxa"/>
            <w:vAlign w:val="center"/>
          </w:tcPr>
          <w:p>
            <w:pPr>
              <w:pStyle w:val="41"/>
              <w:rPr>
                <w:color w:val="auto"/>
              </w:rPr>
            </w:pPr>
            <w:r>
              <w:rPr>
                <w:rFonts w:hint="eastAsia"/>
                <w:color w:val="auto"/>
              </w:rPr>
              <w:t>＜1</w:t>
            </w:r>
            <w:r>
              <w:rPr>
                <w:color w:val="auto"/>
              </w:rPr>
              <w:t>0mg/m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restart"/>
            <w:vAlign w:val="center"/>
          </w:tcPr>
          <w:p>
            <w:pPr>
              <w:pStyle w:val="33"/>
              <w:spacing w:line="240" w:lineRule="auto"/>
              <w:rPr>
                <w:color w:val="auto"/>
              </w:rPr>
            </w:pPr>
            <w:r>
              <w:rPr>
                <w:rFonts w:hint="eastAsia"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vertAlign w:val="subscript"/>
                <w:lang w:val="en-US" w:eastAsia="zh-CN"/>
              </w:rPr>
              <w:t>3</w:t>
            </w:r>
          </w:p>
        </w:tc>
        <w:tc>
          <w:tcPr>
            <w:tcW w:w="3040" w:type="dxa"/>
            <w:vAlign w:val="center"/>
          </w:tcPr>
          <w:p>
            <w:pPr>
              <w:spacing w:line="240" w:lineRule="auto"/>
              <w:ind w:firstLine="0" w:firstLineChars="0"/>
              <w:jc w:val="center"/>
              <w:rPr>
                <w:color w:val="auto"/>
              </w:rPr>
            </w:pPr>
            <w:r>
              <w:rPr>
                <w:rFonts w:hint="eastAsia"/>
                <w:color w:val="auto"/>
                <w:sz w:val="21"/>
                <w:szCs w:val="21"/>
              </w:rPr>
              <w:t>日最大8小时平均</w:t>
            </w:r>
          </w:p>
        </w:tc>
        <w:tc>
          <w:tcPr>
            <w:tcW w:w="3182" w:type="dxa"/>
            <w:vAlign w:val="center"/>
          </w:tcPr>
          <w:p>
            <w:pPr>
              <w:spacing w:line="240" w:lineRule="auto"/>
              <w:ind w:firstLine="0" w:firstLineChars="0"/>
              <w:jc w:val="center"/>
              <w:rPr>
                <w:rFonts w:hint="eastAsia"/>
                <w:color w:val="auto"/>
              </w:rPr>
            </w:pPr>
            <w:r>
              <w:rPr>
                <w:rFonts w:hint="eastAsia"/>
                <w:color w:val="auto"/>
              </w:rPr>
              <w:t>＜</w:t>
            </w:r>
            <w:r>
              <w:rPr>
                <w:rFonts w:hint="eastAsia"/>
                <w:color w:val="auto"/>
                <w:sz w:val="21"/>
                <w:szCs w:val="21"/>
              </w:rPr>
              <w:t>200</w:t>
            </w:r>
            <w:r>
              <w:rPr>
                <w:rFonts w:hint="eastAsia"/>
                <w:color w:val="auto"/>
              </w:rPr>
              <w:t>μ</w:t>
            </w:r>
            <w:r>
              <w:rPr>
                <w:color w:val="auto"/>
              </w:rPr>
              <w:t>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65" w:type="dxa"/>
            <w:vMerge w:val="continue"/>
            <w:vAlign w:val="center"/>
          </w:tcPr>
          <w:p>
            <w:pPr>
              <w:pStyle w:val="33"/>
              <w:spacing w:line="240" w:lineRule="auto"/>
              <w:rPr>
                <w:color w:val="auto"/>
              </w:rPr>
            </w:pPr>
          </w:p>
        </w:tc>
        <w:tc>
          <w:tcPr>
            <w:tcW w:w="3040" w:type="dxa"/>
            <w:vAlign w:val="center"/>
          </w:tcPr>
          <w:p>
            <w:pPr>
              <w:spacing w:line="240" w:lineRule="auto"/>
              <w:ind w:firstLine="0" w:firstLineChars="0"/>
              <w:jc w:val="center"/>
              <w:rPr>
                <w:color w:val="auto"/>
              </w:rPr>
            </w:pPr>
            <w:r>
              <w:rPr>
                <w:rFonts w:hint="eastAsia"/>
                <w:color w:val="auto"/>
                <w:sz w:val="21"/>
                <w:szCs w:val="21"/>
              </w:rPr>
              <w:t>小时平均</w:t>
            </w:r>
          </w:p>
        </w:tc>
        <w:tc>
          <w:tcPr>
            <w:tcW w:w="3182" w:type="dxa"/>
            <w:vAlign w:val="center"/>
          </w:tcPr>
          <w:p>
            <w:pPr>
              <w:spacing w:line="240" w:lineRule="auto"/>
              <w:ind w:firstLine="0" w:firstLineChars="0"/>
              <w:jc w:val="center"/>
              <w:rPr>
                <w:rFonts w:hint="eastAsia"/>
                <w:color w:val="auto"/>
              </w:rPr>
            </w:pPr>
            <w:r>
              <w:rPr>
                <w:rFonts w:hint="eastAsia"/>
                <w:color w:val="auto"/>
              </w:rPr>
              <w:t>＜</w:t>
            </w:r>
            <w:r>
              <w:rPr>
                <w:rFonts w:hint="eastAsia"/>
                <w:color w:val="auto"/>
                <w:sz w:val="21"/>
                <w:szCs w:val="21"/>
              </w:rPr>
              <w:t>70</w:t>
            </w:r>
            <w:r>
              <w:rPr>
                <w:rFonts w:hint="eastAsia"/>
                <w:color w:val="auto"/>
              </w:rPr>
              <w:t>μ</w:t>
            </w:r>
            <w:r>
              <w:rPr>
                <w:color w:val="auto"/>
              </w:rPr>
              <w:t>g/m</w:t>
            </w:r>
            <w:r>
              <w:rPr>
                <w:color w:val="auto"/>
                <w:vertAlign w:val="superscript"/>
              </w:rPr>
              <w:t>3</w:t>
            </w:r>
          </w:p>
        </w:tc>
      </w:tr>
    </w:tbl>
    <w:p>
      <w:pPr>
        <w:spacing w:line="360" w:lineRule="auto"/>
        <w:jc w:val="center"/>
        <w:rPr>
          <w:b/>
          <w:color w:val="auto"/>
          <w:sz w:val="24"/>
        </w:rPr>
      </w:pPr>
      <w:r>
        <w:rPr>
          <w:rFonts w:hint="eastAsia"/>
          <w:b/>
          <w:color w:val="auto"/>
          <w:sz w:val="24"/>
        </w:rPr>
        <w:t>表</w:t>
      </w:r>
      <w:r>
        <w:rPr>
          <w:rFonts w:hint="eastAsia"/>
          <w:b/>
          <w:color w:val="auto"/>
          <w:sz w:val="24"/>
          <w:lang w:val="en-US" w:eastAsia="zh-CN"/>
        </w:rPr>
        <w:t>1.3-3</w:t>
      </w:r>
      <w:r>
        <w:rPr>
          <w:b/>
          <w:color w:val="auto"/>
          <w:sz w:val="24"/>
        </w:rPr>
        <w:t xml:space="preserve">  </w:t>
      </w:r>
      <w:r>
        <w:rPr>
          <w:rFonts w:hint="eastAsia"/>
          <w:b/>
          <w:color w:val="auto"/>
          <w:sz w:val="24"/>
        </w:rPr>
        <w:t>大气特征污染物环境控制标准</w:t>
      </w:r>
      <w:r>
        <w:rPr>
          <w:b/>
          <w:color w:val="auto"/>
          <w:sz w:val="24"/>
        </w:rPr>
        <w:t xml:space="preserve">      </w:t>
      </w:r>
    </w:p>
    <w:tbl>
      <w:tblPr>
        <w:tblStyle w:val="22"/>
        <w:tblW w:w="928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1594"/>
        <w:gridCol w:w="1689"/>
        <w:gridCol w:w="1815"/>
        <w:gridCol w:w="33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jc w:val="center"/>
        </w:trPr>
        <w:tc>
          <w:tcPr>
            <w:tcW w:w="800" w:type="dxa"/>
            <w:tcBorders>
              <w:tl2br w:val="nil"/>
              <w:tr2bl w:val="nil"/>
            </w:tcBorders>
            <w:vAlign w:val="center"/>
          </w:tcPr>
          <w:p>
            <w:pPr>
              <w:widowControl/>
              <w:autoSpaceDE w:val="0"/>
              <w:autoSpaceDN w:val="0"/>
              <w:snapToGrid w:val="0"/>
              <w:jc w:val="center"/>
              <w:textAlignment w:val="bottom"/>
              <w:rPr>
                <w:bCs/>
                <w:color w:val="auto"/>
              </w:rPr>
            </w:pPr>
            <w:r>
              <w:rPr>
                <w:rFonts w:hint="eastAsia"/>
                <w:bCs/>
                <w:color w:val="auto"/>
              </w:rPr>
              <w:t>序号</w:t>
            </w:r>
          </w:p>
        </w:tc>
        <w:tc>
          <w:tcPr>
            <w:tcW w:w="1594" w:type="dxa"/>
            <w:tcBorders>
              <w:tl2br w:val="nil"/>
              <w:tr2bl w:val="nil"/>
            </w:tcBorders>
            <w:vAlign w:val="center"/>
          </w:tcPr>
          <w:p>
            <w:pPr>
              <w:widowControl/>
              <w:autoSpaceDE w:val="0"/>
              <w:autoSpaceDN w:val="0"/>
              <w:snapToGrid w:val="0"/>
              <w:jc w:val="center"/>
              <w:textAlignment w:val="bottom"/>
              <w:rPr>
                <w:bCs/>
                <w:color w:val="auto"/>
              </w:rPr>
            </w:pPr>
            <w:r>
              <w:rPr>
                <w:rFonts w:hint="eastAsia"/>
                <w:bCs/>
                <w:color w:val="auto"/>
              </w:rPr>
              <w:t>污染物名称</w:t>
            </w:r>
          </w:p>
        </w:tc>
        <w:tc>
          <w:tcPr>
            <w:tcW w:w="1689" w:type="dxa"/>
            <w:tcBorders>
              <w:tl2br w:val="nil"/>
              <w:tr2bl w:val="nil"/>
            </w:tcBorders>
            <w:vAlign w:val="center"/>
          </w:tcPr>
          <w:p>
            <w:pPr>
              <w:widowControl/>
              <w:autoSpaceDE w:val="0"/>
              <w:autoSpaceDN w:val="0"/>
              <w:snapToGrid w:val="0"/>
              <w:jc w:val="center"/>
              <w:textAlignment w:val="bottom"/>
              <w:rPr>
                <w:bCs/>
                <w:color w:val="auto"/>
              </w:rPr>
            </w:pPr>
            <w:r>
              <w:rPr>
                <w:rFonts w:hint="eastAsia"/>
                <w:bCs/>
                <w:color w:val="auto"/>
              </w:rPr>
              <w:t>取值时间</w:t>
            </w:r>
          </w:p>
        </w:tc>
        <w:tc>
          <w:tcPr>
            <w:tcW w:w="1815" w:type="dxa"/>
            <w:tcBorders>
              <w:tl2br w:val="nil"/>
              <w:tr2bl w:val="nil"/>
            </w:tcBorders>
            <w:vAlign w:val="center"/>
          </w:tcPr>
          <w:p>
            <w:pPr>
              <w:autoSpaceDE w:val="0"/>
              <w:autoSpaceDN w:val="0"/>
              <w:snapToGrid w:val="0"/>
              <w:jc w:val="center"/>
              <w:textAlignment w:val="bottom"/>
              <w:rPr>
                <w:bCs/>
                <w:color w:val="auto"/>
              </w:rPr>
            </w:pPr>
            <w:r>
              <w:rPr>
                <w:rFonts w:hint="eastAsia"/>
                <w:bCs/>
                <w:color w:val="auto"/>
              </w:rPr>
              <w:t>二级标准</w:t>
            </w:r>
          </w:p>
        </w:tc>
        <w:tc>
          <w:tcPr>
            <w:tcW w:w="3388" w:type="dxa"/>
            <w:tcBorders>
              <w:tl2br w:val="nil"/>
              <w:tr2bl w:val="nil"/>
            </w:tcBorders>
            <w:vAlign w:val="center"/>
          </w:tcPr>
          <w:p>
            <w:pPr>
              <w:widowControl/>
              <w:autoSpaceDE w:val="0"/>
              <w:autoSpaceDN w:val="0"/>
              <w:snapToGrid w:val="0"/>
              <w:jc w:val="center"/>
              <w:textAlignment w:val="bottom"/>
              <w:rPr>
                <w:bCs/>
                <w:color w:val="auto"/>
              </w:rPr>
            </w:pPr>
            <w:r>
              <w:rPr>
                <w:rFonts w:hint="eastAsia"/>
                <w:bCs/>
                <w:color w:val="auto"/>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vMerge w:val="restart"/>
            <w:tcBorders>
              <w:tl2br w:val="nil"/>
              <w:tr2bl w:val="nil"/>
            </w:tcBorders>
            <w:vAlign w:val="center"/>
          </w:tcPr>
          <w:p>
            <w:pPr>
              <w:widowControl/>
              <w:autoSpaceDE w:val="0"/>
              <w:autoSpaceDN w:val="0"/>
              <w:snapToGrid w:val="0"/>
              <w:jc w:val="center"/>
              <w:textAlignment w:val="bottom"/>
              <w:rPr>
                <w:color w:val="auto"/>
              </w:rPr>
            </w:pPr>
            <w:r>
              <w:rPr>
                <w:color w:val="auto"/>
              </w:rPr>
              <w:t>1</w:t>
            </w:r>
          </w:p>
        </w:tc>
        <w:tc>
          <w:tcPr>
            <w:tcW w:w="1594" w:type="dxa"/>
            <w:vMerge w:val="restart"/>
            <w:tcBorders>
              <w:tl2br w:val="nil"/>
              <w:tr2bl w:val="nil"/>
            </w:tcBorders>
            <w:vAlign w:val="center"/>
          </w:tcPr>
          <w:p>
            <w:pPr>
              <w:widowControl/>
              <w:autoSpaceDN w:val="0"/>
              <w:snapToGrid w:val="0"/>
              <w:spacing w:line="440" w:lineRule="exact"/>
              <w:jc w:val="center"/>
              <w:rPr>
                <w:color w:val="auto"/>
              </w:rPr>
            </w:pPr>
            <w:r>
              <w:rPr>
                <w:rFonts w:hint="eastAsia"/>
                <w:color w:val="auto"/>
              </w:rPr>
              <w:t>硫酸雾</w:t>
            </w:r>
            <w:r>
              <w:rPr>
                <w:color w:val="auto"/>
              </w:rPr>
              <w:t>(μg/m</w:t>
            </w:r>
            <w:r>
              <w:rPr>
                <w:color w:val="auto"/>
                <w:vertAlign w:val="superscript"/>
              </w:rPr>
              <w:t>3</w:t>
            </w:r>
            <w:r>
              <w:rPr>
                <w:color w:val="auto"/>
              </w:rPr>
              <w:t>)</w:t>
            </w:r>
          </w:p>
        </w:tc>
        <w:tc>
          <w:tcPr>
            <w:tcW w:w="1689" w:type="dxa"/>
            <w:tcBorders>
              <w:tl2br w:val="nil"/>
              <w:tr2bl w:val="nil"/>
            </w:tcBorders>
            <w:vAlign w:val="center"/>
          </w:tcPr>
          <w:p>
            <w:pPr>
              <w:autoSpaceDN w:val="0"/>
              <w:snapToGrid w:val="0"/>
              <w:jc w:val="center"/>
              <w:rPr>
                <w:color w:val="auto"/>
              </w:rPr>
            </w:pPr>
            <w:r>
              <w:rPr>
                <w:rFonts w:hint="eastAsia"/>
                <w:color w:val="auto"/>
              </w:rPr>
              <w:t>日平均</w:t>
            </w:r>
          </w:p>
        </w:tc>
        <w:tc>
          <w:tcPr>
            <w:tcW w:w="1815" w:type="dxa"/>
            <w:tcBorders>
              <w:tl2br w:val="nil"/>
              <w:tr2bl w:val="nil"/>
            </w:tcBorders>
            <w:vAlign w:val="center"/>
          </w:tcPr>
          <w:p>
            <w:pPr>
              <w:autoSpaceDN w:val="0"/>
              <w:snapToGrid w:val="0"/>
              <w:jc w:val="center"/>
              <w:rPr>
                <w:color w:val="auto"/>
              </w:rPr>
            </w:pPr>
            <w:r>
              <w:rPr>
                <w:color w:val="auto"/>
              </w:rPr>
              <w:t>100</w:t>
            </w:r>
          </w:p>
        </w:tc>
        <w:tc>
          <w:tcPr>
            <w:tcW w:w="3388" w:type="dxa"/>
            <w:vMerge w:val="restart"/>
            <w:tcBorders>
              <w:tl2br w:val="nil"/>
              <w:tr2bl w:val="nil"/>
            </w:tcBorders>
            <w:vAlign w:val="center"/>
          </w:tcPr>
          <w:p>
            <w:pPr>
              <w:autoSpaceDN w:val="0"/>
              <w:rPr>
                <w:color w:val="auto"/>
              </w:rPr>
            </w:pPr>
            <w:r>
              <w:rPr>
                <w:rFonts w:hint="eastAsia"/>
                <w:color w:val="auto"/>
              </w:rPr>
              <w:t>《环境影响评价技术导则</w:t>
            </w:r>
            <w:r>
              <w:rPr>
                <w:color w:val="auto"/>
              </w:rPr>
              <w:t xml:space="preserve">  </w:t>
            </w:r>
            <w:r>
              <w:rPr>
                <w:rFonts w:hint="eastAsia"/>
                <w:color w:val="auto"/>
              </w:rPr>
              <w:t>大气环境》（</w:t>
            </w:r>
            <w:r>
              <w:rPr>
                <w:color w:val="auto"/>
              </w:rPr>
              <w:t>HJ 2.2-2018</w:t>
            </w:r>
            <w:r>
              <w:rPr>
                <w:rFonts w:hint="eastAsia"/>
                <w:color w:val="auto"/>
              </w:rPr>
              <w:t>）附录</w:t>
            </w:r>
            <w:r>
              <w:rPr>
                <w:color w:val="auto"/>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vMerge w:val="continue"/>
            <w:tcBorders>
              <w:tl2br w:val="nil"/>
              <w:tr2bl w:val="nil"/>
            </w:tcBorders>
            <w:vAlign w:val="center"/>
          </w:tcPr>
          <w:p>
            <w:pPr>
              <w:widowControl/>
              <w:jc w:val="left"/>
              <w:rPr>
                <w:color w:val="auto"/>
              </w:rPr>
            </w:pPr>
          </w:p>
        </w:tc>
        <w:tc>
          <w:tcPr>
            <w:tcW w:w="1594" w:type="dxa"/>
            <w:vMerge w:val="continue"/>
            <w:tcBorders>
              <w:tl2br w:val="nil"/>
              <w:tr2bl w:val="nil"/>
            </w:tcBorders>
            <w:vAlign w:val="center"/>
          </w:tcPr>
          <w:p>
            <w:pPr>
              <w:widowControl/>
              <w:jc w:val="left"/>
              <w:rPr>
                <w:color w:val="auto"/>
              </w:rPr>
            </w:pPr>
          </w:p>
        </w:tc>
        <w:tc>
          <w:tcPr>
            <w:tcW w:w="1689" w:type="dxa"/>
            <w:tcBorders>
              <w:tl2br w:val="nil"/>
              <w:tr2bl w:val="nil"/>
            </w:tcBorders>
            <w:vAlign w:val="center"/>
          </w:tcPr>
          <w:p>
            <w:pPr>
              <w:autoSpaceDN w:val="0"/>
              <w:snapToGrid w:val="0"/>
              <w:jc w:val="center"/>
              <w:rPr>
                <w:color w:val="auto"/>
              </w:rPr>
            </w:pPr>
            <w:r>
              <w:rPr>
                <w:rFonts w:hint="eastAsia"/>
                <w:color w:val="auto"/>
              </w:rPr>
              <w:t>1h平均</w:t>
            </w:r>
          </w:p>
        </w:tc>
        <w:tc>
          <w:tcPr>
            <w:tcW w:w="1815" w:type="dxa"/>
            <w:tcBorders>
              <w:tl2br w:val="nil"/>
              <w:tr2bl w:val="nil"/>
            </w:tcBorders>
            <w:vAlign w:val="center"/>
          </w:tcPr>
          <w:p>
            <w:pPr>
              <w:autoSpaceDN w:val="0"/>
              <w:snapToGrid w:val="0"/>
              <w:jc w:val="center"/>
              <w:rPr>
                <w:color w:val="auto"/>
              </w:rPr>
            </w:pPr>
            <w:r>
              <w:rPr>
                <w:color w:val="auto"/>
              </w:rPr>
              <w:t>300</w:t>
            </w:r>
          </w:p>
        </w:tc>
        <w:tc>
          <w:tcPr>
            <w:tcW w:w="3388" w:type="dxa"/>
            <w:vMerge w:val="continue"/>
            <w:tcBorders>
              <w:tl2br w:val="nil"/>
              <w:tr2bl w:val="nil"/>
            </w:tcBorders>
            <w:vAlign w:val="center"/>
          </w:tcPr>
          <w:p>
            <w:pPr>
              <w:widowControl/>
              <w:jc w:val="left"/>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vMerge w:val="restart"/>
            <w:tcBorders>
              <w:tl2br w:val="nil"/>
              <w:tr2bl w:val="nil"/>
            </w:tcBorders>
            <w:vAlign w:val="center"/>
          </w:tcPr>
          <w:p>
            <w:pPr>
              <w:widowControl/>
              <w:jc w:val="center"/>
              <w:rPr>
                <w:color w:val="auto"/>
              </w:rPr>
            </w:pPr>
            <w:r>
              <w:rPr>
                <w:rFonts w:hint="eastAsia"/>
                <w:color w:val="auto"/>
              </w:rPr>
              <w:t>2</w:t>
            </w:r>
          </w:p>
        </w:tc>
        <w:tc>
          <w:tcPr>
            <w:tcW w:w="1594" w:type="dxa"/>
            <w:vMerge w:val="restart"/>
            <w:tcBorders>
              <w:tl2br w:val="nil"/>
              <w:tr2bl w:val="nil"/>
            </w:tcBorders>
            <w:vAlign w:val="center"/>
          </w:tcPr>
          <w:p>
            <w:pPr>
              <w:widowControl/>
              <w:jc w:val="center"/>
              <w:rPr>
                <w:color w:val="auto"/>
              </w:rPr>
            </w:pPr>
            <w:r>
              <w:rPr>
                <w:rFonts w:hint="eastAsia"/>
                <w:color w:val="auto"/>
              </w:rPr>
              <w:t>氯化氢</w:t>
            </w:r>
            <w:r>
              <w:rPr>
                <w:color w:val="auto"/>
              </w:rPr>
              <w:t>(μg/m</w:t>
            </w:r>
            <w:r>
              <w:rPr>
                <w:color w:val="auto"/>
                <w:vertAlign w:val="superscript"/>
              </w:rPr>
              <w:t>3</w:t>
            </w:r>
            <w:r>
              <w:rPr>
                <w:color w:val="auto"/>
              </w:rPr>
              <w:t>)</w:t>
            </w:r>
          </w:p>
        </w:tc>
        <w:tc>
          <w:tcPr>
            <w:tcW w:w="1689" w:type="dxa"/>
            <w:tcBorders>
              <w:tl2br w:val="nil"/>
              <w:tr2bl w:val="nil"/>
            </w:tcBorders>
            <w:vAlign w:val="center"/>
          </w:tcPr>
          <w:p>
            <w:pPr>
              <w:autoSpaceDN w:val="0"/>
              <w:snapToGrid w:val="0"/>
              <w:jc w:val="center"/>
              <w:rPr>
                <w:color w:val="auto"/>
              </w:rPr>
            </w:pPr>
            <w:r>
              <w:rPr>
                <w:rFonts w:hint="eastAsia"/>
                <w:color w:val="auto"/>
              </w:rPr>
              <w:t>日平均</w:t>
            </w:r>
          </w:p>
        </w:tc>
        <w:tc>
          <w:tcPr>
            <w:tcW w:w="1815" w:type="dxa"/>
            <w:tcBorders>
              <w:tl2br w:val="nil"/>
              <w:tr2bl w:val="nil"/>
            </w:tcBorders>
            <w:vAlign w:val="center"/>
          </w:tcPr>
          <w:p>
            <w:pPr>
              <w:autoSpaceDN w:val="0"/>
              <w:snapToGrid w:val="0"/>
              <w:jc w:val="center"/>
              <w:rPr>
                <w:color w:val="auto"/>
              </w:rPr>
            </w:pPr>
            <w:r>
              <w:rPr>
                <w:rFonts w:hint="eastAsia"/>
                <w:color w:val="auto"/>
              </w:rPr>
              <w:t>15</w:t>
            </w:r>
          </w:p>
        </w:tc>
        <w:tc>
          <w:tcPr>
            <w:tcW w:w="3388" w:type="dxa"/>
            <w:vMerge w:val="continue"/>
            <w:tcBorders>
              <w:tl2br w:val="nil"/>
              <w:tr2bl w:val="nil"/>
            </w:tcBorders>
            <w:vAlign w:val="center"/>
          </w:tcPr>
          <w:p>
            <w:pPr>
              <w:widowControl/>
              <w:jc w:val="center"/>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vMerge w:val="continue"/>
            <w:tcBorders>
              <w:tl2br w:val="nil"/>
              <w:tr2bl w:val="nil"/>
            </w:tcBorders>
            <w:vAlign w:val="center"/>
          </w:tcPr>
          <w:p>
            <w:pPr>
              <w:widowControl/>
              <w:jc w:val="left"/>
              <w:rPr>
                <w:color w:val="auto"/>
              </w:rPr>
            </w:pPr>
          </w:p>
        </w:tc>
        <w:tc>
          <w:tcPr>
            <w:tcW w:w="1594" w:type="dxa"/>
            <w:vMerge w:val="continue"/>
            <w:tcBorders>
              <w:tl2br w:val="nil"/>
              <w:tr2bl w:val="nil"/>
            </w:tcBorders>
            <w:vAlign w:val="center"/>
          </w:tcPr>
          <w:p>
            <w:pPr>
              <w:widowControl/>
              <w:jc w:val="left"/>
              <w:rPr>
                <w:color w:val="auto"/>
              </w:rPr>
            </w:pPr>
          </w:p>
        </w:tc>
        <w:tc>
          <w:tcPr>
            <w:tcW w:w="1689" w:type="dxa"/>
            <w:tcBorders>
              <w:tl2br w:val="nil"/>
              <w:tr2bl w:val="nil"/>
            </w:tcBorders>
            <w:vAlign w:val="center"/>
          </w:tcPr>
          <w:p>
            <w:pPr>
              <w:autoSpaceDN w:val="0"/>
              <w:snapToGrid w:val="0"/>
              <w:jc w:val="center"/>
              <w:rPr>
                <w:color w:val="auto"/>
              </w:rPr>
            </w:pPr>
            <w:r>
              <w:rPr>
                <w:rFonts w:hint="eastAsia"/>
                <w:color w:val="auto"/>
              </w:rPr>
              <w:t>1h平均</w:t>
            </w:r>
          </w:p>
        </w:tc>
        <w:tc>
          <w:tcPr>
            <w:tcW w:w="1815" w:type="dxa"/>
            <w:tcBorders>
              <w:tl2br w:val="nil"/>
              <w:tr2bl w:val="nil"/>
            </w:tcBorders>
            <w:vAlign w:val="center"/>
          </w:tcPr>
          <w:p>
            <w:pPr>
              <w:autoSpaceDN w:val="0"/>
              <w:snapToGrid w:val="0"/>
              <w:jc w:val="center"/>
              <w:rPr>
                <w:color w:val="auto"/>
              </w:rPr>
            </w:pPr>
            <w:r>
              <w:rPr>
                <w:rFonts w:hint="eastAsia"/>
                <w:color w:val="auto"/>
              </w:rPr>
              <w:t>50</w:t>
            </w:r>
          </w:p>
        </w:tc>
        <w:tc>
          <w:tcPr>
            <w:tcW w:w="3388" w:type="dxa"/>
            <w:vMerge w:val="continue"/>
            <w:tcBorders>
              <w:tl2br w:val="nil"/>
              <w:tr2bl w:val="nil"/>
            </w:tcBorders>
            <w:vAlign w:val="center"/>
          </w:tcPr>
          <w:p>
            <w:pPr>
              <w:widowControl/>
              <w:jc w:val="left"/>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vMerge w:val="restart"/>
            <w:tcBorders>
              <w:tl2br w:val="nil"/>
              <w:tr2bl w:val="nil"/>
            </w:tcBorders>
            <w:vAlign w:val="center"/>
          </w:tcPr>
          <w:p>
            <w:pPr>
              <w:widowControl/>
              <w:jc w:val="center"/>
              <w:rPr>
                <w:color w:val="auto"/>
              </w:rPr>
            </w:pPr>
            <w:r>
              <w:rPr>
                <w:rFonts w:hint="eastAsia"/>
                <w:color w:val="auto"/>
              </w:rPr>
              <w:t>3</w:t>
            </w:r>
          </w:p>
        </w:tc>
        <w:tc>
          <w:tcPr>
            <w:tcW w:w="1594" w:type="dxa"/>
            <w:vMerge w:val="restart"/>
            <w:tcBorders>
              <w:tl2br w:val="nil"/>
              <w:tr2bl w:val="nil"/>
            </w:tcBorders>
            <w:vAlign w:val="center"/>
          </w:tcPr>
          <w:p>
            <w:pPr>
              <w:pStyle w:val="33"/>
              <w:spacing w:line="240" w:lineRule="auto"/>
              <w:rPr>
                <w:color w:val="auto"/>
              </w:rPr>
            </w:pPr>
            <w:r>
              <w:rPr>
                <w:rFonts w:hint="eastAsia" w:ascii="Times New Roman" w:hAnsi="Times New Roman" w:cs="Times New Roman"/>
                <w:color w:val="auto"/>
                <w:sz w:val="21"/>
                <w:szCs w:val="21"/>
              </w:rPr>
              <w:t>氟化物</w:t>
            </w:r>
            <w:r>
              <w:rPr>
                <w:rFonts w:ascii="Times New Roman" w:hAnsi="Times New Roman" w:cs="Times New Roman"/>
                <w:color w:val="auto"/>
                <w:kern w:val="2"/>
                <w:sz w:val="21"/>
              </w:rPr>
              <w:t>(μg/m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rPr>
              <w:t>)</w:t>
            </w:r>
          </w:p>
        </w:tc>
        <w:tc>
          <w:tcPr>
            <w:tcW w:w="1689" w:type="dxa"/>
            <w:tcBorders>
              <w:tl2br w:val="nil"/>
              <w:tr2bl w:val="nil"/>
            </w:tcBorders>
            <w:vAlign w:val="center"/>
          </w:tcPr>
          <w:p>
            <w:pPr>
              <w:pStyle w:val="33"/>
              <w:spacing w:line="260" w:lineRule="exact"/>
              <w:rPr>
                <w:color w:val="auto"/>
              </w:rPr>
            </w:pPr>
            <w:r>
              <w:rPr>
                <w:rFonts w:ascii="Times New Roman" w:hAnsi="Times New Roman" w:cs="Times New Roman"/>
                <w:color w:val="auto"/>
                <w:sz w:val="21"/>
                <w:szCs w:val="21"/>
              </w:rPr>
              <w:t>日平均</w:t>
            </w:r>
          </w:p>
        </w:tc>
        <w:tc>
          <w:tcPr>
            <w:tcW w:w="1815" w:type="dxa"/>
            <w:tcBorders>
              <w:tl2br w:val="nil"/>
              <w:tr2bl w:val="nil"/>
            </w:tcBorders>
            <w:vAlign w:val="center"/>
          </w:tcPr>
          <w:p>
            <w:pPr>
              <w:pStyle w:val="33"/>
              <w:spacing w:line="240" w:lineRule="auto"/>
              <w:rPr>
                <w:color w:val="auto"/>
              </w:rPr>
            </w:pPr>
            <w:r>
              <w:rPr>
                <w:rFonts w:ascii="Times New Roman" w:hAnsi="Times New Roman" w:cs="Times New Roman"/>
                <w:color w:val="auto"/>
                <w:sz w:val="21"/>
                <w:szCs w:val="21"/>
              </w:rPr>
              <w:t>7</w:t>
            </w:r>
          </w:p>
        </w:tc>
        <w:tc>
          <w:tcPr>
            <w:tcW w:w="3388" w:type="dxa"/>
            <w:vMerge w:val="restart"/>
            <w:tcBorders>
              <w:tl2br w:val="nil"/>
              <w:tr2bl w:val="nil"/>
            </w:tcBorders>
            <w:vAlign w:val="center"/>
          </w:tcPr>
          <w:p>
            <w:pPr>
              <w:widowControl/>
              <w:jc w:val="center"/>
              <w:rPr>
                <w:color w:val="auto"/>
              </w:rPr>
            </w:pPr>
            <w:r>
              <w:rPr>
                <w:rFonts w:hint="eastAsia"/>
                <w:color w:val="auto"/>
              </w:rPr>
              <w:t>《环境空气质量标准》（</w:t>
            </w:r>
            <w:r>
              <w:rPr>
                <w:color w:val="auto"/>
              </w:rPr>
              <w:t>GB3095-2012</w:t>
            </w: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vMerge w:val="continue"/>
            <w:tcBorders>
              <w:tl2br w:val="nil"/>
              <w:tr2bl w:val="nil"/>
            </w:tcBorders>
            <w:vAlign w:val="center"/>
          </w:tcPr>
          <w:p>
            <w:pPr>
              <w:widowControl/>
              <w:jc w:val="left"/>
              <w:rPr>
                <w:color w:val="auto"/>
              </w:rPr>
            </w:pPr>
          </w:p>
        </w:tc>
        <w:tc>
          <w:tcPr>
            <w:tcW w:w="1594" w:type="dxa"/>
            <w:vMerge w:val="continue"/>
            <w:tcBorders>
              <w:tl2br w:val="nil"/>
              <w:tr2bl w:val="nil"/>
            </w:tcBorders>
            <w:vAlign w:val="center"/>
          </w:tcPr>
          <w:p>
            <w:pPr>
              <w:pStyle w:val="33"/>
              <w:spacing w:line="240" w:lineRule="auto"/>
              <w:rPr>
                <w:color w:val="auto"/>
              </w:rPr>
            </w:pPr>
          </w:p>
        </w:tc>
        <w:tc>
          <w:tcPr>
            <w:tcW w:w="1689" w:type="dxa"/>
            <w:tcBorders>
              <w:tl2br w:val="nil"/>
              <w:tr2bl w:val="nil"/>
            </w:tcBorders>
            <w:vAlign w:val="center"/>
          </w:tcPr>
          <w:p>
            <w:pPr>
              <w:pStyle w:val="33"/>
              <w:spacing w:line="260" w:lineRule="exact"/>
              <w:rPr>
                <w:color w:val="auto"/>
              </w:rPr>
            </w:pPr>
            <w:r>
              <w:rPr>
                <w:rFonts w:hint="eastAsia" w:ascii="Times New Roman" w:hAnsi="Times New Roman" w:cs="Times New Roman"/>
                <w:color w:val="auto"/>
                <w:sz w:val="21"/>
                <w:szCs w:val="21"/>
              </w:rPr>
              <w:t>1h平均</w:t>
            </w:r>
          </w:p>
        </w:tc>
        <w:tc>
          <w:tcPr>
            <w:tcW w:w="1815" w:type="dxa"/>
            <w:tcBorders>
              <w:tl2br w:val="nil"/>
              <w:tr2bl w:val="nil"/>
            </w:tcBorders>
            <w:vAlign w:val="center"/>
          </w:tcPr>
          <w:p>
            <w:pPr>
              <w:pStyle w:val="33"/>
              <w:spacing w:line="240" w:lineRule="auto"/>
              <w:rPr>
                <w:color w:val="auto"/>
              </w:rPr>
            </w:pPr>
            <w:r>
              <w:rPr>
                <w:rFonts w:ascii="Times New Roman" w:hAnsi="Times New Roman" w:cs="Times New Roman"/>
                <w:color w:val="auto"/>
                <w:sz w:val="21"/>
                <w:szCs w:val="21"/>
              </w:rPr>
              <w:t>20</w:t>
            </w:r>
          </w:p>
        </w:tc>
        <w:tc>
          <w:tcPr>
            <w:tcW w:w="3388" w:type="dxa"/>
            <w:vMerge w:val="continue"/>
            <w:tcBorders>
              <w:tl2br w:val="nil"/>
              <w:tr2bl w:val="nil"/>
            </w:tcBorders>
            <w:vAlign w:val="center"/>
          </w:tcPr>
          <w:p>
            <w:pPr>
              <w:widowControl/>
              <w:jc w:val="left"/>
              <w:rPr>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tcBorders>
              <w:tl2br w:val="nil"/>
              <w:tr2bl w:val="nil"/>
            </w:tcBorders>
            <w:vAlign w:val="center"/>
          </w:tcPr>
          <w:p>
            <w:pPr>
              <w:widowControl/>
              <w:jc w:val="center"/>
              <w:rPr>
                <w:color w:val="auto"/>
              </w:rPr>
            </w:pPr>
            <w:r>
              <w:rPr>
                <w:rFonts w:hint="eastAsia"/>
                <w:color w:val="auto"/>
              </w:rPr>
              <w:t>4</w:t>
            </w:r>
          </w:p>
        </w:tc>
        <w:tc>
          <w:tcPr>
            <w:tcW w:w="1594" w:type="dxa"/>
            <w:tcBorders>
              <w:tl2br w:val="nil"/>
              <w:tr2bl w:val="nil"/>
            </w:tcBorders>
            <w:vAlign w:val="center"/>
          </w:tcPr>
          <w:p>
            <w:pPr>
              <w:pStyle w:val="33"/>
              <w:spacing w:line="240" w:lineRule="auto"/>
              <w:rPr>
                <w:color w:val="auto"/>
              </w:rPr>
            </w:pPr>
            <w:r>
              <w:rPr>
                <w:rFonts w:hint="eastAsia" w:ascii="Times New Roman" w:hAnsi="Times New Roman" w:cs="Times New Roman"/>
                <w:color w:val="auto"/>
                <w:sz w:val="21"/>
                <w:szCs w:val="21"/>
              </w:rPr>
              <w:t>铬酸雾</w:t>
            </w:r>
            <w:r>
              <w:rPr>
                <w:rFonts w:ascii="Times New Roman" w:hAnsi="Times New Roman" w:cs="Times New Roman"/>
                <w:color w:val="auto"/>
                <w:kern w:val="2"/>
                <w:sz w:val="21"/>
              </w:rPr>
              <w:t>(μg/m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rPr>
              <w:t>)</w:t>
            </w:r>
          </w:p>
        </w:tc>
        <w:tc>
          <w:tcPr>
            <w:tcW w:w="1689" w:type="dxa"/>
            <w:tcBorders>
              <w:tl2br w:val="nil"/>
              <w:tr2bl w:val="nil"/>
            </w:tcBorders>
            <w:vAlign w:val="center"/>
          </w:tcPr>
          <w:p>
            <w:pPr>
              <w:pStyle w:val="33"/>
              <w:spacing w:line="260" w:lineRule="exact"/>
              <w:rPr>
                <w:rFonts w:ascii="Times New Roman" w:hAnsi="Times New Roman" w:cs="Times New Roman"/>
                <w:color w:val="auto"/>
                <w:sz w:val="21"/>
                <w:szCs w:val="21"/>
              </w:rPr>
            </w:pPr>
            <w:r>
              <w:rPr>
                <w:rFonts w:hint="eastAsia" w:ascii="Times New Roman" w:hAnsi="Times New Roman" w:cs="Times New Roman"/>
                <w:color w:val="auto"/>
                <w:sz w:val="21"/>
                <w:szCs w:val="21"/>
              </w:rPr>
              <w:t>一次</w:t>
            </w:r>
          </w:p>
        </w:tc>
        <w:tc>
          <w:tcPr>
            <w:tcW w:w="1815" w:type="dxa"/>
            <w:tcBorders>
              <w:tl2br w:val="nil"/>
              <w:tr2bl w:val="nil"/>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1.5</w:t>
            </w:r>
          </w:p>
        </w:tc>
        <w:tc>
          <w:tcPr>
            <w:tcW w:w="3388" w:type="dxa"/>
            <w:tcBorders>
              <w:tl2br w:val="nil"/>
              <w:tr2bl w:val="nil"/>
            </w:tcBorders>
            <w:vAlign w:val="center"/>
          </w:tcPr>
          <w:p>
            <w:pPr>
              <w:widowControl/>
              <w:jc w:val="center"/>
              <w:rPr>
                <w:color w:val="auto"/>
              </w:rPr>
            </w:pPr>
            <w:r>
              <w:rPr>
                <w:rFonts w:ascii="宋体" w:hAnsi="宋体"/>
                <w:color w:val="auto"/>
              </w:rPr>
              <w:t>参</w:t>
            </w:r>
            <w:r>
              <w:rPr>
                <w:rFonts w:hAnsi="宋体"/>
                <w:color w:val="auto"/>
              </w:rPr>
              <w:t>考</w:t>
            </w:r>
            <w:r>
              <w:rPr>
                <w:rFonts w:hint="eastAsia" w:hAnsi="宋体"/>
                <w:color w:val="auto"/>
              </w:rPr>
              <w:t>原</w:t>
            </w:r>
            <w:r>
              <w:rPr>
                <w:rFonts w:hAnsi="宋体"/>
                <w:color w:val="auto"/>
              </w:rPr>
              <w:t>《</w:t>
            </w:r>
            <w:r>
              <w:rPr>
                <w:rFonts w:hAnsi="宋体"/>
                <w:bCs/>
                <w:color w:val="auto"/>
              </w:rPr>
              <w:t>工业企业设计卫生标准</w:t>
            </w:r>
            <w:r>
              <w:rPr>
                <w:rFonts w:hAnsi="宋体"/>
                <w:color w:val="auto"/>
              </w:rPr>
              <w:t>》（</w:t>
            </w:r>
            <w:r>
              <w:rPr>
                <w:color w:val="auto"/>
              </w:rPr>
              <w:t>TJ36-79</w:t>
            </w:r>
            <w:r>
              <w:rPr>
                <w:rFonts w:hAnsi="宋体"/>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00" w:type="dxa"/>
            <w:tcBorders>
              <w:tl2br w:val="nil"/>
              <w:tr2bl w:val="nil"/>
            </w:tcBorders>
            <w:vAlign w:val="center"/>
          </w:tcPr>
          <w:p>
            <w:pPr>
              <w:widowControl/>
              <w:jc w:val="center"/>
              <w:rPr>
                <w:color w:val="auto"/>
              </w:rPr>
            </w:pPr>
            <w:r>
              <w:rPr>
                <w:rFonts w:hint="eastAsia"/>
                <w:color w:val="auto"/>
              </w:rPr>
              <w:t>5</w:t>
            </w:r>
          </w:p>
        </w:tc>
        <w:tc>
          <w:tcPr>
            <w:tcW w:w="1594" w:type="dxa"/>
            <w:tcBorders>
              <w:tl2br w:val="nil"/>
              <w:tr2bl w:val="nil"/>
            </w:tcBorders>
            <w:vAlign w:val="center"/>
          </w:tcPr>
          <w:p>
            <w:pPr>
              <w:pStyle w:val="33"/>
              <w:spacing w:line="240" w:lineRule="auto"/>
              <w:rPr>
                <w:color w:val="auto"/>
              </w:rPr>
            </w:pPr>
            <w:r>
              <w:rPr>
                <w:rFonts w:hint="eastAsia" w:ascii="Times New Roman" w:hAnsi="Times New Roman" w:cs="Times New Roman"/>
                <w:color w:val="auto"/>
                <w:sz w:val="21"/>
                <w:szCs w:val="21"/>
              </w:rPr>
              <w:t>氰化氢</w:t>
            </w:r>
            <w:r>
              <w:rPr>
                <w:rFonts w:ascii="Times New Roman" w:hAnsi="Times New Roman" w:cs="Times New Roman"/>
                <w:color w:val="auto"/>
                <w:kern w:val="2"/>
                <w:sz w:val="21"/>
              </w:rPr>
              <w:t>(μg/m</w:t>
            </w:r>
            <w:r>
              <w:rPr>
                <w:rFonts w:ascii="Times New Roman" w:hAnsi="Times New Roman" w:cs="Times New Roman"/>
                <w:color w:val="auto"/>
                <w:kern w:val="2"/>
                <w:sz w:val="21"/>
                <w:vertAlign w:val="superscript"/>
              </w:rPr>
              <w:t>3</w:t>
            </w:r>
            <w:r>
              <w:rPr>
                <w:rFonts w:ascii="Times New Roman" w:hAnsi="Times New Roman" w:cs="Times New Roman"/>
                <w:color w:val="auto"/>
                <w:kern w:val="2"/>
                <w:sz w:val="21"/>
              </w:rPr>
              <w:t>)</w:t>
            </w:r>
          </w:p>
        </w:tc>
        <w:tc>
          <w:tcPr>
            <w:tcW w:w="1689" w:type="dxa"/>
            <w:tcBorders>
              <w:tl2br w:val="nil"/>
              <w:tr2bl w:val="nil"/>
            </w:tcBorders>
            <w:vAlign w:val="center"/>
          </w:tcPr>
          <w:p>
            <w:pPr>
              <w:pStyle w:val="33"/>
              <w:spacing w:line="260" w:lineRule="exact"/>
              <w:rPr>
                <w:rFonts w:ascii="Times New Roman" w:hAnsi="Times New Roman" w:cs="Times New Roman"/>
                <w:color w:val="auto"/>
                <w:sz w:val="21"/>
                <w:szCs w:val="21"/>
              </w:rPr>
            </w:pPr>
            <w:r>
              <w:rPr>
                <w:rFonts w:ascii="Times New Roman" w:hAnsi="Times New Roman" w:cs="Times New Roman"/>
                <w:color w:val="auto"/>
                <w:sz w:val="21"/>
                <w:szCs w:val="21"/>
              </w:rPr>
              <w:t>日平均</w:t>
            </w:r>
          </w:p>
        </w:tc>
        <w:tc>
          <w:tcPr>
            <w:tcW w:w="1815" w:type="dxa"/>
            <w:tcBorders>
              <w:tl2br w:val="nil"/>
              <w:tr2bl w:val="nil"/>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10</w:t>
            </w:r>
          </w:p>
        </w:tc>
        <w:tc>
          <w:tcPr>
            <w:tcW w:w="3388" w:type="dxa"/>
            <w:tcBorders>
              <w:tl2br w:val="nil"/>
              <w:tr2bl w:val="nil"/>
            </w:tcBorders>
            <w:vAlign w:val="center"/>
          </w:tcPr>
          <w:p>
            <w:pPr>
              <w:widowControl/>
              <w:jc w:val="center"/>
              <w:rPr>
                <w:color w:val="auto"/>
              </w:rPr>
            </w:pPr>
            <w:r>
              <w:rPr>
                <w:rFonts w:ascii="宋体" w:hAnsi="宋体"/>
                <w:color w:val="auto"/>
                <w:position w:val="-2"/>
              </w:rPr>
              <w:t>前苏联环境标准</w:t>
            </w:r>
          </w:p>
        </w:tc>
      </w:tr>
    </w:tbl>
    <w:p>
      <w:pPr>
        <w:pStyle w:val="6"/>
        <w:spacing w:before="0"/>
        <w:ind w:firstLine="241" w:firstLineChars="100"/>
        <w:rPr>
          <w:rFonts w:eastAsia="宋体"/>
          <w:b/>
          <w:color w:val="auto"/>
          <w:kern w:val="2"/>
          <w:sz w:val="24"/>
          <w:szCs w:val="24"/>
        </w:rPr>
      </w:pPr>
      <w:r>
        <w:rPr>
          <w:rFonts w:hint="eastAsia" w:eastAsia="宋体"/>
          <w:b/>
          <w:color w:val="auto"/>
          <w:kern w:val="2"/>
          <w:sz w:val="24"/>
          <w:szCs w:val="24"/>
        </w:rPr>
        <w:t>（2）大气污染物排放标准</w:t>
      </w:r>
    </w:p>
    <w:p>
      <w:pPr>
        <w:pStyle w:val="47"/>
        <w:rPr>
          <w:rFonts w:ascii="Times New Roman" w:hAnsi="Times New Roman"/>
          <w:color w:val="auto"/>
        </w:rPr>
      </w:pPr>
      <w:r>
        <w:rPr>
          <w:rFonts w:hint="eastAsia" w:ascii="Times New Roman" w:hAnsi="Times New Roman"/>
          <w:color w:val="auto"/>
        </w:rPr>
        <w:t>施工期：施工废气排放执行《大气污染物综合排放标准》（GB16297-1996）表2“无组织排放监控浓度限值”，具体详见表1.3-</w:t>
      </w:r>
      <w:r>
        <w:rPr>
          <w:rFonts w:hint="eastAsia" w:ascii="Times New Roman" w:hAnsi="Times New Roman"/>
          <w:color w:val="auto"/>
          <w:lang w:val="en-US" w:eastAsia="zh-CN"/>
        </w:rPr>
        <w:t>4</w:t>
      </w:r>
      <w:r>
        <w:rPr>
          <w:rFonts w:hint="eastAsia" w:ascii="Times New Roman" w:hAnsi="Times New Roman"/>
          <w:color w:val="auto"/>
        </w:rPr>
        <w:t>。</w:t>
      </w:r>
    </w:p>
    <w:p>
      <w:pPr>
        <w:pStyle w:val="40"/>
        <w:spacing w:before="156" w:after="156"/>
        <w:rPr>
          <w:color w:val="auto"/>
        </w:rPr>
      </w:pPr>
      <w:r>
        <w:rPr>
          <w:rFonts w:hint="eastAsia"/>
          <w:color w:val="auto"/>
        </w:rPr>
        <w:t>表1.3-</w:t>
      </w:r>
      <w:r>
        <w:rPr>
          <w:rFonts w:hint="eastAsia"/>
          <w:color w:val="auto"/>
          <w:lang w:val="en-US" w:eastAsia="zh-CN"/>
        </w:rPr>
        <w:t>4</w:t>
      </w:r>
      <w:r>
        <w:rPr>
          <w:rFonts w:hint="eastAsia"/>
          <w:color w:val="auto"/>
        </w:rPr>
        <w:t xml:space="preserve">大气污染物综合排放标准无组织污染物排放标准 </w:t>
      </w:r>
    </w:p>
    <w:tbl>
      <w:tblPr>
        <w:tblStyle w:val="22"/>
        <w:tblW w:w="928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3442"/>
        <w:gridCol w:w="46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238" w:type="dxa"/>
            <w:tcBorders>
              <w:tl2br w:val="nil"/>
              <w:tr2bl w:val="nil"/>
            </w:tcBorders>
            <w:vAlign w:val="center"/>
          </w:tcPr>
          <w:p>
            <w:pPr>
              <w:pStyle w:val="41"/>
              <w:rPr>
                <w:color w:val="auto"/>
              </w:rPr>
            </w:pPr>
            <w:r>
              <w:rPr>
                <w:color w:val="auto"/>
              </w:rPr>
              <w:t>污染物</w:t>
            </w:r>
          </w:p>
        </w:tc>
        <w:tc>
          <w:tcPr>
            <w:tcW w:w="3442" w:type="dxa"/>
            <w:tcBorders>
              <w:tl2br w:val="nil"/>
              <w:tr2bl w:val="nil"/>
            </w:tcBorders>
            <w:vAlign w:val="center"/>
          </w:tcPr>
          <w:p>
            <w:pPr>
              <w:pStyle w:val="41"/>
              <w:rPr>
                <w:color w:val="auto"/>
              </w:rPr>
            </w:pPr>
            <w:r>
              <w:rPr>
                <w:color w:val="auto"/>
              </w:rPr>
              <w:t>无组织排放监控点浓度限值(mg/m</w:t>
            </w:r>
            <w:r>
              <w:rPr>
                <w:color w:val="auto"/>
                <w:vertAlign w:val="superscript"/>
              </w:rPr>
              <w:t>3</w:t>
            </w:r>
            <w:r>
              <w:rPr>
                <w:color w:val="auto"/>
              </w:rPr>
              <w:t>)</w:t>
            </w:r>
          </w:p>
        </w:tc>
        <w:tc>
          <w:tcPr>
            <w:tcW w:w="4607" w:type="dxa"/>
            <w:tcBorders>
              <w:tl2br w:val="nil"/>
              <w:tr2bl w:val="nil"/>
            </w:tcBorders>
            <w:vAlign w:val="center"/>
          </w:tcPr>
          <w:p>
            <w:pPr>
              <w:pStyle w:val="41"/>
              <w:rPr>
                <w:color w:val="auto"/>
              </w:rPr>
            </w:pPr>
            <w:r>
              <w:rPr>
                <w:rFonts w:hint="eastAsia"/>
                <w:color w:val="auto"/>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238" w:type="dxa"/>
            <w:tcBorders>
              <w:tl2br w:val="nil"/>
              <w:tr2bl w:val="nil"/>
            </w:tcBorders>
            <w:vAlign w:val="center"/>
          </w:tcPr>
          <w:p>
            <w:pPr>
              <w:pStyle w:val="41"/>
              <w:rPr>
                <w:color w:val="auto"/>
              </w:rPr>
            </w:pPr>
            <w:r>
              <w:rPr>
                <w:rFonts w:hint="eastAsia"/>
                <w:color w:val="auto"/>
              </w:rPr>
              <w:t>颗粒物</w:t>
            </w:r>
          </w:p>
        </w:tc>
        <w:tc>
          <w:tcPr>
            <w:tcW w:w="3442" w:type="dxa"/>
            <w:tcBorders>
              <w:tl2br w:val="nil"/>
              <w:tr2bl w:val="nil"/>
            </w:tcBorders>
            <w:vAlign w:val="center"/>
          </w:tcPr>
          <w:p>
            <w:pPr>
              <w:pStyle w:val="41"/>
              <w:rPr>
                <w:color w:val="auto"/>
              </w:rPr>
            </w:pPr>
            <w:r>
              <w:rPr>
                <w:rFonts w:hint="eastAsia"/>
                <w:color w:val="auto"/>
              </w:rPr>
              <w:t>1.0</w:t>
            </w:r>
          </w:p>
        </w:tc>
        <w:tc>
          <w:tcPr>
            <w:tcW w:w="4607" w:type="dxa"/>
            <w:tcBorders>
              <w:tl2br w:val="nil"/>
              <w:tr2bl w:val="nil"/>
            </w:tcBorders>
            <w:vAlign w:val="center"/>
          </w:tcPr>
          <w:p>
            <w:pPr>
              <w:pStyle w:val="41"/>
              <w:rPr>
                <w:color w:val="auto"/>
              </w:rPr>
            </w:pPr>
            <w:r>
              <w:rPr>
                <w:rFonts w:hint="eastAsia"/>
                <w:color w:val="auto"/>
              </w:rPr>
              <w:t>《大气污染物综合排放标准》（GB16297-1996）</w:t>
            </w:r>
          </w:p>
        </w:tc>
      </w:tr>
    </w:tbl>
    <w:p>
      <w:pPr>
        <w:pStyle w:val="47"/>
        <w:rPr>
          <w:rFonts w:ascii="Times New Roman" w:hAnsi="Times New Roman"/>
          <w:color w:val="auto"/>
        </w:rPr>
      </w:pPr>
      <w:r>
        <w:rPr>
          <w:rFonts w:hint="eastAsia" w:ascii="Times New Roman" w:hAnsi="Times New Roman"/>
          <w:color w:val="auto"/>
        </w:rPr>
        <w:t>运营期：</w:t>
      </w:r>
    </w:p>
    <w:p>
      <w:pPr>
        <w:spacing w:line="360" w:lineRule="auto"/>
        <w:ind w:firstLine="480" w:firstLineChars="200"/>
        <w:rPr>
          <w:color w:val="auto"/>
          <w:sz w:val="24"/>
        </w:rPr>
      </w:pPr>
      <w:r>
        <w:rPr>
          <w:rFonts w:hint="eastAsia" w:ascii="宋体" w:hAnsi="宋体" w:cs="宋体"/>
          <w:color w:val="auto"/>
          <w:sz w:val="24"/>
        </w:rPr>
        <w:t>①</w:t>
      </w:r>
      <w:r>
        <w:rPr>
          <w:rFonts w:hint="eastAsia"/>
          <w:color w:val="auto"/>
          <w:sz w:val="24"/>
        </w:rPr>
        <w:t>有组织排放废气</w:t>
      </w:r>
    </w:p>
    <w:p>
      <w:pPr>
        <w:spacing w:line="360" w:lineRule="auto"/>
        <w:ind w:firstLine="480" w:firstLineChars="200"/>
        <w:rPr>
          <w:color w:val="auto"/>
          <w:sz w:val="24"/>
        </w:rPr>
      </w:pPr>
      <w:r>
        <w:rPr>
          <w:rFonts w:hint="eastAsia"/>
          <w:color w:val="auto"/>
          <w:sz w:val="24"/>
        </w:rPr>
        <w:t>硫酸雾、铬酸雾、氯化氢</w:t>
      </w:r>
      <w:r>
        <w:rPr>
          <w:rFonts w:hint="eastAsia"/>
          <w:color w:val="auto"/>
          <w:sz w:val="24"/>
          <w:lang w:eastAsia="zh-CN"/>
        </w:rPr>
        <w:t>、氟化物、氰化氢</w:t>
      </w:r>
      <w:r>
        <w:rPr>
          <w:rFonts w:hint="eastAsia"/>
          <w:color w:val="auto"/>
          <w:sz w:val="24"/>
        </w:rPr>
        <w:t>排放执行《电镀污染物排放标准》（</w:t>
      </w:r>
      <w:r>
        <w:rPr>
          <w:color w:val="auto"/>
          <w:sz w:val="24"/>
        </w:rPr>
        <w:t>GB21900-2008</w:t>
      </w:r>
      <w:r>
        <w:rPr>
          <w:rFonts w:hint="eastAsia"/>
          <w:color w:val="auto"/>
          <w:sz w:val="24"/>
        </w:rPr>
        <w:t>）表</w:t>
      </w:r>
      <w:r>
        <w:rPr>
          <w:color w:val="auto"/>
          <w:sz w:val="24"/>
        </w:rPr>
        <w:t>5</w:t>
      </w:r>
      <w:r>
        <w:rPr>
          <w:rFonts w:hint="eastAsia"/>
          <w:color w:val="auto"/>
          <w:sz w:val="24"/>
        </w:rPr>
        <w:t>新建企业大气污染物排放限值见表1.3-</w:t>
      </w:r>
      <w:r>
        <w:rPr>
          <w:rFonts w:hint="eastAsia"/>
          <w:color w:val="auto"/>
          <w:sz w:val="24"/>
          <w:lang w:val="en-US" w:eastAsia="zh-CN"/>
        </w:rPr>
        <w:t>5</w:t>
      </w:r>
      <w:r>
        <w:rPr>
          <w:rFonts w:hint="eastAsia"/>
          <w:color w:val="auto"/>
          <w:sz w:val="24"/>
        </w:rPr>
        <w:t>和单位产品基准排气量的要求表1.3-</w:t>
      </w:r>
      <w:r>
        <w:rPr>
          <w:rFonts w:hint="eastAsia"/>
          <w:color w:val="auto"/>
          <w:sz w:val="24"/>
          <w:lang w:val="en-US" w:eastAsia="zh-CN"/>
        </w:rPr>
        <w:t>6</w:t>
      </w:r>
      <w:r>
        <w:rPr>
          <w:rFonts w:hint="eastAsia"/>
          <w:color w:val="auto"/>
          <w:sz w:val="24"/>
        </w:rPr>
        <w:t>。</w:t>
      </w:r>
    </w:p>
    <w:p>
      <w:pPr>
        <w:pStyle w:val="27"/>
        <w:tabs>
          <w:tab w:val="left" w:pos="3825"/>
          <w:tab w:val="left" w:pos="4680"/>
        </w:tabs>
        <w:rPr>
          <w:color w:val="auto"/>
          <w:sz w:val="24"/>
        </w:rPr>
      </w:pPr>
      <w:r>
        <w:rPr>
          <w:rFonts w:hint="eastAsia"/>
          <w:color w:val="auto"/>
          <w:sz w:val="24"/>
        </w:rPr>
        <w:t>表1.3-</w:t>
      </w:r>
      <w:r>
        <w:rPr>
          <w:rFonts w:hint="eastAsia"/>
          <w:color w:val="auto"/>
          <w:sz w:val="24"/>
          <w:lang w:val="en-US" w:eastAsia="zh-CN"/>
        </w:rPr>
        <w:t>5</w:t>
      </w:r>
      <w:r>
        <w:rPr>
          <w:rFonts w:hint="eastAsia"/>
          <w:color w:val="auto"/>
          <w:sz w:val="24"/>
        </w:rPr>
        <w:t xml:space="preserve">  电镀废气污染物排放标准</w:t>
      </w:r>
    </w:p>
    <w:tbl>
      <w:tblPr>
        <w:tblStyle w:val="22"/>
        <w:tblW w:w="928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43"/>
        <w:gridCol w:w="2217"/>
        <w:gridCol w:w="2882"/>
        <w:gridCol w:w="2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tblHeader/>
          <w:jc w:val="center"/>
        </w:trPr>
        <w:tc>
          <w:tcPr>
            <w:tcW w:w="687" w:type="dxa"/>
            <w:tcBorders>
              <w:tl2br w:val="nil"/>
              <w:tr2bl w:val="nil"/>
            </w:tcBorders>
            <w:vAlign w:val="center"/>
          </w:tcPr>
          <w:p>
            <w:pPr>
              <w:jc w:val="center"/>
              <w:rPr>
                <w:color w:val="auto"/>
                <w:szCs w:val="21"/>
              </w:rPr>
            </w:pPr>
            <w:r>
              <w:rPr>
                <w:rFonts w:hint="eastAsia"/>
                <w:color w:val="auto"/>
                <w:szCs w:val="21"/>
              </w:rPr>
              <w:t>序号</w:t>
            </w:r>
          </w:p>
        </w:tc>
        <w:tc>
          <w:tcPr>
            <w:tcW w:w="1343" w:type="dxa"/>
            <w:tcBorders>
              <w:tl2br w:val="nil"/>
              <w:tr2bl w:val="nil"/>
            </w:tcBorders>
            <w:vAlign w:val="center"/>
          </w:tcPr>
          <w:p>
            <w:pPr>
              <w:jc w:val="center"/>
              <w:rPr>
                <w:color w:val="auto"/>
                <w:szCs w:val="21"/>
              </w:rPr>
            </w:pPr>
            <w:r>
              <w:rPr>
                <w:rFonts w:hint="eastAsia"/>
                <w:color w:val="auto"/>
                <w:szCs w:val="21"/>
              </w:rPr>
              <w:t>污染物项目</w:t>
            </w:r>
          </w:p>
        </w:tc>
        <w:tc>
          <w:tcPr>
            <w:tcW w:w="2217" w:type="dxa"/>
            <w:tcBorders>
              <w:tl2br w:val="nil"/>
              <w:tr2bl w:val="nil"/>
            </w:tcBorders>
            <w:vAlign w:val="center"/>
          </w:tcPr>
          <w:p>
            <w:pPr>
              <w:jc w:val="center"/>
              <w:rPr>
                <w:color w:val="auto"/>
                <w:szCs w:val="21"/>
              </w:rPr>
            </w:pPr>
            <w:r>
              <w:rPr>
                <w:rFonts w:hint="eastAsia"/>
                <w:color w:val="auto"/>
                <w:szCs w:val="21"/>
              </w:rPr>
              <w:t>排放限值（</w:t>
            </w:r>
            <w:r>
              <w:rPr>
                <w:color w:val="auto"/>
                <w:szCs w:val="21"/>
              </w:rPr>
              <w:t>mg/m</w:t>
            </w:r>
            <w:r>
              <w:rPr>
                <w:color w:val="auto"/>
                <w:szCs w:val="21"/>
                <w:vertAlign w:val="superscript"/>
              </w:rPr>
              <w:t>3</w:t>
            </w:r>
            <w:r>
              <w:rPr>
                <w:rFonts w:hint="eastAsia"/>
                <w:color w:val="auto"/>
                <w:szCs w:val="21"/>
              </w:rPr>
              <w:t>）</w:t>
            </w:r>
          </w:p>
        </w:tc>
        <w:tc>
          <w:tcPr>
            <w:tcW w:w="2882" w:type="dxa"/>
            <w:tcBorders>
              <w:tl2br w:val="nil"/>
              <w:tr2bl w:val="nil"/>
            </w:tcBorders>
            <w:vAlign w:val="center"/>
          </w:tcPr>
          <w:p>
            <w:pPr>
              <w:jc w:val="center"/>
              <w:rPr>
                <w:color w:val="auto"/>
                <w:szCs w:val="21"/>
              </w:rPr>
            </w:pPr>
            <w:r>
              <w:rPr>
                <w:rFonts w:hint="eastAsia"/>
                <w:color w:val="auto"/>
                <w:szCs w:val="21"/>
              </w:rPr>
              <w:t>从严</w:t>
            </w:r>
            <w:r>
              <w:rPr>
                <w:color w:val="auto"/>
                <w:szCs w:val="21"/>
              </w:rPr>
              <w:t>50%</w:t>
            </w:r>
            <w:r>
              <w:rPr>
                <w:rFonts w:hint="eastAsia"/>
                <w:color w:val="auto"/>
                <w:szCs w:val="21"/>
              </w:rPr>
              <w:t>排放限值（</w:t>
            </w:r>
            <w:r>
              <w:rPr>
                <w:color w:val="auto"/>
                <w:szCs w:val="21"/>
              </w:rPr>
              <w:t>mg/m</w:t>
            </w:r>
            <w:r>
              <w:rPr>
                <w:color w:val="auto"/>
                <w:szCs w:val="21"/>
                <w:vertAlign w:val="superscript"/>
              </w:rPr>
              <w:t>3</w:t>
            </w:r>
            <w:r>
              <w:rPr>
                <w:rFonts w:hint="eastAsia"/>
                <w:color w:val="auto"/>
                <w:szCs w:val="21"/>
              </w:rPr>
              <w:t>）</w:t>
            </w:r>
          </w:p>
        </w:tc>
        <w:tc>
          <w:tcPr>
            <w:tcW w:w="2156" w:type="dxa"/>
            <w:tcBorders>
              <w:tl2br w:val="nil"/>
              <w:tr2bl w:val="nil"/>
            </w:tcBorders>
            <w:vAlign w:val="center"/>
          </w:tcPr>
          <w:p>
            <w:pPr>
              <w:jc w:val="center"/>
              <w:rPr>
                <w:color w:val="auto"/>
                <w:szCs w:val="21"/>
              </w:rPr>
            </w:pPr>
            <w:r>
              <w:rPr>
                <w:rFonts w:hint="eastAsia"/>
                <w:color w:val="auto"/>
                <w:szCs w:val="21"/>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87" w:type="dxa"/>
            <w:tcBorders>
              <w:tl2br w:val="nil"/>
              <w:tr2bl w:val="nil"/>
            </w:tcBorders>
            <w:vAlign w:val="center"/>
          </w:tcPr>
          <w:p>
            <w:pPr>
              <w:jc w:val="center"/>
              <w:rPr>
                <w:color w:val="auto"/>
                <w:szCs w:val="21"/>
              </w:rPr>
            </w:pPr>
            <w:r>
              <w:rPr>
                <w:rFonts w:hint="eastAsia"/>
                <w:color w:val="auto"/>
                <w:szCs w:val="21"/>
              </w:rPr>
              <w:t>1</w:t>
            </w:r>
          </w:p>
        </w:tc>
        <w:tc>
          <w:tcPr>
            <w:tcW w:w="1343" w:type="dxa"/>
            <w:tcBorders>
              <w:tl2br w:val="nil"/>
              <w:tr2bl w:val="nil"/>
            </w:tcBorders>
            <w:vAlign w:val="center"/>
          </w:tcPr>
          <w:p>
            <w:pPr>
              <w:jc w:val="center"/>
              <w:rPr>
                <w:color w:val="auto"/>
                <w:szCs w:val="21"/>
              </w:rPr>
            </w:pPr>
            <w:r>
              <w:rPr>
                <w:rFonts w:hint="eastAsia"/>
                <w:color w:val="auto"/>
                <w:szCs w:val="21"/>
              </w:rPr>
              <w:t>硫酸雾</w:t>
            </w:r>
          </w:p>
        </w:tc>
        <w:tc>
          <w:tcPr>
            <w:tcW w:w="2217" w:type="dxa"/>
            <w:tcBorders>
              <w:tl2br w:val="nil"/>
              <w:tr2bl w:val="nil"/>
            </w:tcBorders>
            <w:vAlign w:val="center"/>
          </w:tcPr>
          <w:p>
            <w:pPr>
              <w:jc w:val="center"/>
              <w:rPr>
                <w:color w:val="auto"/>
                <w:szCs w:val="21"/>
              </w:rPr>
            </w:pPr>
            <w:r>
              <w:rPr>
                <w:color w:val="auto"/>
                <w:szCs w:val="21"/>
              </w:rPr>
              <w:t>30</w:t>
            </w:r>
          </w:p>
        </w:tc>
        <w:tc>
          <w:tcPr>
            <w:tcW w:w="2882" w:type="dxa"/>
            <w:tcBorders>
              <w:tl2br w:val="nil"/>
              <w:tr2bl w:val="nil"/>
            </w:tcBorders>
            <w:vAlign w:val="center"/>
          </w:tcPr>
          <w:p>
            <w:pPr>
              <w:jc w:val="center"/>
              <w:rPr>
                <w:color w:val="auto"/>
                <w:szCs w:val="21"/>
              </w:rPr>
            </w:pPr>
            <w:r>
              <w:rPr>
                <w:color w:val="auto"/>
                <w:szCs w:val="21"/>
              </w:rPr>
              <w:t>15</w:t>
            </w:r>
          </w:p>
        </w:tc>
        <w:tc>
          <w:tcPr>
            <w:tcW w:w="2156" w:type="dxa"/>
            <w:vMerge w:val="restart"/>
            <w:tcBorders>
              <w:tl2br w:val="nil"/>
              <w:tr2bl w:val="nil"/>
            </w:tcBorders>
            <w:vAlign w:val="center"/>
          </w:tcPr>
          <w:p>
            <w:pPr>
              <w:widowControl/>
              <w:jc w:val="center"/>
              <w:rPr>
                <w:color w:val="auto"/>
                <w:szCs w:val="21"/>
              </w:rPr>
            </w:pPr>
            <w:r>
              <w:rPr>
                <w:rFonts w:hint="eastAsia"/>
                <w:color w:val="auto"/>
                <w:szCs w:val="21"/>
              </w:rPr>
              <w:t>车间或者生产设施排放口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2</w:t>
            </w:r>
          </w:p>
        </w:tc>
        <w:tc>
          <w:tcPr>
            <w:tcW w:w="1343" w:type="dxa"/>
            <w:tcBorders>
              <w:tl2br w:val="nil"/>
              <w:tr2bl w:val="nil"/>
            </w:tcBorders>
            <w:vAlign w:val="center"/>
          </w:tcPr>
          <w:p>
            <w:pPr>
              <w:jc w:val="center"/>
              <w:rPr>
                <w:color w:val="auto"/>
                <w:szCs w:val="21"/>
              </w:rPr>
            </w:pPr>
            <w:r>
              <w:rPr>
                <w:rFonts w:hint="eastAsia"/>
                <w:color w:val="auto"/>
                <w:szCs w:val="21"/>
              </w:rPr>
              <w:t>铬酸雾</w:t>
            </w:r>
          </w:p>
        </w:tc>
        <w:tc>
          <w:tcPr>
            <w:tcW w:w="2217" w:type="dxa"/>
            <w:tcBorders>
              <w:tl2br w:val="nil"/>
              <w:tr2bl w:val="nil"/>
            </w:tcBorders>
            <w:vAlign w:val="center"/>
          </w:tcPr>
          <w:p>
            <w:pPr>
              <w:jc w:val="center"/>
              <w:rPr>
                <w:color w:val="auto"/>
                <w:szCs w:val="21"/>
              </w:rPr>
            </w:pPr>
            <w:r>
              <w:rPr>
                <w:rFonts w:hint="eastAsia"/>
                <w:color w:val="auto"/>
                <w:szCs w:val="21"/>
              </w:rPr>
              <w:t>0.05</w:t>
            </w:r>
          </w:p>
        </w:tc>
        <w:tc>
          <w:tcPr>
            <w:tcW w:w="2882" w:type="dxa"/>
            <w:tcBorders>
              <w:tl2br w:val="nil"/>
              <w:tr2bl w:val="nil"/>
            </w:tcBorders>
            <w:vAlign w:val="center"/>
          </w:tcPr>
          <w:p>
            <w:pPr>
              <w:jc w:val="center"/>
              <w:rPr>
                <w:color w:val="auto"/>
                <w:szCs w:val="21"/>
              </w:rPr>
            </w:pPr>
            <w:r>
              <w:rPr>
                <w:rFonts w:hint="eastAsia"/>
                <w:color w:val="auto"/>
                <w:szCs w:val="21"/>
              </w:rPr>
              <w:t>0.025</w:t>
            </w:r>
          </w:p>
        </w:tc>
        <w:tc>
          <w:tcPr>
            <w:tcW w:w="2156"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3</w:t>
            </w:r>
          </w:p>
        </w:tc>
        <w:tc>
          <w:tcPr>
            <w:tcW w:w="1343" w:type="dxa"/>
            <w:tcBorders>
              <w:tl2br w:val="nil"/>
              <w:tr2bl w:val="nil"/>
            </w:tcBorders>
            <w:vAlign w:val="center"/>
          </w:tcPr>
          <w:p>
            <w:pPr>
              <w:jc w:val="center"/>
              <w:rPr>
                <w:color w:val="auto"/>
                <w:szCs w:val="21"/>
              </w:rPr>
            </w:pPr>
            <w:r>
              <w:rPr>
                <w:rFonts w:hint="eastAsia"/>
                <w:color w:val="auto"/>
                <w:szCs w:val="21"/>
              </w:rPr>
              <w:t>氯化氢</w:t>
            </w:r>
          </w:p>
        </w:tc>
        <w:tc>
          <w:tcPr>
            <w:tcW w:w="2217" w:type="dxa"/>
            <w:tcBorders>
              <w:tl2br w:val="nil"/>
              <w:tr2bl w:val="nil"/>
            </w:tcBorders>
            <w:vAlign w:val="center"/>
          </w:tcPr>
          <w:p>
            <w:pPr>
              <w:jc w:val="center"/>
              <w:rPr>
                <w:color w:val="auto"/>
                <w:szCs w:val="21"/>
              </w:rPr>
            </w:pPr>
            <w:r>
              <w:rPr>
                <w:rFonts w:hint="eastAsia"/>
                <w:color w:val="auto"/>
                <w:szCs w:val="21"/>
              </w:rPr>
              <w:t>30</w:t>
            </w:r>
          </w:p>
        </w:tc>
        <w:tc>
          <w:tcPr>
            <w:tcW w:w="2882" w:type="dxa"/>
            <w:tcBorders>
              <w:tl2br w:val="nil"/>
              <w:tr2bl w:val="nil"/>
            </w:tcBorders>
            <w:vAlign w:val="center"/>
          </w:tcPr>
          <w:p>
            <w:pPr>
              <w:jc w:val="center"/>
              <w:rPr>
                <w:color w:val="auto"/>
                <w:szCs w:val="21"/>
              </w:rPr>
            </w:pPr>
            <w:r>
              <w:rPr>
                <w:rFonts w:hint="eastAsia"/>
                <w:color w:val="auto"/>
                <w:szCs w:val="21"/>
              </w:rPr>
              <w:t>15</w:t>
            </w:r>
          </w:p>
        </w:tc>
        <w:tc>
          <w:tcPr>
            <w:tcW w:w="2156"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4</w:t>
            </w:r>
          </w:p>
        </w:tc>
        <w:tc>
          <w:tcPr>
            <w:tcW w:w="1343" w:type="dxa"/>
            <w:tcBorders>
              <w:tl2br w:val="nil"/>
              <w:tr2bl w:val="nil"/>
            </w:tcBorders>
            <w:vAlign w:val="center"/>
          </w:tcPr>
          <w:p>
            <w:pPr>
              <w:jc w:val="center"/>
              <w:rPr>
                <w:color w:val="auto"/>
                <w:szCs w:val="21"/>
              </w:rPr>
            </w:pPr>
            <w:r>
              <w:rPr>
                <w:rFonts w:hint="eastAsia"/>
                <w:color w:val="auto"/>
                <w:szCs w:val="21"/>
              </w:rPr>
              <w:t>氟化物</w:t>
            </w:r>
          </w:p>
        </w:tc>
        <w:tc>
          <w:tcPr>
            <w:tcW w:w="2217" w:type="dxa"/>
            <w:tcBorders>
              <w:tl2br w:val="nil"/>
              <w:tr2bl w:val="nil"/>
            </w:tcBorders>
            <w:vAlign w:val="center"/>
          </w:tcPr>
          <w:p>
            <w:pPr>
              <w:jc w:val="center"/>
              <w:rPr>
                <w:color w:val="auto"/>
                <w:szCs w:val="21"/>
              </w:rPr>
            </w:pPr>
            <w:r>
              <w:rPr>
                <w:rFonts w:hint="eastAsia"/>
                <w:color w:val="auto"/>
                <w:szCs w:val="21"/>
              </w:rPr>
              <w:t>7</w:t>
            </w:r>
          </w:p>
        </w:tc>
        <w:tc>
          <w:tcPr>
            <w:tcW w:w="2882" w:type="dxa"/>
            <w:tcBorders>
              <w:tl2br w:val="nil"/>
              <w:tr2bl w:val="nil"/>
            </w:tcBorders>
            <w:vAlign w:val="center"/>
          </w:tcPr>
          <w:p>
            <w:pPr>
              <w:jc w:val="center"/>
              <w:rPr>
                <w:color w:val="auto"/>
                <w:szCs w:val="21"/>
              </w:rPr>
            </w:pPr>
            <w:r>
              <w:rPr>
                <w:rFonts w:hint="eastAsia"/>
                <w:color w:val="auto"/>
                <w:szCs w:val="21"/>
              </w:rPr>
              <w:t>3.5</w:t>
            </w:r>
          </w:p>
        </w:tc>
        <w:tc>
          <w:tcPr>
            <w:tcW w:w="2156" w:type="dxa"/>
            <w:vMerge w:val="continue"/>
            <w:tcBorders>
              <w:tl2br w:val="nil"/>
              <w:tr2bl w:val="nil"/>
            </w:tcBorders>
            <w:vAlign w:val="center"/>
          </w:tcPr>
          <w:p>
            <w:pPr>
              <w:widowControl/>
              <w:jc w:val="left"/>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jc w:val="center"/>
        </w:trPr>
        <w:tc>
          <w:tcPr>
            <w:tcW w:w="687" w:type="dxa"/>
            <w:tcBorders>
              <w:tl2br w:val="nil"/>
              <w:tr2bl w:val="nil"/>
            </w:tcBorders>
            <w:vAlign w:val="center"/>
          </w:tcPr>
          <w:p>
            <w:pPr>
              <w:jc w:val="center"/>
              <w:rPr>
                <w:color w:val="auto"/>
                <w:szCs w:val="21"/>
              </w:rPr>
            </w:pPr>
            <w:r>
              <w:rPr>
                <w:rFonts w:hint="eastAsia"/>
                <w:color w:val="auto"/>
                <w:szCs w:val="21"/>
              </w:rPr>
              <w:t>5</w:t>
            </w:r>
          </w:p>
        </w:tc>
        <w:tc>
          <w:tcPr>
            <w:tcW w:w="1343" w:type="dxa"/>
            <w:tcBorders>
              <w:tl2br w:val="nil"/>
              <w:tr2bl w:val="nil"/>
            </w:tcBorders>
            <w:vAlign w:val="center"/>
          </w:tcPr>
          <w:p>
            <w:pPr>
              <w:jc w:val="center"/>
              <w:rPr>
                <w:color w:val="auto"/>
                <w:szCs w:val="21"/>
              </w:rPr>
            </w:pPr>
            <w:r>
              <w:rPr>
                <w:rFonts w:hint="eastAsia"/>
                <w:color w:val="auto"/>
                <w:szCs w:val="21"/>
              </w:rPr>
              <w:t>氰化氢</w:t>
            </w:r>
          </w:p>
        </w:tc>
        <w:tc>
          <w:tcPr>
            <w:tcW w:w="2217" w:type="dxa"/>
            <w:tcBorders>
              <w:tl2br w:val="nil"/>
              <w:tr2bl w:val="nil"/>
            </w:tcBorders>
            <w:vAlign w:val="center"/>
          </w:tcPr>
          <w:p>
            <w:pPr>
              <w:jc w:val="center"/>
              <w:rPr>
                <w:color w:val="auto"/>
                <w:szCs w:val="21"/>
              </w:rPr>
            </w:pPr>
            <w:r>
              <w:rPr>
                <w:rFonts w:hint="eastAsia"/>
                <w:color w:val="auto"/>
                <w:szCs w:val="21"/>
              </w:rPr>
              <w:t>0.5</w:t>
            </w:r>
          </w:p>
        </w:tc>
        <w:tc>
          <w:tcPr>
            <w:tcW w:w="2882" w:type="dxa"/>
            <w:tcBorders>
              <w:tl2br w:val="nil"/>
              <w:tr2bl w:val="nil"/>
            </w:tcBorders>
            <w:vAlign w:val="center"/>
          </w:tcPr>
          <w:p>
            <w:pPr>
              <w:jc w:val="center"/>
              <w:rPr>
                <w:color w:val="auto"/>
                <w:szCs w:val="21"/>
              </w:rPr>
            </w:pPr>
            <w:r>
              <w:rPr>
                <w:rFonts w:hint="eastAsia"/>
                <w:color w:val="auto"/>
                <w:szCs w:val="21"/>
              </w:rPr>
              <w:t>0.25</w:t>
            </w:r>
          </w:p>
        </w:tc>
        <w:tc>
          <w:tcPr>
            <w:tcW w:w="2156" w:type="dxa"/>
            <w:vMerge w:val="continue"/>
            <w:tcBorders>
              <w:tl2br w:val="nil"/>
              <w:tr2bl w:val="nil"/>
            </w:tcBorders>
            <w:vAlign w:val="center"/>
          </w:tcPr>
          <w:p>
            <w:pPr>
              <w:widowControl/>
              <w:jc w:val="left"/>
              <w:rPr>
                <w:color w:val="auto"/>
                <w:szCs w:val="21"/>
              </w:rPr>
            </w:pPr>
          </w:p>
        </w:tc>
      </w:tr>
    </w:tbl>
    <w:p>
      <w:pPr>
        <w:tabs>
          <w:tab w:val="left" w:pos="1800"/>
        </w:tabs>
        <w:ind w:firstLine="420" w:firstLineChars="200"/>
        <w:rPr>
          <w:color w:val="auto"/>
          <w:szCs w:val="21"/>
        </w:rPr>
      </w:pPr>
      <w:r>
        <w:rPr>
          <w:rFonts w:hint="eastAsia"/>
          <w:color w:val="auto"/>
          <w:szCs w:val="21"/>
        </w:rPr>
        <w:t>备注：排气筒高度不低于15m，排放含氰化氢的排气筒高度不低于25m。排气筒高度应高出周围200m半径范围的建筑5m以上；不能达到该要求的排气筒，应按排放浓度限值的50%执行。项目设置的排气筒未高出周边200m半径范围的建筑5m以上，因此排放标准按50%执行。</w:t>
      </w:r>
    </w:p>
    <w:p>
      <w:pPr>
        <w:pStyle w:val="27"/>
        <w:tabs>
          <w:tab w:val="left" w:pos="3825"/>
          <w:tab w:val="left" w:pos="4680"/>
        </w:tabs>
        <w:rPr>
          <w:color w:val="auto"/>
          <w:sz w:val="24"/>
        </w:rPr>
      </w:pPr>
      <w:r>
        <w:rPr>
          <w:rFonts w:hint="eastAsia"/>
          <w:color w:val="auto"/>
          <w:sz w:val="24"/>
        </w:rPr>
        <w:t>表1.3-</w:t>
      </w:r>
      <w:r>
        <w:rPr>
          <w:rFonts w:hint="eastAsia"/>
          <w:color w:val="auto"/>
          <w:sz w:val="24"/>
          <w:lang w:val="en-US" w:eastAsia="zh-CN"/>
        </w:rPr>
        <w:t>6</w:t>
      </w:r>
      <w:r>
        <w:rPr>
          <w:rFonts w:hint="eastAsia"/>
          <w:color w:val="auto"/>
          <w:sz w:val="24"/>
        </w:rPr>
        <w:t xml:space="preserve"> 单位产品基准排气量</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265"/>
        <w:gridCol w:w="3045"/>
        <w:gridCol w:w="3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7" w:type="dxa"/>
            <w:tcBorders>
              <w:top w:val="single" w:color="auto" w:sz="12" w:space="0"/>
              <w:left w:val="nil"/>
              <w:bottom w:val="single" w:color="auto" w:sz="4" w:space="0"/>
              <w:right w:val="single" w:color="auto" w:sz="4" w:space="0"/>
            </w:tcBorders>
            <w:vAlign w:val="center"/>
          </w:tcPr>
          <w:p>
            <w:pPr>
              <w:jc w:val="center"/>
              <w:rPr>
                <w:color w:val="auto"/>
                <w:szCs w:val="21"/>
              </w:rPr>
            </w:pPr>
            <w:r>
              <w:rPr>
                <w:rFonts w:hint="eastAsia"/>
                <w:color w:val="auto"/>
                <w:szCs w:val="21"/>
              </w:rPr>
              <w:t>序号</w:t>
            </w:r>
          </w:p>
        </w:tc>
        <w:tc>
          <w:tcPr>
            <w:tcW w:w="2265"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工艺种类</w:t>
            </w:r>
          </w:p>
        </w:tc>
        <w:tc>
          <w:tcPr>
            <w:tcW w:w="3045"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基准排气量，</w:t>
            </w:r>
            <w:r>
              <w:rPr>
                <w:color w:val="auto"/>
                <w:szCs w:val="21"/>
              </w:rPr>
              <w:t>m</w:t>
            </w:r>
            <w:r>
              <w:rPr>
                <w:color w:val="auto"/>
                <w:szCs w:val="21"/>
                <w:vertAlign w:val="superscript"/>
              </w:rPr>
              <w:t>3</w:t>
            </w:r>
            <w:r>
              <w:rPr>
                <w:color w:val="auto"/>
                <w:szCs w:val="21"/>
              </w:rPr>
              <w:t>/m</w:t>
            </w:r>
            <w:r>
              <w:rPr>
                <w:color w:val="auto"/>
                <w:szCs w:val="21"/>
                <w:vertAlign w:val="superscript"/>
              </w:rPr>
              <w:t>2</w:t>
            </w:r>
            <w:r>
              <w:rPr>
                <w:rFonts w:hint="eastAsia"/>
                <w:color w:val="auto"/>
                <w:szCs w:val="21"/>
              </w:rPr>
              <w:t>（镀件镀层）</w:t>
            </w:r>
          </w:p>
        </w:tc>
        <w:tc>
          <w:tcPr>
            <w:tcW w:w="3269" w:type="dxa"/>
            <w:tcBorders>
              <w:top w:val="single" w:color="auto" w:sz="12" w:space="0"/>
              <w:left w:val="single" w:color="auto" w:sz="4" w:space="0"/>
              <w:bottom w:val="single" w:color="auto" w:sz="4" w:space="0"/>
              <w:right w:val="nil"/>
            </w:tcBorders>
            <w:vAlign w:val="center"/>
          </w:tcPr>
          <w:p>
            <w:pPr>
              <w:jc w:val="center"/>
              <w:rPr>
                <w:color w:val="auto"/>
                <w:szCs w:val="21"/>
              </w:rPr>
            </w:pPr>
            <w:r>
              <w:rPr>
                <w:rFonts w:hint="eastAsia"/>
                <w:color w:val="auto"/>
                <w:szCs w:val="21"/>
              </w:rPr>
              <w:t>排气量计算位置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7"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1</w:t>
            </w:r>
          </w:p>
        </w:tc>
        <w:tc>
          <w:tcPr>
            <w:tcW w:w="226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镀铬</w:t>
            </w:r>
          </w:p>
        </w:tc>
        <w:tc>
          <w:tcPr>
            <w:tcW w:w="304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74.4</w:t>
            </w:r>
          </w:p>
        </w:tc>
        <w:tc>
          <w:tcPr>
            <w:tcW w:w="3269"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车间或生产设施排气筒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7"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2</w:t>
            </w:r>
          </w:p>
        </w:tc>
        <w:tc>
          <w:tcPr>
            <w:tcW w:w="226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阳极氧化</w:t>
            </w:r>
          </w:p>
        </w:tc>
        <w:tc>
          <w:tcPr>
            <w:tcW w:w="304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18.6</w:t>
            </w:r>
          </w:p>
        </w:tc>
        <w:tc>
          <w:tcPr>
            <w:tcW w:w="3269" w:type="dxa"/>
            <w:tcBorders>
              <w:top w:val="single" w:color="auto" w:sz="4" w:space="0"/>
              <w:left w:val="single" w:color="auto" w:sz="4" w:space="0"/>
              <w:bottom w:val="single" w:color="auto" w:sz="4" w:space="0"/>
              <w:right w:val="nil"/>
            </w:tcBorders>
            <w:vAlign w:val="center"/>
          </w:tcPr>
          <w:p>
            <w:pPr>
              <w:widowControl/>
              <w:jc w:val="center"/>
              <w:rPr>
                <w:color w:val="auto"/>
                <w:szCs w:val="21"/>
              </w:rPr>
            </w:pPr>
            <w:r>
              <w:rPr>
                <w:rFonts w:hint="eastAsia"/>
                <w:color w:val="auto"/>
                <w:szCs w:val="21"/>
              </w:rPr>
              <w:t>车间或生产设施排气筒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7" w:type="dxa"/>
            <w:tcBorders>
              <w:top w:val="single" w:color="auto" w:sz="4" w:space="0"/>
              <w:left w:val="nil"/>
              <w:bottom w:val="single" w:color="auto" w:sz="12" w:space="0"/>
              <w:right w:val="single" w:color="auto" w:sz="4" w:space="0"/>
            </w:tcBorders>
            <w:vAlign w:val="center"/>
          </w:tcPr>
          <w:p>
            <w:pPr>
              <w:jc w:val="center"/>
              <w:rPr>
                <w:color w:val="auto"/>
                <w:szCs w:val="21"/>
              </w:rPr>
            </w:pPr>
            <w:r>
              <w:rPr>
                <w:rFonts w:hint="eastAsia"/>
                <w:color w:val="auto"/>
                <w:szCs w:val="21"/>
              </w:rPr>
              <w:t>3</w:t>
            </w:r>
          </w:p>
        </w:tc>
        <w:tc>
          <w:tcPr>
            <w:tcW w:w="2265"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rFonts w:hint="eastAsia"/>
                <w:color w:val="auto"/>
                <w:szCs w:val="21"/>
              </w:rPr>
              <w:t>其他镀种（镀铜、镀镍）</w:t>
            </w:r>
          </w:p>
        </w:tc>
        <w:tc>
          <w:tcPr>
            <w:tcW w:w="3045"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rFonts w:hint="eastAsia"/>
                <w:color w:val="auto"/>
                <w:szCs w:val="21"/>
              </w:rPr>
              <w:t>37.3</w:t>
            </w:r>
          </w:p>
        </w:tc>
        <w:tc>
          <w:tcPr>
            <w:tcW w:w="3269" w:type="dxa"/>
            <w:tcBorders>
              <w:top w:val="single" w:color="auto" w:sz="4" w:space="0"/>
              <w:left w:val="single" w:color="auto" w:sz="4" w:space="0"/>
              <w:bottom w:val="single" w:color="auto" w:sz="12" w:space="0"/>
              <w:right w:val="nil"/>
            </w:tcBorders>
            <w:vAlign w:val="center"/>
          </w:tcPr>
          <w:p>
            <w:pPr>
              <w:widowControl/>
              <w:jc w:val="center"/>
              <w:rPr>
                <w:color w:val="auto"/>
                <w:szCs w:val="21"/>
              </w:rPr>
            </w:pPr>
            <w:r>
              <w:rPr>
                <w:rFonts w:hint="eastAsia"/>
                <w:color w:val="auto"/>
                <w:szCs w:val="21"/>
              </w:rPr>
              <w:t>车间或生产设施排气筒</w:t>
            </w:r>
          </w:p>
        </w:tc>
      </w:tr>
    </w:tbl>
    <w:p>
      <w:pPr>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无组织排放</w:t>
      </w:r>
    </w:p>
    <w:p>
      <w:pPr>
        <w:spacing w:line="360" w:lineRule="auto"/>
        <w:ind w:firstLine="480" w:firstLineChars="200"/>
        <w:rPr>
          <w:color w:val="auto"/>
          <w:sz w:val="24"/>
        </w:rPr>
      </w:pPr>
      <w:r>
        <w:rPr>
          <w:rFonts w:hint="eastAsia"/>
          <w:color w:val="auto"/>
          <w:sz w:val="24"/>
        </w:rPr>
        <w:t>无组织排放的废气硫酸雾、铬酸雾、氯化氢</w:t>
      </w:r>
      <w:r>
        <w:rPr>
          <w:rFonts w:hint="eastAsia"/>
          <w:color w:val="auto"/>
          <w:sz w:val="24"/>
          <w:lang w:eastAsia="zh-CN"/>
        </w:rPr>
        <w:t>、氟化物、氰化氢</w:t>
      </w:r>
      <w:r>
        <w:rPr>
          <w:rFonts w:hint="eastAsia"/>
          <w:color w:val="auto"/>
          <w:sz w:val="24"/>
        </w:rPr>
        <w:t>拟建项目的厂界浓度参照执行《大气污染物综合排放标准》（</w:t>
      </w:r>
      <w:r>
        <w:rPr>
          <w:color w:val="auto"/>
          <w:sz w:val="24"/>
        </w:rPr>
        <w:t>GB16297-1996</w:t>
      </w:r>
      <w:r>
        <w:rPr>
          <w:rFonts w:hint="eastAsia"/>
          <w:color w:val="auto"/>
          <w:sz w:val="24"/>
        </w:rPr>
        <w:t>）中表</w:t>
      </w:r>
      <w:r>
        <w:rPr>
          <w:color w:val="auto"/>
          <w:sz w:val="24"/>
        </w:rPr>
        <w:t>2</w:t>
      </w:r>
      <w:r>
        <w:rPr>
          <w:rFonts w:hint="eastAsia"/>
          <w:color w:val="auto"/>
          <w:sz w:val="24"/>
        </w:rPr>
        <w:t>标准，详见表1.3-</w:t>
      </w:r>
      <w:r>
        <w:rPr>
          <w:rFonts w:hint="eastAsia"/>
          <w:color w:val="auto"/>
          <w:sz w:val="24"/>
          <w:lang w:val="en-US" w:eastAsia="zh-CN"/>
        </w:rPr>
        <w:t>7</w:t>
      </w:r>
      <w:r>
        <w:rPr>
          <w:rFonts w:hint="eastAsia"/>
          <w:color w:val="auto"/>
          <w:sz w:val="24"/>
        </w:rPr>
        <w:t>。</w:t>
      </w:r>
    </w:p>
    <w:p>
      <w:pPr>
        <w:pStyle w:val="27"/>
        <w:tabs>
          <w:tab w:val="left" w:pos="3825"/>
          <w:tab w:val="left" w:pos="4680"/>
        </w:tabs>
        <w:rPr>
          <w:color w:val="auto"/>
          <w:sz w:val="24"/>
        </w:rPr>
      </w:pPr>
      <w:r>
        <w:rPr>
          <w:rFonts w:hint="eastAsia"/>
          <w:color w:val="auto"/>
          <w:sz w:val="24"/>
        </w:rPr>
        <w:t>表1.3-</w:t>
      </w:r>
      <w:r>
        <w:rPr>
          <w:rFonts w:hint="eastAsia"/>
          <w:color w:val="auto"/>
          <w:sz w:val="24"/>
          <w:lang w:val="en-US" w:eastAsia="zh-CN"/>
        </w:rPr>
        <w:t>7</w:t>
      </w:r>
      <w:r>
        <w:rPr>
          <w:rFonts w:hint="eastAsia"/>
          <w:color w:val="auto"/>
          <w:sz w:val="24"/>
        </w:rPr>
        <w:t xml:space="preserve"> 《大气污染物综合排放标准》（GB16297-1996） </w:t>
      </w:r>
    </w:p>
    <w:tbl>
      <w:tblPr>
        <w:tblStyle w:val="23"/>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323"/>
        <w:gridCol w:w="1644"/>
        <w:gridCol w:w="3161"/>
        <w:gridCol w:w="3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340" w:hRule="atLeast"/>
        </w:trPr>
        <w:tc>
          <w:tcPr>
            <w:tcW w:w="1323" w:type="dxa"/>
          </w:tcPr>
          <w:p>
            <w:pPr>
              <w:pStyle w:val="41"/>
              <w:rPr>
                <w:rFonts w:hAnsi="宋体"/>
                <w:color w:val="auto"/>
              </w:rPr>
            </w:pPr>
            <w:r>
              <w:rPr>
                <w:rFonts w:hint="eastAsia" w:hAnsi="宋体"/>
                <w:color w:val="auto"/>
              </w:rPr>
              <w:t>序号</w:t>
            </w:r>
          </w:p>
        </w:tc>
        <w:tc>
          <w:tcPr>
            <w:tcW w:w="1644" w:type="dxa"/>
          </w:tcPr>
          <w:p>
            <w:pPr>
              <w:pStyle w:val="41"/>
              <w:rPr>
                <w:rFonts w:hAnsi="宋体"/>
                <w:color w:val="auto"/>
              </w:rPr>
            </w:pPr>
            <w:r>
              <w:rPr>
                <w:rFonts w:hint="eastAsia" w:hAnsi="宋体"/>
                <w:color w:val="auto"/>
              </w:rPr>
              <w:t>污染物项目</w:t>
            </w:r>
          </w:p>
        </w:tc>
        <w:tc>
          <w:tcPr>
            <w:tcW w:w="3161" w:type="dxa"/>
          </w:tcPr>
          <w:p>
            <w:pPr>
              <w:pStyle w:val="41"/>
              <w:rPr>
                <w:rFonts w:hAnsi="宋体"/>
                <w:color w:val="auto"/>
              </w:rPr>
            </w:pPr>
            <w:r>
              <w:rPr>
                <w:rFonts w:hAnsi="宋体"/>
                <w:color w:val="auto"/>
              </w:rPr>
              <w:t>周界外浓度最高点（mg/m</w:t>
            </w:r>
            <w:r>
              <w:rPr>
                <w:rFonts w:hAnsi="宋体"/>
                <w:color w:val="auto"/>
                <w:vertAlign w:val="superscript"/>
              </w:rPr>
              <w:t>3</w:t>
            </w:r>
            <w:r>
              <w:rPr>
                <w:rFonts w:hAnsi="宋体"/>
                <w:color w:val="auto"/>
              </w:rPr>
              <w:t>）</w:t>
            </w:r>
          </w:p>
        </w:tc>
        <w:tc>
          <w:tcPr>
            <w:tcW w:w="3159" w:type="dxa"/>
          </w:tcPr>
          <w:p>
            <w:pPr>
              <w:pStyle w:val="41"/>
              <w:rPr>
                <w:rFonts w:hAnsi="宋体"/>
                <w:color w:val="auto"/>
              </w:rPr>
            </w:pPr>
            <w:r>
              <w:rPr>
                <w:rFonts w:hint="eastAsia" w:hAnsi="宋体"/>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1</w:t>
            </w:r>
          </w:p>
        </w:tc>
        <w:tc>
          <w:tcPr>
            <w:tcW w:w="1644" w:type="dxa"/>
            <w:vAlign w:val="center"/>
          </w:tcPr>
          <w:p>
            <w:pPr>
              <w:pStyle w:val="41"/>
              <w:rPr>
                <w:rFonts w:hAnsi="宋体"/>
                <w:color w:val="auto"/>
              </w:rPr>
            </w:pPr>
            <w:r>
              <w:rPr>
                <w:rFonts w:hint="eastAsia" w:hAnsi="宋体"/>
                <w:color w:val="auto"/>
              </w:rPr>
              <w:t>铬酸雾</w:t>
            </w:r>
          </w:p>
        </w:tc>
        <w:tc>
          <w:tcPr>
            <w:tcW w:w="3161" w:type="dxa"/>
            <w:vAlign w:val="center"/>
          </w:tcPr>
          <w:p>
            <w:pPr>
              <w:pStyle w:val="41"/>
              <w:rPr>
                <w:rFonts w:hAnsi="宋体"/>
                <w:color w:val="auto"/>
              </w:rPr>
            </w:pPr>
            <w:r>
              <w:rPr>
                <w:rFonts w:hint="eastAsia" w:hAnsi="宋体"/>
                <w:color w:val="auto"/>
              </w:rPr>
              <w:t>0.006</w:t>
            </w:r>
          </w:p>
        </w:tc>
        <w:tc>
          <w:tcPr>
            <w:tcW w:w="3159" w:type="dxa"/>
            <w:vMerge w:val="restart"/>
            <w:vAlign w:val="center"/>
          </w:tcPr>
          <w:p>
            <w:pPr>
              <w:pStyle w:val="41"/>
              <w:rPr>
                <w:rFonts w:hAnsi="宋体"/>
                <w:color w:val="auto"/>
              </w:rPr>
            </w:pPr>
            <w:r>
              <w:rPr>
                <w:color w:val="auto"/>
              </w:rPr>
              <w:t>GB16297-1996《大气污染物综合排放标准》中表2标准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2</w:t>
            </w:r>
          </w:p>
        </w:tc>
        <w:tc>
          <w:tcPr>
            <w:tcW w:w="1644" w:type="dxa"/>
            <w:vAlign w:val="center"/>
          </w:tcPr>
          <w:p>
            <w:pPr>
              <w:pStyle w:val="41"/>
              <w:rPr>
                <w:rFonts w:hAnsi="宋体"/>
                <w:color w:val="auto"/>
              </w:rPr>
            </w:pPr>
            <w:r>
              <w:rPr>
                <w:rFonts w:hint="eastAsia" w:hAnsi="宋体"/>
                <w:color w:val="auto"/>
              </w:rPr>
              <w:t>硫酸雾</w:t>
            </w:r>
          </w:p>
        </w:tc>
        <w:tc>
          <w:tcPr>
            <w:tcW w:w="3161" w:type="dxa"/>
            <w:vAlign w:val="center"/>
          </w:tcPr>
          <w:p>
            <w:pPr>
              <w:pStyle w:val="41"/>
              <w:rPr>
                <w:rFonts w:hAnsi="宋体"/>
                <w:color w:val="auto"/>
              </w:rPr>
            </w:pPr>
            <w:r>
              <w:rPr>
                <w:rFonts w:hint="eastAsia" w:hAnsi="宋体"/>
                <w:color w:val="auto"/>
              </w:rPr>
              <w:t>1.2</w:t>
            </w:r>
          </w:p>
        </w:tc>
        <w:tc>
          <w:tcPr>
            <w:tcW w:w="3159" w:type="dxa"/>
            <w:vMerge w:val="continue"/>
            <w:vAlign w:val="center"/>
          </w:tcPr>
          <w:p>
            <w:pPr>
              <w:pStyle w:val="41"/>
              <w:rPr>
                <w:rFonts w:hAnsi="宋体"/>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3</w:t>
            </w:r>
          </w:p>
        </w:tc>
        <w:tc>
          <w:tcPr>
            <w:tcW w:w="1644" w:type="dxa"/>
            <w:vAlign w:val="center"/>
          </w:tcPr>
          <w:p>
            <w:pPr>
              <w:pStyle w:val="41"/>
              <w:rPr>
                <w:rFonts w:hAnsi="宋体"/>
                <w:color w:val="auto"/>
              </w:rPr>
            </w:pPr>
            <w:r>
              <w:rPr>
                <w:rFonts w:hint="eastAsia" w:hAnsi="宋体"/>
                <w:color w:val="auto"/>
              </w:rPr>
              <w:t>氯化氢</w:t>
            </w:r>
          </w:p>
        </w:tc>
        <w:tc>
          <w:tcPr>
            <w:tcW w:w="3161" w:type="dxa"/>
            <w:vAlign w:val="center"/>
          </w:tcPr>
          <w:p>
            <w:pPr>
              <w:pStyle w:val="41"/>
              <w:rPr>
                <w:rFonts w:hAnsi="宋体"/>
                <w:color w:val="auto"/>
              </w:rPr>
            </w:pPr>
            <w:r>
              <w:rPr>
                <w:rFonts w:hint="eastAsia" w:hAnsi="宋体"/>
                <w:color w:val="auto"/>
              </w:rPr>
              <w:t>0.2</w:t>
            </w:r>
          </w:p>
        </w:tc>
        <w:tc>
          <w:tcPr>
            <w:tcW w:w="3159" w:type="dxa"/>
            <w:vMerge w:val="continue"/>
            <w:vAlign w:val="center"/>
          </w:tcPr>
          <w:p>
            <w:pPr>
              <w:pStyle w:val="41"/>
              <w:rPr>
                <w:rFonts w:hAnsi="宋体"/>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4</w:t>
            </w:r>
          </w:p>
        </w:tc>
        <w:tc>
          <w:tcPr>
            <w:tcW w:w="1644" w:type="dxa"/>
            <w:vAlign w:val="center"/>
          </w:tcPr>
          <w:p>
            <w:pPr>
              <w:pStyle w:val="41"/>
              <w:rPr>
                <w:rFonts w:hAnsi="宋体"/>
                <w:color w:val="auto"/>
              </w:rPr>
            </w:pPr>
            <w:r>
              <w:rPr>
                <w:rFonts w:hint="eastAsia" w:hAnsi="宋体"/>
                <w:color w:val="auto"/>
              </w:rPr>
              <w:t>氰化氢</w:t>
            </w:r>
          </w:p>
        </w:tc>
        <w:tc>
          <w:tcPr>
            <w:tcW w:w="3161" w:type="dxa"/>
            <w:vAlign w:val="center"/>
          </w:tcPr>
          <w:p>
            <w:pPr>
              <w:pStyle w:val="41"/>
              <w:rPr>
                <w:rFonts w:hAnsi="宋体"/>
                <w:color w:val="auto"/>
              </w:rPr>
            </w:pPr>
            <w:r>
              <w:rPr>
                <w:rFonts w:hint="eastAsia" w:hAnsi="宋体"/>
                <w:color w:val="auto"/>
              </w:rPr>
              <w:t>0.024</w:t>
            </w:r>
          </w:p>
        </w:tc>
        <w:tc>
          <w:tcPr>
            <w:tcW w:w="3159" w:type="dxa"/>
            <w:vMerge w:val="continue"/>
            <w:vAlign w:val="center"/>
          </w:tcPr>
          <w:p>
            <w:pPr>
              <w:pStyle w:val="41"/>
              <w:rPr>
                <w:rFonts w:hAnsi="宋体"/>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c>
          <w:tcPr>
            <w:tcW w:w="1323" w:type="dxa"/>
          </w:tcPr>
          <w:p>
            <w:pPr>
              <w:pStyle w:val="41"/>
              <w:rPr>
                <w:rFonts w:hAnsi="宋体"/>
                <w:color w:val="auto"/>
              </w:rPr>
            </w:pPr>
            <w:r>
              <w:rPr>
                <w:rFonts w:hint="eastAsia" w:hAnsi="宋体"/>
                <w:color w:val="auto"/>
              </w:rPr>
              <w:t>5</w:t>
            </w:r>
          </w:p>
        </w:tc>
        <w:tc>
          <w:tcPr>
            <w:tcW w:w="1644" w:type="dxa"/>
            <w:vAlign w:val="center"/>
          </w:tcPr>
          <w:p>
            <w:pPr>
              <w:pStyle w:val="41"/>
              <w:rPr>
                <w:rFonts w:hAnsi="宋体"/>
                <w:color w:val="auto"/>
              </w:rPr>
            </w:pPr>
            <w:r>
              <w:rPr>
                <w:rFonts w:hint="eastAsia" w:hAnsi="宋体"/>
                <w:color w:val="auto"/>
              </w:rPr>
              <w:t>氟化物</w:t>
            </w:r>
          </w:p>
        </w:tc>
        <w:tc>
          <w:tcPr>
            <w:tcW w:w="3161" w:type="dxa"/>
            <w:vAlign w:val="center"/>
          </w:tcPr>
          <w:p>
            <w:pPr>
              <w:pStyle w:val="41"/>
              <w:rPr>
                <w:rFonts w:hAnsi="宋体"/>
                <w:color w:val="auto"/>
              </w:rPr>
            </w:pPr>
            <w:r>
              <w:rPr>
                <w:rFonts w:hint="eastAsia" w:hAnsi="宋体"/>
                <w:color w:val="auto"/>
              </w:rPr>
              <w:t>0.02</w:t>
            </w:r>
          </w:p>
        </w:tc>
        <w:tc>
          <w:tcPr>
            <w:tcW w:w="3159" w:type="dxa"/>
            <w:vMerge w:val="continue"/>
            <w:vAlign w:val="center"/>
          </w:tcPr>
          <w:p>
            <w:pPr>
              <w:pStyle w:val="41"/>
              <w:rPr>
                <w:rFonts w:hAnsi="宋体"/>
                <w:color w:val="auto"/>
              </w:rPr>
            </w:pPr>
          </w:p>
        </w:tc>
      </w:tr>
    </w:tbl>
    <w:p>
      <w:pPr>
        <w:pStyle w:val="5"/>
        <w:numPr>
          <w:ilvl w:val="1"/>
          <w:numId w:val="0"/>
        </w:numPr>
        <w:spacing w:before="156"/>
        <w:rPr>
          <w:bCs w:val="0"/>
          <w:color w:val="auto"/>
          <w:sz w:val="28"/>
          <w:szCs w:val="28"/>
        </w:rPr>
      </w:pPr>
      <w:r>
        <w:rPr>
          <w:rFonts w:hint="eastAsia"/>
          <w:bCs w:val="0"/>
          <w:color w:val="auto"/>
          <w:sz w:val="28"/>
          <w:szCs w:val="28"/>
        </w:rPr>
        <w:t>1.4评价等级判定</w:t>
      </w:r>
    </w:p>
    <w:p>
      <w:pPr>
        <w:adjustRightInd w:val="0"/>
        <w:snapToGrid w:val="0"/>
        <w:spacing w:line="360" w:lineRule="auto"/>
        <w:outlineLvl w:val="2"/>
        <w:rPr>
          <w:b/>
          <w:color w:val="auto"/>
          <w:sz w:val="24"/>
        </w:rPr>
      </w:pPr>
      <w:r>
        <w:rPr>
          <w:rFonts w:hint="eastAsia"/>
          <w:b/>
          <w:color w:val="auto"/>
          <w:sz w:val="24"/>
        </w:rPr>
        <w:t>1.4.1评价工作等级</w:t>
      </w:r>
    </w:p>
    <w:p>
      <w:pPr>
        <w:pStyle w:val="47"/>
        <w:rPr>
          <w:rFonts w:ascii="Times New Roman" w:hAnsi="Times New Roman"/>
          <w:color w:val="auto"/>
        </w:rPr>
      </w:pPr>
      <w:r>
        <w:rPr>
          <w:rFonts w:hint="eastAsia" w:ascii="Times New Roman" w:hAnsi="Times New Roman"/>
          <w:color w:val="auto"/>
        </w:rPr>
        <w:t>根据《环境影响评价技术导则 大气环境》（HJ2.2-2018）推荐估算模式预测污染物的最大影响程度和最远影响范围，其最大地面浓度占标率（Pi值）按下式计算：</w:t>
      </w:r>
    </w:p>
    <w:p>
      <w:pPr>
        <w:pStyle w:val="47"/>
        <w:jc w:val="center"/>
        <w:rPr>
          <w:rFonts w:ascii="Times New Roman" w:hAnsi="Times New Roman"/>
          <w:color w:val="auto"/>
        </w:rPr>
      </w:pPr>
      <w:r>
        <w:rPr>
          <w:rFonts w:hint="eastAsia" w:ascii="Times New Roman" w:hAnsi="Times New Roman"/>
          <w:color w:val="auto"/>
        </w:rPr>
        <w:t>Pi＝(Ci/C</w:t>
      </w:r>
      <w:r>
        <w:rPr>
          <w:rFonts w:hint="eastAsia" w:ascii="Times New Roman" w:hAnsi="Times New Roman"/>
          <w:color w:val="auto"/>
          <w:vertAlign w:val="subscript"/>
        </w:rPr>
        <w:t>0</w:t>
      </w:r>
      <w:r>
        <w:rPr>
          <w:rFonts w:hint="eastAsia" w:ascii="Times New Roman" w:hAnsi="Times New Roman"/>
          <w:color w:val="auto"/>
        </w:rPr>
        <w:t>i)×100%</w:t>
      </w:r>
    </w:p>
    <w:p>
      <w:pPr>
        <w:pStyle w:val="47"/>
        <w:rPr>
          <w:rFonts w:ascii="Times New Roman" w:hAnsi="Times New Roman"/>
          <w:color w:val="auto"/>
        </w:rPr>
      </w:pPr>
      <w:r>
        <w:rPr>
          <w:rFonts w:hint="eastAsia" w:ascii="Times New Roman" w:hAnsi="Times New Roman"/>
          <w:color w:val="auto"/>
        </w:rPr>
        <w:t>式中：Pi－第i个污染物的最大地面空气质量浓度占标率，%；</w:t>
      </w:r>
    </w:p>
    <w:p>
      <w:pPr>
        <w:pStyle w:val="47"/>
        <w:rPr>
          <w:rFonts w:ascii="Times New Roman" w:hAnsi="Times New Roman"/>
          <w:color w:val="auto"/>
        </w:rPr>
      </w:pPr>
      <w:r>
        <w:rPr>
          <w:rFonts w:hint="eastAsia" w:ascii="Times New Roman" w:hAnsi="Times New Roman"/>
          <w:color w:val="auto"/>
        </w:rPr>
        <w:t xml:space="preserve">     Ci－采用估算模型计算出的第i个污染物的最大1h地面空气质量浓度，ug/m</w:t>
      </w:r>
      <w:r>
        <w:rPr>
          <w:rFonts w:hint="eastAsia" w:ascii="Times New Roman" w:hAnsi="Times New Roman"/>
          <w:color w:val="auto"/>
          <w:vertAlign w:val="superscript"/>
        </w:rPr>
        <w:t>3</w:t>
      </w:r>
      <w:r>
        <w:rPr>
          <w:rFonts w:hint="eastAsia" w:ascii="Times New Roman" w:hAnsi="Times New Roman"/>
          <w:color w:val="auto"/>
        </w:rPr>
        <w:t>；</w:t>
      </w:r>
    </w:p>
    <w:p>
      <w:pPr>
        <w:pStyle w:val="47"/>
        <w:rPr>
          <w:rFonts w:ascii="Times New Roman" w:hAnsi="Times New Roman"/>
          <w:color w:val="auto"/>
        </w:rPr>
      </w:pPr>
      <w:r>
        <w:rPr>
          <w:rFonts w:hint="eastAsia" w:ascii="Times New Roman" w:hAnsi="Times New Roman"/>
          <w:color w:val="auto"/>
        </w:rPr>
        <w:t xml:space="preserve">     C</w:t>
      </w:r>
      <w:r>
        <w:rPr>
          <w:rFonts w:hint="eastAsia" w:ascii="Times New Roman" w:hAnsi="Times New Roman"/>
          <w:color w:val="auto"/>
          <w:vertAlign w:val="subscript"/>
        </w:rPr>
        <w:t>0</w:t>
      </w:r>
      <w:r>
        <w:rPr>
          <w:rFonts w:hint="eastAsia" w:ascii="Times New Roman" w:hAnsi="Times New Roman"/>
          <w:color w:val="auto"/>
        </w:rPr>
        <w:t>i－第i个污染物的环境空气质量标准，ug/m</w:t>
      </w:r>
      <w:r>
        <w:rPr>
          <w:rFonts w:hint="eastAsia" w:ascii="Times New Roman" w:hAnsi="Times New Roman"/>
          <w:color w:val="auto"/>
          <w:vertAlign w:val="superscript"/>
        </w:rPr>
        <w:t>3</w:t>
      </w:r>
      <w:r>
        <w:rPr>
          <w:rFonts w:hint="eastAsia" w:ascii="Times New Roman" w:hAnsi="Times New Roman"/>
          <w:color w:val="auto"/>
        </w:rPr>
        <w:t>；</w:t>
      </w:r>
    </w:p>
    <w:p>
      <w:pPr>
        <w:pStyle w:val="47"/>
        <w:rPr>
          <w:rFonts w:ascii="Times New Roman" w:hAnsi="Times New Roman"/>
          <w:color w:val="auto"/>
        </w:rPr>
      </w:pPr>
      <w:r>
        <w:rPr>
          <w:rFonts w:hint="eastAsia" w:ascii="Times New Roman" w:hAnsi="Times New Roman"/>
          <w:color w:val="auto"/>
        </w:rPr>
        <w:t xml:space="preserve">     C</w:t>
      </w:r>
      <w:r>
        <w:rPr>
          <w:rFonts w:hint="eastAsia" w:ascii="Times New Roman" w:hAnsi="Times New Roman"/>
          <w:color w:val="auto"/>
          <w:vertAlign w:val="subscript"/>
        </w:rPr>
        <w:t>0</w:t>
      </w:r>
      <w:r>
        <w:rPr>
          <w:rFonts w:hint="eastAsia" w:ascii="Times New Roman" w:hAnsi="Times New Roman"/>
          <w:color w:val="auto"/>
        </w:rPr>
        <w:t>i一般选用GB3095中1小时平均质量浓度的二级浓度限值，如项目位于一类环境空气功能区，应选择相应的一级浓度限值，对于该标准中未包含的污染物，使用5.2确定的各评价因子1h平均质量浓度限值。对于仅有8h平均质量浓度限值、日平均质量浓度限值或年平均质量浓度限值的，可分别按2倍、3倍、6倍折算为1h平均质量浓度限值。</w:t>
      </w:r>
    </w:p>
    <w:p>
      <w:pPr>
        <w:pStyle w:val="47"/>
        <w:rPr>
          <w:rFonts w:hint="eastAsia" w:ascii="Times New Roman" w:hAnsi="Times New Roman"/>
          <w:color w:val="auto"/>
        </w:rPr>
      </w:pPr>
      <w:r>
        <w:rPr>
          <w:rFonts w:hint="eastAsia" w:ascii="Times New Roman" w:hAnsi="Times New Roman"/>
          <w:color w:val="auto"/>
        </w:rPr>
        <w:t>同一个项目有多个（两个及以上）时，则按各污染源分别确定其评价等级，并取评价等级最高者做为项目的评价等级，评价工作等级的判定依据见表1.4-1。</w:t>
      </w:r>
    </w:p>
    <w:p>
      <w:pPr>
        <w:pStyle w:val="40"/>
        <w:spacing w:before="156" w:after="156"/>
        <w:rPr>
          <w:color w:val="auto"/>
        </w:rPr>
      </w:pPr>
      <w:r>
        <w:rPr>
          <w:color w:val="auto"/>
        </w:rPr>
        <w:t>表</w:t>
      </w:r>
      <w:r>
        <w:rPr>
          <w:rFonts w:hint="eastAsia"/>
          <w:color w:val="auto"/>
        </w:rPr>
        <w:t>1.4-1</w:t>
      </w:r>
      <w:r>
        <w:rPr>
          <w:color w:val="auto"/>
        </w:rPr>
        <w:t xml:space="preserve">  评价工作等级</w:t>
      </w:r>
    </w:p>
    <w:tbl>
      <w:tblPr>
        <w:tblStyle w:val="22"/>
        <w:tblW w:w="928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889"/>
        <w:gridCol w:w="639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889" w:type="dxa"/>
            <w:vAlign w:val="center"/>
          </w:tcPr>
          <w:p>
            <w:pPr>
              <w:pStyle w:val="41"/>
              <w:rPr>
                <w:color w:val="auto"/>
              </w:rPr>
            </w:pPr>
            <w:r>
              <w:rPr>
                <w:color w:val="auto"/>
              </w:rPr>
              <w:t>评价工作等级</w:t>
            </w:r>
          </w:p>
        </w:tc>
        <w:tc>
          <w:tcPr>
            <w:tcW w:w="6399" w:type="dxa"/>
            <w:vAlign w:val="center"/>
          </w:tcPr>
          <w:p>
            <w:pPr>
              <w:pStyle w:val="41"/>
              <w:rPr>
                <w:color w:val="auto"/>
              </w:rPr>
            </w:pPr>
            <w:r>
              <w:rPr>
                <w:color w:val="auto"/>
              </w:rPr>
              <w:t>评价工作等级判据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889" w:type="dxa"/>
            <w:vAlign w:val="center"/>
          </w:tcPr>
          <w:p>
            <w:pPr>
              <w:pStyle w:val="41"/>
              <w:rPr>
                <w:color w:val="auto"/>
              </w:rPr>
            </w:pPr>
            <w:r>
              <w:rPr>
                <w:color w:val="auto"/>
              </w:rPr>
              <w:t>一级</w:t>
            </w:r>
          </w:p>
        </w:tc>
        <w:tc>
          <w:tcPr>
            <w:tcW w:w="6399" w:type="dxa"/>
            <w:vAlign w:val="center"/>
          </w:tcPr>
          <w:p>
            <w:pPr>
              <w:pStyle w:val="41"/>
              <w:rPr>
                <w:color w:val="auto"/>
              </w:rPr>
            </w:pPr>
            <w:r>
              <w:rPr>
                <w:color w:val="auto"/>
              </w:rPr>
              <w:t>Pmax≥</w:t>
            </w:r>
            <w:r>
              <w:rPr>
                <w:rFonts w:hint="eastAsia"/>
                <w:color w:val="auto"/>
              </w:rPr>
              <w:t>1</w:t>
            </w:r>
            <w:r>
              <w:rPr>
                <w:color w:val="auto"/>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889" w:type="dxa"/>
            <w:vAlign w:val="center"/>
          </w:tcPr>
          <w:p>
            <w:pPr>
              <w:pStyle w:val="41"/>
              <w:rPr>
                <w:color w:val="auto"/>
              </w:rPr>
            </w:pPr>
            <w:r>
              <w:rPr>
                <w:color w:val="auto"/>
              </w:rPr>
              <w:t>二级</w:t>
            </w:r>
          </w:p>
        </w:tc>
        <w:tc>
          <w:tcPr>
            <w:tcW w:w="6399" w:type="dxa"/>
            <w:vAlign w:val="center"/>
          </w:tcPr>
          <w:p>
            <w:pPr>
              <w:pStyle w:val="41"/>
              <w:rPr>
                <w:color w:val="auto"/>
              </w:rPr>
            </w:pPr>
            <w:r>
              <w:rPr>
                <w:rFonts w:hint="eastAsia"/>
                <w:color w:val="auto"/>
              </w:rPr>
              <w:t>1%&lt;</w:t>
            </w:r>
            <w:r>
              <w:rPr>
                <w:color w:val="auto"/>
              </w:rPr>
              <w:t>Pmax</w:t>
            </w:r>
            <w:r>
              <w:rPr>
                <w:rFonts w:hint="eastAsia"/>
                <w:color w:val="auto"/>
              </w:rPr>
              <w:t>&lt;10%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889" w:type="dxa"/>
            <w:vAlign w:val="center"/>
          </w:tcPr>
          <w:p>
            <w:pPr>
              <w:pStyle w:val="41"/>
              <w:rPr>
                <w:color w:val="auto"/>
              </w:rPr>
            </w:pPr>
            <w:r>
              <w:rPr>
                <w:color w:val="auto"/>
              </w:rPr>
              <w:t>三级</w:t>
            </w:r>
          </w:p>
        </w:tc>
        <w:tc>
          <w:tcPr>
            <w:tcW w:w="6399" w:type="dxa"/>
            <w:vAlign w:val="center"/>
          </w:tcPr>
          <w:p>
            <w:pPr>
              <w:pStyle w:val="41"/>
              <w:rPr>
                <w:color w:val="auto"/>
              </w:rPr>
            </w:pPr>
            <w:r>
              <w:rPr>
                <w:color w:val="auto"/>
              </w:rPr>
              <w:t>Pmax&lt;1%</w:t>
            </w:r>
          </w:p>
        </w:tc>
      </w:tr>
    </w:tbl>
    <w:p>
      <w:pPr>
        <w:adjustRightInd w:val="0"/>
        <w:snapToGrid w:val="0"/>
        <w:spacing w:before="156" w:beforeLines="50" w:line="360" w:lineRule="auto"/>
        <w:outlineLvl w:val="2"/>
        <w:rPr>
          <w:b/>
          <w:color w:val="auto"/>
          <w:sz w:val="24"/>
        </w:rPr>
      </w:pPr>
      <w:r>
        <w:rPr>
          <w:rFonts w:hint="eastAsia"/>
          <w:b/>
          <w:color w:val="auto"/>
          <w:sz w:val="24"/>
        </w:rPr>
        <w:t>1.4.2估算模式计算结果</w:t>
      </w:r>
    </w:p>
    <w:p>
      <w:pPr>
        <w:spacing w:line="360" w:lineRule="auto"/>
        <w:ind w:firstLine="480" w:firstLineChars="200"/>
        <w:rPr>
          <w:bCs/>
          <w:color w:val="auto"/>
          <w:kern w:val="0"/>
          <w:sz w:val="24"/>
        </w:rPr>
      </w:pPr>
      <w:r>
        <w:rPr>
          <w:rFonts w:hint="eastAsia"/>
          <w:bCs/>
          <w:color w:val="auto"/>
          <w:kern w:val="0"/>
          <w:sz w:val="24"/>
        </w:rPr>
        <w:t>根据《环境影响评价技术导则</w:t>
      </w:r>
      <w:r>
        <w:rPr>
          <w:bCs/>
          <w:color w:val="auto"/>
          <w:kern w:val="0"/>
          <w:sz w:val="24"/>
        </w:rPr>
        <w:t>—</w:t>
      </w:r>
      <w:r>
        <w:rPr>
          <w:rFonts w:hint="eastAsia"/>
          <w:bCs/>
          <w:color w:val="auto"/>
          <w:kern w:val="0"/>
          <w:sz w:val="24"/>
        </w:rPr>
        <w:t>大气环境》</w:t>
      </w:r>
      <w:bookmarkStart w:id="55" w:name="OLE_LINK11"/>
      <w:r>
        <w:rPr>
          <w:rFonts w:hint="eastAsia"/>
          <w:bCs/>
          <w:color w:val="auto"/>
          <w:kern w:val="0"/>
          <w:sz w:val="24"/>
        </w:rPr>
        <w:t>（</w:t>
      </w:r>
      <w:r>
        <w:rPr>
          <w:bCs/>
          <w:color w:val="auto"/>
          <w:kern w:val="0"/>
          <w:sz w:val="24"/>
        </w:rPr>
        <w:t>HJ2.2-2018</w:t>
      </w:r>
      <w:r>
        <w:rPr>
          <w:rFonts w:hint="eastAsia"/>
          <w:bCs/>
          <w:color w:val="auto"/>
          <w:kern w:val="0"/>
          <w:sz w:val="24"/>
        </w:rPr>
        <w:t>）</w:t>
      </w:r>
      <w:bookmarkEnd w:id="55"/>
      <w:r>
        <w:rPr>
          <w:rFonts w:hint="eastAsia"/>
          <w:bCs/>
          <w:color w:val="auto"/>
          <w:kern w:val="0"/>
          <w:sz w:val="24"/>
        </w:rPr>
        <w:t>，采用六五软件工作室开发制作的大气环评专业辅助系统（</w:t>
      </w:r>
      <w:r>
        <w:rPr>
          <w:bCs/>
          <w:color w:val="auto"/>
          <w:kern w:val="0"/>
          <w:sz w:val="24"/>
        </w:rPr>
        <w:t>EIAProA20</w:t>
      </w:r>
      <w:r>
        <w:rPr>
          <w:rFonts w:hint="eastAsia"/>
          <w:bCs/>
          <w:color w:val="auto"/>
          <w:kern w:val="0"/>
          <w:sz w:val="24"/>
        </w:rPr>
        <w:t>1</w:t>
      </w:r>
      <w:r>
        <w:rPr>
          <w:bCs/>
          <w:color w:val="auto"/>
          <w:kern w:val="0"/>
          <w:sz w:val="24"/>
        </w:rPr>
        <w:t>8</w:t>
      </w:r>
      <w:r>
        <w:rPr>
          <w:rFonts w:hint="eastAsia"/>
          <w:bCs/>
          <w:color w:val="auto"/>
          <w:kern w:val="0"/>
          <w:sz w:val="24"/>
        </w:rPr>
        <w:t>）的</w:t>
      </w:r>
      <w:r>
        <w:rPr>
          <w:color w:val="auto"/>
          <w:sz w:val="24"/>
        </w:rPr>
        <w:t>ARESCREEN</w:t>
      </w:r>
      <w:r>
        <w:rPr>
          <w:rFonts w:hint="eastAsia"/>
          <w:color w:val="auto"/>
          <w:sz w:val="24"/>
        </w:rPr>
        <w:t>（版本</w:t>
      </w:r>
      <w:r>
        <w:rPr>
          <w:color w:val="auto"/>
          <w:sz w:val="24"/>
        </w:rPr>
        <w:t>Ver2.6</w:t>
      </w:r>
      <w:r>
        <w:rPr>
          <w:rFonts w:hint="eastAsia"/>
          <w:color w:val="auto"/>
          <w:sz w:val="24"/>
        </w:rPr>
        <w:t>）</w:t>
      </w:r>
      <w:r>
        <w:rPr>
          <w:rFonts w:hint="eastAsia"/>
          <w:bCs/>
          <w:color w:val="auto"/>
          <w:kern w:val="0"/>
          <w:sz w:val="24"/>
        </w:rPr>
        <w:t>模型估算，估算模式选用的参数详见表</w:t>
      </w:r>
      <w:r>
        <w:rPr>
          <w:bCs/>
          <w:color w:val="auto"/>
          <w:kern w:val="0"/>
          <w:sz w:val="24"/>
        </w:rPr>
        <w:t>1.4-</w:t>
      </w:r>
      <w:r>
        <w:rPr>
          <w:rFonts w:hint="eastAsia"/>
          <w:bCs/>
          <w:color w:val="auto"/>
          <w:kern w:val="0"/>
          <w:sz w:val="24"/>
        </w:rPr>
        <w:t>2，计算结果见表</w:t>
      </w:r>
      <w:r>
        <w:rPr>
          <w:bCs/>
          <w:color w:val="auto"/>
          <w:kern w:val="0"/>
          <w:sz w:val="24"/>
        </w:rPr>
        <w:t>1.4-</w:t>
      </w:r>
      <w:r>
        <w:rPr>
          <w:rFonts w:hint="eastAsia"/>
          <w:bCs/>
          <w:color w:val="auto"/>
          <w:kern w:val="0"/>
          <w:sz w:val="24"/>
        </w:rPr>
        <w:t>3。</w:t>
      </w:r>
    </w:p>
    <w:p>
      <w:pPr>
        <w:spacing w:line="360" w:lineRule="auto"/>
        <w:jc w:val="center"/>
        <w:rPr>
          <w:b/>
          <w:snapToGrid w:val="0"/>
          <w:color w:val="auto"/>
          <w:kern w:val="18"/>
          <w:sz w:val="24"/>
        </w:rPr>
      </w:pPr>
      <w:r>
        <w:rPr>
          <w:rFonts w:hint="eastAsia"/>
          <w:b/>
          <w:snapToGrid w:val="0"/>
          <w:color w:val="auto"/>
          <w:kern w:val="18"/>
          <w:sz w:val="24"/>
        </w:rPr>
        <w:t>表</w:t>
      </w:r>
      <w:r>
        <w:rPr>
          <w:b/>
          <w:snapToGrid w:val="0"/>
          <w:color w:val="auto"/>
          <w:kern w:val="18"/>
          <w:sz w:val="24"/>
        </w:rPr>
        <w:t>1.4-</w:t>
      </w:r>
      <w:r>
        <w:rPr>
          <w:rFonts w:hint="eastAsia"/>
          <w:b/>
          <w:snapToGrid w:val="0"/>
          <w:color w:val="auto"/>
          <w:kern w:val="18"/>
          <w:sz w:val="24"/>
        </w:rPr>
        <w:t>2</w:t>
      </w:r>
      <w:r>
        <w:rPr>
          <w:b/>
          <w:snapToGrid w:val="0"/>
          <w:color w:val="auto"/>
          <w:kern w:val="18"/>
          <w:sz w:val="24"/>
        </w:rPr>
        <w:t xml:space="preserve">  </w:t>
      </w:r>
      <w:r>
        <w:rPr>
          <w:rFonts w:hint="eastAsia"/>
          <w:b/>
          <w:snapToGrid w:val="0"/>
          <w:color w:val="auto"/>
          <w:kern w:val="18"/>
          <w:sz w:val="24"/>
        </w:rPr>
        <w:t>估算模式选用的参数一览表</w:t>
      </w:r>
    </w:p>
    <w:tbl>
      <w:tblPr>
        <w:tblStyle w:val="22"/>
        <w:tblW w:w="928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514"/>
        <w:gridCol w:w="1200"/>
        <w:gridCol w:w="1226"/>
        <w:gridCol w:w="829"/>
        <w:gridCol w:w="885"/>
        <w:gridCol w:w="960"/>
        <w:gridCol w:w="1010"/>
        <w:gridCol w:w="11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978" w:type="dxa"/>
            <w:gridSpan w:val="2"/>
            <w:tcBorders>
              <w:top w:val="single" w:color="auto" w:sz="12" w:space="0"/>
              <w:left w:val="nil"/>
              <w:bottom w:val="single" w:color="auto" w:sz="4" w:space="0"/>
              <w:right w:val="single" w:color="auto" w:sz="4" w:space="0"/>
            </w:tcBorders>
            <w:vAlign w:val="center"/>
          </w:tcPr>
          <w:p>
            <w:pPr>
              <w:jc w:val="center"/>
              <w:rPr>
                <w:color w:val="auto"/>
                <w:szCs w:val="21"/>
              </w:rPr>
            </w:pPr>
            <w:r>
              <w:rPr>
                <w:color w:val="auto"/>
                <w:szCs w:val="21"/>
              </w:rPr>
              <w:t>污染源</w:t>
            </w:r>
          </w:p>
        </w:tc>
        <w:tc>
          <w:tcPr>
            <w:tcW w:w="1200"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污染物</w:t>
            </w:r>
          </w:p>
        </w:tc>
        <w:tc>
          <w:tcPr>
            <w:tcW w:w="1226"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源强</w:t>
            </w:r>
          </w:p>
          <w:p>
            <w:pPr>
              <w:jc w:val="center"/>
              <w:rPr>
                <w:color w:val="auto"/>
                <w:szCs w:val="21"/>
              </w:rPr>
            </w:pPr>
            <w:r>
              <w:rPr>
                <w:color w:val="auto"/>
                <w:szCs w:val="21"/>
              </w:rPr>
              <w:t>（kg/h）</w:t>
            </w:r>
          </w:p>
        </w:tc>
        <w:tc>
          <w:tcPr>
            <w:tcW w:w="829"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排气</w:t>
            </w:r>
          </w:p>
          <w:p>
            <w:pPr>
              <w:jc w:val="center"/>
              <w:rPr>
                <w:color w:val="auto"/>
                <w:szCs w:val="21"/>
              </w:rPr>
            </w:pPr>
            <w:r>
              <w:rPr>
                <w:color w:val="auto"/>
                <w:szCs w:val="21"/>
              </w:rPr>
              <w:t>高度</w:t>
            </w:r>
          </w:p>
          <w:p>
            <w:pPr>
              <w:jc w:val="center"/>
              <w:rPr>
                <w:color w:val="auto"/>
                <w:szCs w:val="21"/>
              </w:rPr>
            </w:pPr>
            <w:r>
              <w:rPr>
                <w:color w:val="auto"/>
                <w:szCs w:val="21"/>
              </w:rPr>
              <w:t>（m）</w:t>
            </w:r>
          </w:p>
        </w:tc>
        <w:tc>
          <w:tcPr>
            <w:tcW w:w="885"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烟囱</w:t>
            </w:r>
          </w:p>
          <w:p>
            <w:pPr>
              <w:jc w:val="center"/>
              <w:rPr>
                <w:color w:val="auto"/>
                <w:szCs w:val="21"/>
              </w:rPr>
            </w:pPr>
            <w:r>
              <w:rPr>
                <w:color w:val="auto"/>
                <w:szCs w:val="21"/>
              </w:rPr>
              <w:t>内径</w:t>
            </w:r>
          </w:p>
          <w:p>
            <w:pPr>
              <w:jc w:val="center"/>
              <w:rPr>
                <w:color w:val="auto"/>
                <w:szCs w:val="21"/>
              </w:rPr>
            </w:pPr>
            <w:r>
              <w:rPr>
                <w:color w:val="auto"/>
                <w:szCs w:val="21"/>
              </w:rPr>
              <w:t>（m）</w:t>
            </w:r>
          </w:p>
        </w:tc>
        <w:tc>
          <w:tcPr>
            <w:tcW w:w="960"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烟气</w:t>
            </w:r>
          </w:p>
          <w:p>
            <w:pPr>
              <w:jc w:val="center"/>
              <w:rPr>
                <w:color w:val="auto"/>
                <w:szCs w:val="21"/>
              </w:rPr>
            </w:pPr>
            <w:r>
              <w:rPr>
                <w:color w:val="auto"/>
                <w:szCs w:val="21"/>
              </w:rPr>
              <w:t>排放量</w:t>
            </w:r>
          </w:p>
          <w:p>
            <w:pPr>
              <w:jc w:val="center"/>
              <w:rPr>
                <w:color w:val="auto"/>
                <w:szCs w:val="21"/>
              </w:rPr>
            </w:pPr>
            <w:r>
              <w:rPr>
                <w:color w:val="auto"/>
                <w:szCs w:val="21"/>
              </w:rPr>
              <w:t>（m</w:t>
            </w:r>
            <w:r>
              <w:rPr>
                <w:color w:val="auto"/>
                <w:szCs w:val="21"/>
                <w:vertAlign w:val="superscript"/>
              </w:rPr>
              <w:t>3</w:t>
            </w:r>
            <w:r>
              <w:rPr>
                <w:color w:val="auto"/>
                <w:szCs w:val="21"/>
              </w:rPr>
              <w:t>/h）</w:t>
            </w:r>
          </w:p>
        </w:tc>
        <w:tc>
          <w:tcPr>
            <w:tcW w:w="1010"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城市或</w:t>
            </w:r>
          </w:p>
          <w:p>
            <w:pPr>
              <w:jc w:val="center"/>
              <w:rPr>
                <w:color w:val="auto"/>
                <w:szCs w:val="21"/>
              </w:rPr>
            </w:pPr>
            <w:r>
              <w:rPr>
                <w:color w:val="auto"/>
                <w:szCs w:val="21"/>
              </w:rPr>
              <w:t>乡村</w:t>
            </w:r>
          </w:p>
        </w:tc>
        <w:tc>
          <w:tcPr>
            <w:tcW w:w="1197" w:type="dxa"/>
            <w:tcBorders>
              <w:top w:val="single" w:color="auto" w:sz="12" w:space="0"/>
              <w:left w:val="single" w:color="auto" w:sz="4" w:space="0"/>
              <w:bottom w:val="single" w:color="auto" w:sz="4" w:space="0"/>
              <w:right w:val="nil"/>
            </w:tcBorders>
            <w:vAlign w:val="center"/>
          </w:tcPr>
          <w:p>
            <w:pPr>
              <w:jc w:val="center"/>
              <w:rPr>
                <w:color w:val="auto"/>
                <w:szCs w:val="21"/>
              </w:rPr>
            </w:pPr>
            <w:r>
              <w:rPr>
                <w:color w:val="auto"/>
                <w:szCs w:val="21"/>
              </w:rPr>
              <w:t>C</w:t>
            </w:r>
            <w:r>
              <w:rPr>
                <w:color w:val="auto"/>
                <w:szCs w:val="21"/>
                <w:vertAlign w:val="subscript"/>
              </w:rPr>
              <w:t>0i</w:t>
            </w:r>
          </w:p>
          <w:p>
            <w:pPr>
              <w:jc w:val="center"/>
              <w:rPr>
                <w:color w:val="auto"/>
                <w:szCs w:val="21"/>
              </w:rPr>
            </w:pPr>
            <w:r>
              <w:rPr>
                <w:color w:val="auto"/>
                <w:szCs w:val="21"/>
              </w:rPr>
              <w:t>（mg/m</w:t>
            </w:r>
            <w:r>
              <w:rPr>
                <w:color w:val="auto"/>
                <w:szCs w:val="21"/>
                <w:vertAlign w:val="superscript"/>
              </w:rPr>
              <w:t>3</w:t>
            </w: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restart"/>
            <w:tcBorders>
              <w:top w:val="single" w:color="auto" w:sz="4" w:space="0"/>
              <w:left w:val="nil"/>
              <w:right w:val="single" w:color="auto" w:sz="4" w:space="0"/>
            </w:tcBorders>
            <w:vAlign w:val="center"/>
          </w:tcPr>
          <w:p>
            <w:pPr>
              <w:jc w:val="center"/>
              <w:rPr>
                <w:iCs/>
                <w:color w:val="auto"/>
                <w:szCs w:val="21"/>
              </w:rPr>
            </w:pPr>
            <w:r>
              <w:rPr>
                <w:iCs/>
                <w:color w:val="auto"/>
                <w:szCs w:val="21"/>
              </w:rPr>
              <w:t>有组织</w:t>
            </w:r>
          </w:p>
        </w:tc>
        <w:tc>
          <w:tcPr>
            <w:tcW w:w="1514"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排气筒1#</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硫酸雾</w:t>
            </w:r>
          </w:p>
        </w:tc>
        <w:tc>
          <w:tcPr>
            <w:tcW w:w="122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kern w:val="0"/>
                <w:szCs w:val="21"/>
                <w:lang w:bidi="ar"/>
              </w:rPr>
              <w:t>0.0000024</w:t>
            </w:r>
          </w:p>
        </w:tc>
        <w:tc>
          <w:tcPr>
            <w:tcW w:w="829"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15</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0.25</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1.57</w:t>
            </w:r>
          </w:p>
        </w:tc>
        <w:tc>
          <w:tcPr>
            <w:tcW w:w="1010" w:type="dxa"/>
            <w:vMerge w:val="restart"/>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农村</w:t>
            </w: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right w:val="single" w:color="auto" w:sz="4" w:space="0"/>
            </w:tcBorders>
            <w:vAlign w:val="center"/>
          </w:tcPr>
          <w:p>
            <w:pPr>
              <w:widowControl/>
              <w:jc w:val="left"/>
              <w:rPr>
                <w:iCs/>
                <w:color w:val="auto"/>
                <w:szCs w:val="21"/>
              </w:rPr>
            </w:pPr>
          </w:p>
        </w:tc>
        <w:tc>
          <w:tcPr>
            <w:tcW w:w="1514" w:type="dxa"/>
            <w:vMerge w:val="continue"/>
            <w:tcBorders>
              <w:left w:val="single" w:color="auto" w:sz="4" w:space="0"/>
              <w:right w:val="single" w:color="auto" w:sz="4" w:space="0"/>
            </w:tcBorders>
            <w:vAlign w:val="center"/>
          </w:tcPr>
          <w:p>
            <w:pPr>
              <w:widowControl/>
              <w:jc w:val="center"/>
              <w:rPr>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pacing w:val="-10"/>
                <w:sz w:val="21"/>
                <w:szCs w:val="21"/>
              </w:rPr>
            </w:pPr>
            <w:r>
              <w:rPr>
                <w:rFonts w:hint="eastAsia" w:ascii="Times New Roman" w:hAnsi="Times New Roman" w:cs="Times New Roman"/>
                <w:color w:val="auto"/>
                <w:spacing w:val="-10"/>
                <w:sz w:val="21"/>
                <w:szCs w:val="21"/>
              </w:rPr>
              <w:t>氯化氢</w:t>
            </w:r>
          </w:p>
        </w:tc>
        <w:tc>
          <w:tcPr>
            <w:tcW w:w="122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kern w:val="0"/>
                <w:szCs w:val="21"/>
                <w:lang w:bidi="ar"/>
              </w:rPr>
              <w:t>0.006</w:t>
            </w:r>
          </w:p>
        </w:tc>
        <w:tc>
          <w:tcPr>
            <w:tcW w:w="829" w:type="dxa"/>
            <w:vMerge w:val="continue"/>
            <w:tcBorders>
              <w:left w:val="single" w:color="auto" w:sz="4" w:space="0"/>
              <w:right w:val="single" w:color="auto" w:sz="4" w:space="0"/>
            </w:tcBorders>
            <w:vAlign w:val="center"/>
          </w:tcPr>
          <w:p>
            <w:pPr>
              <w:widowControl/>
              <w:jc w:val="left"/>
              <w:rPr>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0.25</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6910</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right w:val="single" w:color="auto" w:sz="4" w:space="0"/>
            </w:tcBorders>
            <w:vAlign w:val="center"/>
          </w:tcPr>
          <w:p>
            <w:pPr>
              <w:widowControl/>
              <w:jc w:val="left"/>
              <w:rPr>
                <w:iCs/>
                <w:color w:val="auto"/>
                <w:szCs w:val="21"/>
              </w:rPr>
            </w:pPr>
          </w:p>
        </w:tc>
        <w:tc>
          <w:tcPr>
            <w:tcW w:w="1514" w:type="dxa"/>
            <w:vMerge w:val="continue"/>
            <w:tcBorders>
              <w:left w:val="single" w:color="auto" w:sz="4" w:space="0"/>
              <w:bottom w:val="single" w:color="auto" w:sz="4" w:space="0"/>
              <w:right w:val="single" w:color="auto" w:sz="4" w:space="0"/>
            </w:tcBorders>
            <w:vAlign w:val="center"/>
          </w:tcPr>
          <w:p>
            <w:pPr>
              <w:widowControl/>
              <w:jc w:val="center"/>
              <w:rPr>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pacing w:val="-10"/>
                <w:sz w:val="21"/>
                <w:szCs w:val="21"/>
              </w:rPr>
            </w:pPr>
            <w:r>
              <w:rPr>
                <w:rFonts w:hint="eastAsia" w:ascii="Times New Roman" w:hAnsi="Times New Roman" w:cs="Times New Roman"/>
                <w:color w:val="auto"/>
                <w:spacing w:val="-10"/>
                <w:sz w:val="21"/>
                <w:szCs w:val="21"/>
              </w:rPr>
              <w:t>氟化物</w:t>
            </w:r>
          </w:p>
        </w:tc>
        <w:tc>
          <w:tcPr>
            <w:tcW w:w="122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kern w:val="0"/>
                <w:szCs w:val="21"/>
                <w:lang w:bidi="ar"/>
              </w:rPr>
              <w:t>0.001975</w:t>
            </w:r>
          </w:p>
        </w:tc>
        <w:tc>
          <w:tcPr>
            <w:tcW w:w="829" w:type="dxa"/>
            <w:vMerge w:val="continue"/>
            <w:tcBorders>
              <w:left w:val="single" w:color="auto" w:sz="4" w:space="0"/>
              <w:bottom w:val="single" w:color="auto" w:sz="4" w:space="0"/>
              <w:right w:val="single" w:color="auto" w:sz="4" w:space="0"/>
            </w:tcBorders>
            <w:vAlign w:val="center"/>
          </w:tcPr>
          <w:p>
            <w:pPr>
              <w:widowControl/>
              <w:jc w:val="left"/>
              <w:rPr>
                <w:color w:val="auto"/>
                <w:szCs w:val="21"/>
              </w:rPr>
            </w:pP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0.25</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6910</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right w:val="single" w:color="auto" w:sz="4" w:space="0"/>
            </w:tcBorders>
            <w:vAlign w:val="center"/>
          </w:tcPr>
          <w:p>
            <w:pPr>
              <w:widowControl/>
              <w:jc w:val="left"/>
              <w:rPr>
                <w:iCs/>
                <w:color w:val="auto"/>
                <w:szCs w:val="21"/>
              </w:rPr>
            </w:pPr>
          </w:p>
        </w:tc>
        <w:tc>
          <w:tcPr>
            <w:tcW w:w="1514"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rPr>
            </w:pPr>
            <w:r>
              <w:rPr>
                <w:color w:val="auto"/>
                <w:szCs w:val="21"/>
              </w:rPr>
              <w:t>排气筒</w:t>
            </w:r>
            <w:r>
              <w:rPr>
                <w:rFonts w:hint="eastAsia"/>
                <w:color w:val="auto"/>
                <w:szCs w:val="21"/>
              </w:rPr>
              <w:t>2</w:t>
            </w:r>
            <w:r>
              <w:rPr>
                <w:color w:val="auto"/>
                <w:szCs w:val="21"/>
              </w:rPr>
              <w:t>#</w:t>
            </w: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pacing w:val="-10"/>
                <w:sz w:val="21"/>
                <w:szCs w:val="21"/>
              </w:rPr>
            </w:pPr>
            <w:r>
              <w:rPr>
                <w:rFonts w:hint="eastAsia" w:ascii="Times New Roman" w:hAnsi="Times New Roman" w:cs="Times New Roman"/>
                <w:color w:val="auto"/>
                <w:spacing w:val="-10"/>
                <w:sz w:val="21"/>
                <w:szCs w:val="21"/>
              </w:rPr>
              <w:t>铬酸雾</w:t>
            </w:r>
          </w:p>
        </w:tc>
        <w:tc>
          <w:tcPr>
            <w:tcW w:w="122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kern w:val="0"/>
                <w:szCs w:val="21"/>
                <w:lang w:bidi="ar"/>
              </w:rPr>
              <w:t>0.00003</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rPr>
            </w:pPr>
            <w:r>
              <w:rPr>
                <w:rFonts w:hint="eastAsia"/>
                <w:color w:val="auto"/>
                <w:szCs w:val="21"/>
              </w:rPr>
              <w:t>15</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0.25</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6460</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bottom w:val="single" w:color="auto" w:sz="4" w:space="0"/>
              <w:right w:val="single" w:color="auto" w:sz="4" w:space="0"/>
            </w:tcBorders>
            <w:vAlign w:val="center"/>
          </w:tcPr>
          <w:p>
            <w:pPr>
              <w:widowControl/>
              <w:jc w:val="left"/>
              <w:rPr>
                <w:iCs/>
                <w:color w:val="auto"/>
                <w:szCs w:val="21"/>
              </w:rPr>
            </w:pPr>
          </w:p>
        </w:tc>
        <w:tc>
          <w:tcPr>
            <w:tcW w:w="1514"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rPr>
            </w:pPr>
            <w:r>
              <w:rPr>
                <w:color w:val="auto"/>
                <w:szCs w:val="21"/>
              </w:rPr>
              <w:t>排气筒</w:t>
            </w:r>
            <w:r>
              <w:rPr>
                <w:rFonts w:hint="eastAsia"/>
                <w:color w:val="auto"/>
                <w:szCs w:val="21"/>
              </w:rPr>
              <w:t>3</w:t>
            </w:r>
            <w:r>
              <w:rPr>
                <w:color w:val="auto"/>
                <w:szCs w:val="21"/>
              </w:rPr>
              <w:t>#</w:t>
            </w: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pacing w:val="-10"/>
                <w:sz w:val="21"/>
                <w:szCs w:val="21"/>
              </w:rPr>
            </w:pPr>
            <w:r>
              <w:rPr>
                <w:rFonts w:hint="eastAsia" w:ascii="Times New Roman" w:hAnsi="Times New Roman" w:cs="Times New Roman"/>
                <w:color w:val="auto"/>
                <w:spacing w:val="-10"/>
                <w:sz w:val="21"/>
                <w:szCs w:val="21"/>
              </w:rPr>
              <w:t>氰化氢</w:t>
            </w:r>
          </w:p>
        </w:tc>
        <w:tc>
          <w:tcPr>
            <w:tcW w:w="122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kern w:val="0"/>
                <w:szCs w:val="21"/>
                <w:lang w:bidi="ar"/>
              </w:rPr>
              <w:t>0.0001</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rPr>
            </w:pPr>
            <w:r>
              <w:rPr>
                <w:rFonts w:hint="eastAsia"/>
                <w:color w:val="auto"/>
                <w:szCs w:val="21"/>
              </w:rPr>
              <w:t>15</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0.25</w:t>
            </w:r>
          </w:p>
        </w:tc>
        <w:tc>
          <w:tcPr>
            <w:tcW w:w="96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1500</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restart"/>
            <w:tcBorders>
              <w:top w:val="single" w:color="auto" w:sz="4" w:space="0"/>
              <w:left w:val="nil"/>
              <w:right w:val="single" w:color="auto" w:sz="4" w:space="0"/>
            </w:tcBorders>
            <w:vAlign w:val="center"/>
          </w:tcPr>
          <w:p>
            <w:pPr>
              <w:jc w:val="center"/>
              <w:rPr>
                <w:iCs/>
                <w:color w:val="auto"/>
                <w:szCs w:val="21"/>
              </w:rPr>
            </w:pPr>
            <w:r>
              <w:rPr>
                <w:iCs/>
                <w:color w:val="auto"/>
                <w:szCs w:val="21"/>
              </w:rPr>
              <w:t>无组织</w:t>
            </w:r>
          </w:p>
        </w:tc>
        <w:tc>
          <w:tcPr>
            <w:tcW w:w="1514" w:type="dxa"/>
            <w:vMerge w:val="restart"/>
            <w:tcBorders>
              <w:top w:val="single" w:color="auto" w:sz="4" w:space="0"/>
              <w:left w:val="single" w:color="auto" w:sz="4" w:space="0"/>
              <w:right w:val="single" w:color="auto" w:sz="4" w:space="0"/>
            </w:tcBorders>
            <w:vAlign w:val="center"/>
          </w:tcPr>
          <w:p>
            <w:pPr>
              <w:jc w:val="center"/>
              <w:rPr>
                <w:iCs/>
                <w:color w:val="auto"/>
                <w:szCs w:val="21"/>
              </w:rPr>
            </w:pPr>
            <w:r>
              <w:rPr>
                <w:iCs/>
                <w:color w:val="auto"/>
                <w:szCs w:val="21"/>
              </w:rPr>
              <w:t>车间</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color w:val="auto"/>
                <w:spacing w:val="-10"/>
                <w:szCs w:val="21"/>
              </w:rPr>
            </w:pPr>
            <w:r>
              <w:rPr>
                <w:color w:val="auto"/>
                <w:szCs w:val="21"/>
              </w:rPr>
              <w:t>硫酸雾</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szCs w:val="21"/>
              </w:rPr>
            </w:pPr>
            <w:r>
              <w:rPr>
                <w:color w:val="auto"/>
                <w:kern w:val="0"/>
                <w:szCs w:val="21"/>
                <w:lang w:bidi="ar"/>
              </w:rPr>
              <w:t xml:space="preserve">0.00000042 </w:t>
            </w:r>
          </w:p>
        </w:tc>
        <w:tc>
          <w:tcPr>
            <w:tcW w:w="2674"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46.6m×20m</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right w:val="single" w:color="auto" w:sz="4" w:space="0"/>
            </w:tcBorders>
            <w:vAlign w:val="center"/>
          </w:tcPr>
          <w:p>
            <w:pPr>
              <w:widowControl/>
              <w:jc w:val="left"/>
              <w:rPr>
                <w:iCs/>
                <w:color w:val="auto"/>
                <w:szCs w:val="21"/>
              </w:rPr>
            </w:pPr>
          </w:p>
        </w:tc>
        <w:tc>
          <w:tcPr>
            <w:tcW w:w="1514" w:type="dxa"/>
            <w:vMerge w:val="continue"/>
            <w:tcBorders>
              <w:left w:val="single" w:color="auto" w:sz="4" w:space="0"/>
              <w:right w:val="single" w:color="auto" w:sz="4" w:space="0"/>
            </w:tcBorders>
            <w:vAlign w:val="center"/>
          </w:tcPr>
          <w:p>
            <w:pPr>
              <w:widowControl/>
              <w:jc w:val="left"/>
              <w:rPr>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pacing w:val="-10"/>
                <w:sz w:val="21"/>
                <w:szCs w:val="21"/>
              </w:rPr>
            </w:pPr>
            <w:r>
              <w:rPr>
                <w:rFonts w:hint="eastAsia" w:ascii="Times New Roman" w:hAnsi="Times New Roman" w:cs="Times New Roman"/>
                <w:color w:val="auto"/>
                <w:spacing w:val="-10"/>
                <w:sz w:val="21"/>
                <w:szCs w:val="21"/>
              </w:rPr>
              <w:t>氯化氢</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szCs w:val="21"/>
              </w:rPr>
            </w:pPr>
            <w:r>
              <w:rPr>
                <w:color w:val="auto"/>
                <w:kern w:val="0"/>
                <w:szCs w:val="21"/>
                <w:lang w:bidi="ar"/>
              </w:rPr>
              <w:t xml:space="preserve">0.00106 </w:t>
            </w:r>
          </w:p>
        </w:tc>
        <w:tc>
          <w:tcPr>
            <w:tcW w:w="2674"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46.6m×20m</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right w:val="single" w:color="auto" w:sz="4" w:space="0"/>
            </w:tcBorders>
            <w:vAlign w:val="center"/>
          </w:tcPr>
          <w:p>
            <w:pPr>
              <w:widowControl/>
              <w:jc w:val="left"/>
              <w:rPr>
                <w:iCs/>
                <w:color w:val="auto"/>
                <w:szCs w:val="21"/>
              </w:rPr>
            </w:pPr>
          </w:p>
        </w:tc>
        <w:tc>
          <w:tcPr>
            <w:tcW w:w="1514" w:type="dxa"/>
            <w:vMerge w:val="continue"/>
            <w:tcBorders>
              <w:left w:val="single" w:color="auto" w:sz="4" w:space="0"/>
              <w:right w:val="single" w:color="auto" w:sz="4" w:space="0"/>
            </w:tcBorders>
            <w:vAlign w:val="center"/>
          </w:tcPr>
          <w:p>
            <w:pPr>
              <w:widowControl/>
              <w:jc w:val="left"/>
              <w:rPr>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pacing w:val="-10"/>
                <w:sz w:val="21"/>
                <w:szCs w:val="21"/>
              </w:rPr>
            </w:pPr>
            <w:r>
              <w:rPr>
                <w:rFonts w:hint="eastAsia" w:ascii="Times New Roman" w:hAnsi="Times New Roman" w:cs="Times New Roman"/>
                <w:color w:val="auto"/>
                <w:spacing w:val="-10"/>
                <w:sz w:val="21"/>
                <w:szCs w:val="21"/>
              </w:rPr>
              <w:t>氟化物</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szCs w:val="21"/>
              </w:rPr>
            </w:pPr>
            <w:r>
              <w:rPr>
                <w:color w:val="auto"/>
                <w:kern w:val="0"/>
                <w:szCs w:val="21"/>
                <w:lang w:bidi="ar"/>
              </w:rPr>
              <w:t xml:space="preserve">0.000349 </w:t>
            </w:r>
          </w:p>
        </w:tc>
        <w:tc>
          <w:tcPr>
            <w:tcW w:w="2674"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46.6m×20m</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right w:val="single" w:color="auto" w:sz="4" w:space="0"/>
            </w:tcBorders>
            <w:vAlign w:val="center"/>
          </w:tcPr>
          <w:p>
            <w:pPr>
              <w:jc w:val="center"/>
              <w:rPr>
                <w:iCs/>
                <w:color w:val="auto"/>
                <w:szCs w:val="21"/>
              </w:rPr>
            </w:pPr>
          </w:p>
        </w:tc>
        <w:tc>
          <w:tcPr>
            <w:tcW w:w="1514" w:type="dxa"/>
            <w:vMerge w:val="continue"/>
            <w:tcBorders>
              <w:left w:val="single" w:color="auto" w:sz="4" w:space="0"/>
              <w:right w:val="single" w:color="auto" w:sz="4" w:space="0"/>
            </w:tcBorders>
            <w:vAlign w:val="center"/>
          </w:tcPr>
          <w:p>
            <w:pPr>
              <w:jc w:val="center"/>
              <w:rPr>
                <w:iCs/>
                <w:color w:val="auto"/>
                <w:szCs w:val="21"/>
              </w:rPr>
            </w:pPr>
          </w:p>
        </w:tc>
        <w:tc>
          <w:tcPr>
            <w:tcW w:w="1200"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pacing w:val="-10"/>
                <w:sz w:val="21"/>
                <w:szCs w:val="21"/>
              </w:rPr>
              <w:t>铬酸雾</w:t>
            </w:r>
          </w:p>
        </w:tc>
        <w:tc>
          <w:tcPr>
            <w:tcW w:w="12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szCs w:val="21"/>
              </w:rPr>
            </w:pPr>
            <w:r>
              <w:rPr>
                <w:color w:val="auto"/>
                <w:kern w:val="0"/>
                <w:szCs w:val="21"/>
                <w:lang w:bidi="ar"/>
              </w:rPr>
              <w:t xml:space="preserve">0.000005 </w:t>
            </w:r>
          </w:p>
        </w:tc>
        <w:tc>
          <w:tcPr>
            <w:tcW w:w="2674"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46.6m×20m</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4"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64" w:type="dxa"/>
            <w:vMerge w:val="continue"/>
            <w:tcBorders>
              <w:left w:val="nil"/>
              <w:bottom w:val="single" w:color="auto" w:sz="12" w:space="0"/>
              <w:right w:val="single" w:color="auto" w:sz="4" w:space="0"/>
            </w:tcBorders>
            <w:vAlign w:val="center"/>
          </w:tcPr>
          <w:p>
            <w:pPr>
              <w:widowControl/>
              <w:jc w:val="left"/>
              <w:rPr>
                <w:iCs/>
                <w:color w:val="auto"/>
                <w:szCs w:val="21"/>
              </w:rPr>
            </w:pPr>
          </w:p>
        </w:tc>
        <w:tc>
          <w:tcPr>
            <w:tcW w:w="1514" w:type="dxa"/>
            <w:vMerge w:val="continue"/>
            <w:tcBorders>
              <w:left w:val="single" w:color="auto" w:sz="4" w:space="0"/>
              <w:bottom w:val="single" w:color="auto" w:sz="12" w:space="0"/>
              <w:right w:val="single" w:color="auto" w:sz="4" w:space="0"/>
            </w:tcBorders>
            <w:vAlign w:val="center"/>
          </w:tcPr>
          <w:p>
            <w:pPr>
              <w:widowControl/>
              <w:jc w:val="left"/>
              <w:rPr>
                <w:iCs/>
                <w:color w:val="auto"/>
                <w:szCs w:val="21"/>
              </w:rPr>
            </w:pPr>
          </w:p>
        </w:tc>
        <w:tc>
          <w:tcPr>
            <w:tcW w:w="1200" w:type="dxa"/>
            <w:tcBorders>
              <w:top w:val="single" w:color="auto" w:sz="4" w:space="0"/>
              <w:left w:val="single" w:color="auto" w:sz="4" w:space="0"/>
              <w:bottom w:val="single" w:color="auto" w:sz="12" w:space="0"/>
              <w:right w:val="single" w:color="auto" w:sz="4" w:space="0"/>
            </w:tcBorders>
            <w:vAlign w:val="center"/>
          </w:tcPr>
          <w:p>
            <w:pPr>
              <w:pStyle w:val="33"/>
              <w:spacing w:line="240" w:lineRule="auto"/>
              <w:rPr>
                <w:rFonts w:ascii="Times New Roman" w:hAnsi="Times New Roman" w:cs="Times New Roman"/>
                <w:color w:val="auto"/>
                <w:sz w:val="21"/>
                <w:szCs w:val="21"/>
              </w:rPr>
            </w:pPr>
            <w:r>
              <w:rPr>
                <w:rFonts w:hint="eastAsia" w:ascii="Times New Roman" w:hAnsi="Times New Roman" w:cs="Times New Roman"/>
                <w:color w:val="auto"/>
                <w:spacing w:val="-10"/>
                <w:sz w:val="21"/>
                <w:szCs w:val="21"/>
              </w:rPr>
              <w:t>氰化氢</w:t>
            </w:r>
          </w:p>
        </w:tc>
        <w:tc>
          <w:tcPr>
            <w:tcW w:w="1226"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szCs w:val="21"/>
              </w:rPr>
            </w:pPr>
            <w:r>
              <w:rPr>
                <w:color w:val="auto"/>
                <w:kern w:val="0"/>
                <w:szCs w:val="21"/>
                <w:lang w:bidi="ar"/>
              </w:rPr>
              <w:t xml:space="preserve">0.000018 </w:t>
            </w:r>
          </w:p>
        </w:tc>
        <w:tc>
          <w:tcPr>
            <w:tcW w:w="2674" w:type="dxa"/>
            <w:gridSpan w:val="3"/>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rFonts w:hint="eastAsia"/>
                <w:color w:val="auto"/>
                <w:szCs w:val="21"/>
              </w:rPr>
              <w:t>46.6m×20m</w:t>
            </w:r>
          </w:p>
        </w:tc>
        <w:tc>
          <w:tcPr>
            <w:tcW w:w="1010"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1197" w:type="dxa"/>
            <w:tcBorders>
              <w:top w:val="single" w:color="auto" w:sz="4" w:space="0"/>
              <w:left w:val="single" w:color="auto" w:sz="4" w:space="0"/>
              <w:bottom w:val="single" w:color="auto" w:sz="12" w:space="0"/>
              <w:right w:val="nil"/>
            </w:tcBorders>
            <w:vAlign w:val="center"/>
          </w:tcPr>
          <w:p>
            <w:pPr>
              <w:pStyle w:val="63"/>
              <w:tabs>
                <w:tab w:val="right" w:pos="8502"/>
                <w:tab w:val="right" w:pos="8802"/>
              </w:tabs>
              <w:rPr>
                <w:rFonts w:eastAsia="宋体"/>
                <w:color w:val="auto"/>
                <w:szCs w:val="21"/>
              </w:rPr>
            </w:pPr>
            <w:r>
              <w:rPr>
                <w:rFonts w:hint="eastAsia" w:eastAsia="宋体"/>
                <w:color w:val="auto"/>
                <w:szCs w:val="21"/>
              </w:rPr>
              <w:t>0.3</w:t>
            </w:r>
          </w:p>
        </w:tc>
      </w:tr>
    </w:tbl>
    <w:p>
      <w:pPr>
        <w:spacing w:line="360" w:lineRule="auto"/>
        <w:ind w:firstLine="1084" w:firstLineChars="450"/>
        <w:jc w:val="center"/>
        <w:rPr>
          <w:b/>
          <w:bCs/>
          <w:color w:val="auto"/>
          <w:kern w:val="0"/>
          <w:sz w:val="24"/>
        </w:rPr>
      </w:pPr>
      <w:r>
        <w:rPr>
          <w:rFonts w:hint="eastAsia"/>
          <w:b/>
          <w:bCs/>
          <w:color w:val="auto"/>
          <w:kern w:val="0"/>
          <w:sz w:val="24"/>
        </w:rPr>
        <w:t>表</w:t>
      </w:r>
      <w:r>
        <w:rPr>
          <w:b/>
          <w:bCs/>
          <w:color w:val="auto"/>
          <w:kern w:val="0"/>
          <w:sz w:val="24"/>
        </w:rPr>
        <w:t>1.4-</w:t>
      </w:r>
      <w:r>
        <w:rPr>
          <w:rFonts w:hint="eastAsia"/>
          <w:b/>
          <w:bCs/>
          <w:color w:val="auto"/>
          <w:kern w:val="0"/>
          <w:sz w:val="24"/>
        </w:rPr>
        <w:t>3 大气污染物占标率计算结果</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05"/>
        <w:gridCol w:w="2115"/>
        <w:gridCol w:w="1641"/>
        <w:gridCol w:w="1133"/>
        <w:gridCol w:w="1602"/>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1" w:type="dxa"/>
            <w:gridSpan w:val="2"/>
            <w:tcBorders>
              <w:top w:val="single" w:color="auto" w:sz="12" w:space="0"/>
              <w:left w:val="nil"/>
              <w:bottom w:val="single" w:color="auto" w:sz="4" w:space="0"/>
              <w:right w:val="single" w:color="auto" w:sz="4" w:space="0"/>
            </w:tcBorders>
            <w:vAlign w:val="center"/>
          </w:tcPr>
          <w:p>
            <w:pPr>
              <w:jc w:val="center"/>
              <w:rPr>
                <w:iCs/>
                <w:color w:val="auto"/>
                <w:szCs w:val="21"/>
              </w:rPr>
            </w:pPr>
            <w:r>
              <w:rPr>
                <w:rFonts w:hint="eastAsia"/>
                <w:iCs/>
                <w:color w:val="auto"/>
                <w:szCs w:val="21"/>
              </w:rPr>
              <w:t>污染产生工段</w:t>
            </w:r>
          </w:p>
        </w:tc>
        <w:tc>
          <w:tcPr>
            <w:tcW w:w="2115" w:type="dxa"/>
            <w:tcBorders>
              <w:top w:val="single" w:color="auto" w:sz="12" w:space="0"/>
              <w:left w:val="single" w:color="auto" w:sz="4" w:space="0"/>
              <w:bottom w:val="single" w:color="auto" w:sz="4" w:space="0"/>
              <w:right w:val="single" w:color="auto" w:sz="4" w:space="0"/>
            </w:tcBorders>
            <w:vAlign w:val="center"/>
          </w:tcPr>
          <w:p>
            <w:pPr>
              <w:jc w:val="center"/>
              <w:rPr>
                <w:iCs/>
                <w:color w:val="auto"/>
                <w:szCs w:val="21"/>
              </w:rPr>
            </w:pPr>
            <w:r>
              <w:rPr>
                <w:rFonts w:hint="eastAsia"/>
                <w:iCs/>
                <w:color w:val="auto"/>
                <w:szCs w:val="21"/>
              </w:rPr>
              <w:t>污染物</w:t>
            </w:r>
          </w:p>
        </w:tc>
        <w:tc>
          <w:tcPr>
            <w:tcW w:w="1641" w:type="dxa"/>
            <w:tcBorders>
              <w:top w:val="single" w:color="auto" w:sz="12" w:space="0"/>
              <w:left w:val="single" w:color="auto" w:sz="4" w:space="0"/>
              <w:bottom w:val="single" w:color="auto" w:sz="4" w:space="0"/>
              <w:right w:val="single" w:color="auto" w:sz="4" w:space="0"/>
            </w:tcBorders>
            <w:vAlign w:val="center"/>
          </w:tcPr>
          <w:p>
            <w:pPr>
              <w:widowControl/>
              <w:jc w:val="center"/>
              <w:rPr>
                <w:color w:val="auto"/>
                <w:kern w:val="0"/>
                <w:szCs w:val="21"/>
              </w:rPr>
            </w:pPr>
            <w:r>
              <w:rPr>
                <w:rFonts w:hint="eastAsia"/>
                <w:color w:val="auto"/>
                <w:kern w:val="0"/>
                <w:szCs w:val="21"/>
              </w:rPr>
              <w:t>最大落地浓度</w:t>
            </w:r>
          </w:p>
        </w:tc>
        <w:tc>
          <w:tcPr>
            <w:tcW w:w="1133" w:type="dxa"/>
            <w:tcBorders>
              <w:top w:val="single" w:color="auto" w:sz="12" w:space="0"/>
              <w:left w:val="single" w:color="auto" w:sz="4" w:space="0"/>
              <w:bottom w:val="single" w:color="auto" w:sz="4" w:space="0"/>
              <w:right w:val="single" w:color="auto" w:sz="4" w:space="0"/>
            </w:tcBorders>
            <w:vAlign w:val="center"/>
          </w:tcPr>
          <w:p>
            <w:pPr>
              <w:widowControl/>
              <w:jc w:val="center"/>
              <w:rPr>
                <w:color w:val="auto"/>
                <w:kern w:val="0"/>
                <w:szCs w:val="21"/>
              </w:rPr>
            </w:pPr>
            <w:r>
              <w:rPr>
                <w:rFonts w:hint="eastAsia"/>
                <w:color w:val="auto"/>
                <w:szCs w:val="21"/>
              </w:rPr>
              <w:t>质量标准</w:t>
            </w:r>
          </w:p>
        </w:tc>
        <w:tc>
          <w:tcPr>
            <w:tcW w:w="160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最大占标率</w:t>
            </w:r>
            <w:r>
              <w:rPr>
                <w:color w:val="auto"/>
                <w:szCs w:val="21"/>
              </w:rPr>
              <w:t>Pi</w:t>
            </w:r>
          </w:p>
        </w:tc>
        <w:tc>
          <w:tcPr>
            <w:tcW w:w="1134" w:type="dxa"/>
            <w:tcBorders>
              <w:top w:val="single" w:color="auto" w:sz="12" w:space="0"/>
              <w:left w:val="single" w:color="auto" w:sz="4" w:space="0"/>
              <w:bottom w:val="single" w:color="auto" w:sz="4" w:space="0"/>
              <w:right w:val="nil"/>
            </w:tcBorders>
            <w:vAlign w:val="center"/>
          </w:tcPr>
          <w:p>
            <w:pPr>
              <w:widowControl/>
              <w:jc w:val="center"/>
              <w:rPr>
                <w:color w:val="auto"/>
                <w:kern w:val="0"/>
                <w:szCs w:val="21"/>
              </w:rPr>
            </w:pPr>
            <w:r>
              <w:rPr>
                <w:rFonts w:hint="eastAsia"/>
                <w:color w:val="auto"/>
                <w:kern w:val="0"/>
                <w:szCs w:val="21"/>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restart"/>
            <w:tcBorders>
              <w:top w:val="single" w:color="auto" w:sz="4" w:space="0"/>
              <w:left w:val="nil"/>
              <w:right w:val="single" w:color="auto" w:sz="4" w:space="0"/>
            </w:tcBorders>
            <w:vAlign w:val="center"/>
          </w:tcPr>
          <w:p>
            <w:pPr>
              <w:jc w:val="center"/>
              <w:rPr>
                <w:iCs/>
                <w:color w:val="auto"/>
                <w:szCs w:val="21"/>
              </w:rPr>
            </w:pPr>
            <w:r>
              <w:rPr>
                <w:rFonts w:hint="eastAsia"/>
                <w:iCs/>
                <w:color w:val="auto"/>
                <w:szCs w:val="21"/>
              </w:rPr>
              <w:t>有组织</w:t>
            </w:r>
          </w:p>
        </w:tc>
        <w:tc>
          <w:tcPr>
            <w:tcW w:w="1205"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排气筒1#</w:t>
            </w:r>
          </w:p>
        </w:tc>
        <w:tc>
          <w:tcPr>
            <w:tcW w:w="211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硫酸雾</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szCs w:val="21"/>
              </w:rPr>
            </w:pPr>
            <w:r>
              <w:rPr>
                <w:rFonts w:hint="eastAsia"/>
                <w:color w:val="auto"/>
                <w:kern w:val="0"/>
                <w:szCs w:val="21"/>
              </w:rPr>
              <w:t>0</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0.3</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0</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right w:val="single" w:color="auto" w:sz="4" w:space="0"/>
            </w:tcBorders>
            <w:vAlign w:val="center"/>
          </w:tcPr>
          <w:p>
            <w:pPr>
              <w:widowControl/>
              <w:jc w:val="left"/>
              <w:rPr>
                <w:iCs/>
                <w:color w:val="auto"/>
                <w:szCs w:val="21"/>
              </w:rPr>
            </w:pPr>
          </w:p>
        </w:tc>
        <w:tc>
          <w:tcPr>
            <w:tcW w:w="1205" w:type="dxa"/>
            <w:vMerge w:val="continue"/>
            <w:tcBorders>
              <w:left w:val="single" w:color="auto" w:sz="4" w:space="0"/>
              <w:right w:val="single" w:color="auto" w:sz="4" w:space="0"/>
            </w:tcBorders>
            <w:vAlign w:val="center"/>
          </w:tcPr>
          <w:p>
            <w:pPr>
              <w:widowControl/>
              <w:jc w:val="center"/>
              <w:rPr>
                <w:color w:val="auto"/>
                <w:szCs w:val="21"/>
              </w:rPr>
            </w:pP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spacing w:val="-10"/>
              </w:rPr>
            </w:pPr>
            <w:r>
              <w:rPr>
                <w:rFonts w:hint="eastAsia" w:ascii="Times New Roman" w:hAnsi="Times New Roman" w:cs="Times New Roman"/>
                <w:color w:val="auto"/>
                <w:spacing w:val="-10"/>
                <w:sz w:val="21"/>
                <w:szCs w:val="21"/>
              </w:rPr>
              <w:t>氯化氢</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szCs w:val="21"/>
              </w:rPr>
            </w:pPr>
            <w:r>
              <w:rPr>
                <w:rFonts w:hint="eastAsia"/>
                <w:color w:val="auto"/>
                <w:kern w:val="0"/>
                <w:szCs w:val="21"/>
              </w:rPr>
              <w:t>0.000778</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0.05</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1.56</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right w:val="single" w:color="auto" w:sz="4" w:space="0"/>
            </w:tcBorders>
            <w:vAlign w:val="center"/>
          </w:tcPr>
          <w:p>
            <w:pPr>
              <w:widowControl/>
              <w:jc w:val="left"/>
              <w:rPr>
                <w:iCs/>
                <w:color w:val="auto"/>
                <w:szCs w:val="21"/>
              </w:rPr>
            </w:pPr>
          </w:p>
        </w:tc>
        <w:tc>
          <w:tcPr>
            <w:tcW w:w="1205" w:type="dxa"/>
            <w:vMerge w:val="continue"/>
            <w:tcBorders>
              <w:left w:val="single" w:color="auto" w:sz="4" w:space="0"/>
              <w:bottom w:val="single" w:color="auto" w:sz="4" w:space="0"/>
              <w:right w:val="single" w:color="auto" w:sz="4" w:space="0"/>
            </w:tcBorders>
            <w:vAlign w:val="center"/>
          </w:tcPr>
          <w:p>
            <w:pPr>
              <w:widowControl/>
              <w:jc w:val="center"/>
              <w:rPr>
                <w:color w:val="auto"/>
                <w:szCs w:val="21"/>
              </w:rPr>
            </w:pP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rPr>
            </w:pPr>
            <w:r>
              <w:rPr>
                <w:rFonts w:hint="eastAsia" w:ascii="Times New Roman" w:hAnsi="Times New Roman" w:cs="Times New Roman"/>
                <w:color w:val="auto"/>
                <w:spacing w:val="-10"/>
                <w:sz w:val="21"/>
                <w:szCs w:val="21"/>
              </w:rPr>
              <w:t>氟化物</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rPr>
            </w:pPr>
            <w:r>
              <w:rPr>
                <w:rFonts w:hint="eastAsia"/>
                <w:color w:val="auto"/>
                <w:kern w:val="0"/>
              </w:rPr>
              <w:t>0.000256</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0.02</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1.28</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right w:val="single" w:color="auto" w:sz="4" w:space="0"/>
            </w:tcBorders>
            <w:vAlign w:val="center"/>
          </w:tcPr>
          <w:p>
            <w:pPr>
              <w:widowControl/>
              <w:jc w:val="left"/>
              <w:rPr>
                <w:iCs/>
                <w:color w:val="auto"/>
                <w:szCs w:val="21"/>
              </w:rPr>
            </w:pPr>
          </w:p>
        </w:tc>
        <w:tc>
          <w:tcPr>
            <w:tcW w:w="1205"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rPr>
            </w:pPr>
            <w:r>
              <w:rPr>
                <w:color w:val="auto"/>
                <w:szCs w:val="21"/>
              </w:rPr>
              <w:t>排气筒</w:t>
            </w:r>
            <w:r>
              <w:rPr>
                <w:rFonts w:hint="eastAsia"/>
                <w:color w:val="auto"/>
                <w:szCs w:val="21"/>
              </w:rPr>
              <w:t>2</w:t>
            </w:r>
            <w:r>
              <w:rPr>
                <w:color w:val="auto"/>
                <w:szCs w:val="21"/>
              </w:rPr>
              <w:t>#</w:t>
            </w: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rPr>
            </w:pPr>
            <w:r>
              <w:rPr>
                <w:rFonts w:hint="eastAsia" w:ascii="Times New Roman" w:hAnsi="Times New Roman" w:cs="Times New Roman"/>
                <w:color w:val="auto"/>
                <w:spacing w:val="-10"/>
                <w:sz w:val="21"/>
                <w:szCs w:val="21"/>
              </w:rPr>
              <w:t>铬酸雾</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rPr>
            </w:pPr>
            <w:r>
              <w:rPr>
                <w:rFonts w:hint="eastAsia"/>
                <w:color w:val="auto"/>
                <w:kern w:val="0"/>
              </w:rPr>
              <w:t>0.000004</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0.0015</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0.27</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bottom w:val="single" w:color="auto" w:sz="4" w:space="0"/>
              <w:right w:val="single" w:color="auto" w:sz="4" w:space="0"/>
            </w:tcBorders>
            <w:vAlign w:val="center"/>
          </w:tcPr>
          <w:p>
            <w:pPr>
              <w:widowControl/>
              <w:jc w:val="left"/>
              <w:rPr>
                <w:iCs/>
                <w:color w:val="auto"/>
                <w:szCs w:val="21"/>
              </w:rPr>
            </w:pPr>
          </w:p>
        </w:tc>
        <w:tc>
          <w:tcPr>
            <w:tcW w:w="1205"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rPr>
            </w:pPr>
            <w:r>
              <w:rPr>
                <w:color w:val="auto"/>
                <w:szCs w:val="21"/>
              </w:rPr>
              <w:t>排气筒</w:t>
            </w:r>
            <w:r>
              <w:rPr>
                <w:rFonts w:hint="eastAsia"/>
                <w:color w:val="auto"/>
                <w:szCs w:val="21"/>
              </w:rPr>
              <w:t>3</w:t>
            </w:r>
            <w:r>
              <w:rPr>
                <w:color w:val="auto"/>
                <w:szCs w:val="21"/>
              </w:rPr>
              <w:t>#</w:t>
            </w: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rPr>
            </w:pPr>
            <w:r>
              <w:rPr>
                <w:rFonts w:hint="eastAsia" w:ascii="Times New Roman" w:hAnsi="Times New Roman" w:cs="Times New Roman"/>
                <w:color w:val="auto"/>
                <w:spacing w:val="-10"/>
                <w:sz w:val="21"/>
                <w:szCs w:val="21"/>
              </w:rPr>
              <w:t>氰化氢</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rPr>
            </w:pPr>
            <w:r>
              <w:rPr>
                <w:rFonts w:hint="eastAsia"/>
                <w:color w:val="auto"/>
                <w:kern w:val="0"/>
              </w:rPr>
              <w:t>0.000025</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0.03</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0.08</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restart"/>
            <w:tcBorders>
              <w:top w:val="single" w:color="auto" w:sz="4" w:space="0"/>
              <w:left w:val="nil"/>
              <w:right w:val="single" w:color="auto" w:sz="4" w:space="0"/>
            </w:tcBorders>
            <w:vAlign w:val="center"/>
          </w:tcPr>
          <w:p>
            <w:pPr>
              <w:jc w:val="center"/>
              <w:rPr>
                <w:iCs/>
                <w:color w:val="auto"/>
                <w:szCs w:val="21"/>
              </w:rPr>
            </w:pPr>
            <w:r>
              <w:rPr>
                <w:iCs/>
                <w:color w:val="auto"/>
                <w:szCs w:val="21"/>
              </w:rPr>
              <w:t>无组织</w:t>
            </w:r>
          </w:p>
        </w:tc>
        <w:tc>
          <w:tcPr>
            <w:tcW w:w="1205" w:type="dxa"/>
            <w:vMerge w:val="restart"/>
            <w:tcBorders>
              <w:top w:val="single" w:color="auto" w:sz="4" w:space="0"/>
              <w:left w:val="single" w:color="auto" w:sz="4" w:space="0"/>
              <w:right w:val="single" w:color="auto" w:sz="4" w:space="0"/>
            </w:tcBorders>
            <w:vAlign w:val="center"/>
          </w:tcPr>
          <w:p>
            <w:pPr>
              <w:jc w:val="center"/>
              <w:rPr>
                <w:iCs/>
                <w:color w:val="auto"/>
                <w:szCs w:val="21"/>
              </w:rPr>
            </w:pPr>
            <w:r>
              <w:rPr>
                <w:iCs/>
                <w:color w:val="auto"/>
                <w:szCs w:val="21"/>
              </w:rPr>
              <w:t>车间</w:t>
            </w:r>
          </w:p>
        </w:tc>
        <w:tc>
          <w:tcPr>
            <w:tcW w:w="21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szCs w:val="21"/>
              </w:rPr>
              <w:t>硫酸雾</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rPr>
            </w:pPr>
            <w:r>
              <w:rPr>
                <w:rFonts w:hint="eastAsia"/>
                <w:color w:val="auto"/>
                <w:kern w:val="0"/>
              </w:rPr>
              <w:t>0</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0.3</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0</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right w:val="single" w:color="auto" w:sz="4" w:space="0"/>
            </w:tcBorders>
            <w:vAlign w:val="center"/>
          </w:tcPr>
          <w:p>
            <w:pPr>
              <w:widowControl/>
              <w:jc w:val="left"/>
              <w:rPr>
                <w:iCs/>
                <w:color w:val="auto"/>
                <w:szCs w:val="21"/>
              </w:rPr>
            </w:pPr>
          </w:p>
        </w:tc>
        <w:tc>
          <w:tcPr>
            <w:tcW w:w="1205" w:type="dxa"/>
            <w:vMerge w:val="continue"/>
            <w:tcBorders>
              <w:left w:val="single" w:color="auto" w:sz="4" w:space="0"/>
              <w:right w:val="single" w:color="auto" w:sz="4" w:space="0"/>
            </w:tcBorders>
            <w:vAlign w:val="center"/>
          </w:tcPr>
          <w:p>
            <w:pPr>
              <w:widowControl/>
              <w:jc w:val="left"/>
              <w:rPr>
                <w:color w:val="auto"/>
                <w:szCs w:val="21"/>
              </w:rPr>
            </w:pP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rPr>
            </w:pPr>
            <w:r>
              <w:rPr>
                <w:rFonts w:hint="eastAsia" w:ascii="Times New Roman" w:hAnsi="Times New Roman" w:cs="Times New Roman"/>
                <w:color w:val="auto"/>
                <w:spacing w:val="-10"/>
                <w:sz w:val="21"/>
                <w:szCs w:val="21"/>
              </w:rPr>
              <w:t>氯化氢</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rPr>
            </w:pPr>
            <w:r>
              <w:rPr>
                <w:rFonts w:hint="eastAsia"/>
                <w:color w:val="auto"/>
                <w:kern w:val="0"/>
              </w:rPr>
              <w:t>0.000340</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0.05</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0.68</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right w:val="single" w:color="auto" w:sz="4" w:space="0"/>
            </w:tcBorders>
            <w:vAlign w:val="center"/>
          </w:tcPr>
          <w:p>
            <w:pPr>
              <w:widowControl/>
              <w:jc w:val="left"/>
              <w:rPr>
                <w:iCs/>
                <w:color w:val="auto"/>
                <w:szCs w:val="21"/>
              </w:rPr>
            </w:pPr>
          </w:p>
        </w:tc>
        <w:tc>
          <w:tcPr>
            <w:tcW w:w="1205" w:type="dxa"/>
            <w:vMerge w:val="continue"/>
            <w:tcBorders>
              <w:left w:val="single" w:color="auto" w:sz="4" w:space="0"/>
              <w:right w:val="single" w:color="auto" w:sz="4" w:space="0"/>
            </w:tcBorders>
            <w:vAlign w:val="center"/>
          </w:tcPr>
          <w:p>
            <w:pPr>
              <w:widowControl/>
              <w:jc w:val="left"/>
              <w:rPr>
                <w:color w:val="auto"/>
                <w:szCs w:val="21"/>
              </w:rPr>
            </w:pP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rPr>
            </w:pPr>
            <w:r>
              <w:rPr>
                <w:rFonts w:hint="eastAsia" w:ascii="Times New Roman" w:hAnsi="Times New Roman" w:cs="Times New Roman"/>
                <w:color w:val="auto"/>
                <w:spacing w:val="-10"/>
                <w:sz w:val="21"/>
                <w:szCs w:val="21"/>
              </w:rPr>
              <w:t>氟化物</w:t>
            </w:r>
          </w:p>
        </w:tc>
        <w:tc>
          <w:tcPr>
            <w:tcW w:w="1641"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kern w:val="0"/>
              </w:rPr>
            </w:pPr>
            <w:r>
              <w:rPr>
                <w:rFonts w:hint="eastAsia"/>
                <w:color w:val="auto"/>
                <w:kern w:val="0"/>
              </w:rPr>
              <w:t>0.000112</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0.02</w:t>
            </w:r>
          </w:p>
        </w:tc>
        <w:tc>
          <w:tcPr>
            <w:tcW w:w="16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0.56</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right w:val="single" w:color="auto" w:sz="4" w:space="0"/>
            </w:tcBorders>
            <w:vAlign w:val="center"/>
          </w:tcPr>
          <w:p>
            <w:pPr>
              <w:jc w:val="center"/>
              <w:rPr>
                <w:iCs/>
                <w:color w:val="auto"/>
                <w:szCs w:val="21"/>
              </w:rPr>
            </w:pPr>
          </w:p>
        </w:tc>
        <w:tc>
          <w:tcPr>
            <w:tcW w:w="1205" w:type="dxa"/>
            <w:vMerge w:val="continue"/>
            <w:tcBorders>
              <w:left w:val="single" w:color="auto" w:sz="4" w:space="0"/>
              <w:right w:val="single" w:color="auto" w:sz="4" w:space="0"/>
            </w:tcBorders>
            <w:vAlign w:val="center"/>
          </w:tcPr>
          <w:p>
            <w:pPr>
              <w:jc w:val="center"/>
              <w:rPr>
                <w:iCs/>
                <w:color w:val="auto"/>
                <w:szCs w:val="21"/>
              </w:rPr>
            </w:pPr>
          </w:p>
        </w:tc>
        <w:tc>
          <w:tcPr>
            <w:tcW w:w="2115" w:type="dxa"/>
            <w:tcBorders>
              <w:top w:val="single" w:color="auto" w:sz="4" w:space="0"/>
              <w:left w:val="single" w:color="auto" w:sz="4" w:space="0"/>
              <w:bottom w:val="single" w:color="auto" w:sz="4" w:space="0"/>
              <w:right w:val="single" w:color="auto" w:sz="4" w:space="0"/>
            </w:tcBorders>
            <w:vAlign w:val="center"/>
          </w:tcPr>
          <w:p>
            <w:pPr>
              <w:pStyle w:val="33"/>
              <w:spacing w:line="240" w:lineRule="auto"/>
              <w:rPr>
                <w:color w:val="auto"/>
                <w:szCs w:val="21"/>
              </w:rPr>
            </w:pPr>
            <w:r>
              <w:rPr>
                <w:rFonts w:hint="eastAsia" w:ascii="Times New Roman" w:hAnsi="Times New Roman" w:cs="Times New Roman"/>
                <w:color w:val="auto"/>
                <w:spacing w:val="-10"/>
                <w:sz w:val="21"/>
                <w:szCs w:val="21"/>
              </w:rPr>
              <w:t>铬酸雾</w:t>
            </w:r>
          </w:p>
        </w:tc>
        <w:tc>
          <w:tcPr>
            <w:tcW w:w="1641"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0.000002</w:t>
            </w:r>
          </w:p>
        </w:tc>
        <w:tc>
          <w:tcPr>
            <w:tcW w:w="1133"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0.0015</w:t>
            </w:r>
          </w:p>
        </w:tc>
        <w:tc>
          <w:tcPr>
            <w:tcW w:w="1602" w:type="dxa"/>
            <w:tcBorders>
              <w:top w:val="single" w:color="auto" w:sz="4" w:space="0"/>
              <w:left w:val="single" w:color="auto" w:sz="4" w:space="0"/>
              <w:bottom w:val="single" w:color="auto" w:sz="4"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0.11</w:t>
            </w:r>
          </w:p>
        </w:tc>
        <w:tc>
          <w:tcPr>
            <w:tcW w:w="1134"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6" w:type="dxa"/>
            <w:vMerge w:val="continue"/>
            <w:tcBorders>
              <w:left w:val="nil"/>
              <w:bottom w:val="single" w:color="auto" w:sz="12" w:space="0"/>
              <w:right w:val="single" w:color="auto" w:sz="4" w:space="0"/>
            </w:tcBorders>
            <w:vAlign w:val="center"/>
          </w:tcPr>
          <w:p>
            <w:pPr>
              <w:widowControl/>
              <w:jc w:val="left"/>
              <w:rPr>
                <w:iCs/>
                <w:color w:val="auto"/>
                <w:szCs w:val="21"/>
              </w:rPr>
            </w:pPr>
          </w:p>
        </w:tc>
        <w:tc>
          <w:tcPr>
            <w:tcW w:w="1205" w:type="dxa"/>
            <w:vMerge w:val="continue"/>
            <w:tcBorders>
              <w:left w:val="single" w:color="auto" w:sz="4" w:space="0"/>
              <w:bottom w:val="single" w:color="auto" w:sz="12" w:space="0"/>
              <w:right w:val="single" w:color="auto" w:sz="4" w:space="0"/>
            </w:tcBorders>
            <w:vAlign w:val="center"/>
          </w:tcPr>
          <w:p>
            <w:pPr>
              <w:widowControl/>
              <w:jc w:val="left"/>
              <w:rPr>
                <w:iCs/>
                <w:color w:val="auto"/>
                <w:szCs w:val="21"/>
              </w:rPr>
            </w:pPr>
          </w:p>
        </w:tc>
        <w:tc>
          <w:tcPr>
            <w:tcW w:w="2115" w:type="dxa"/>
            <w:tcBorders>
              <w:top w:val="single" w:color="auto" w:sz="4" w:space="0"/>
              <w:left w:val="single" w:color="auto" w:sz="4" w:space="0"/>
              <w:bottom w:val="single" w:color="auto" w:sz="12" w:space="0"/>
              <w:right w:val="single" w:color="auto" w:sz="4" w:space="0"/>
            </w:tcBorders>
            <w:vAlign w:val="center"/>
          </w:tcPr>
          <w:p>
            <w:pPr>
              <w:pStyle w:val="33"/>
              <w:spacing w:line="240" w:lineRule="auto"/>
              <w:rPr>
                <w:color w:val="auto"/>
              </w:rPr>
            </w:pPr>
            <w:r>
              <w:rPr>
                <w:rFonts w:hint="eastAsia" w:ascii="Times New Roman" w:hAnsi="Times New Roman" w:cs="Times New Roman"/>
                <w:color w:val="auto"/>
                <w:spacing w:val="-10"/>
                <w:sz w:val="21"/>
                <w:szCs w:val="21"/>
              </w:rPr>
              <w:t>氰化氢</w:t>
            </w:r>
          </w:p>
        </w:tc>
        <w:tc>
          <w:tcPr>
            <w:tcW w:w="1641"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rFonts w:hint="eastAsia"/>
                <w:color w:val="auto"/>
                <w:szCs w:val="21"/>
              </w:rPr>
              <w:t>0.000006</w:t>
            </w:r>
          </w:p>
        </w:tc>
        <w:tc>
          <w:tcPr>
            <w:tcW w:w="1133" w:type="dxa"/>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rPr>
                <w:rFonts w:eastAsiaTheme="minorEastAsia"/>
                <w:color w:val="auto"/>
              </w:rPr>
            </w:pPr>
            <w:r>
              <w:rPr>
                <w:rFonts w:hint="eastAsia" w:eastAsiaTheme="minorEastAsia"/>
                <w:color w:val="auto"/>
              </w:rPr>
              <w:t>0.03</w:t>
            </w:r>
          </w:p>
        </w:tc>
        <w:tc>
          <w:tcPr>
            <w:tcW w:w="1602" w:type="dxa"/>
            <w:tcBorders>
              <w:top w:val="single" w:color="auto" w:sz="4" w:space="0"/>
              <w:left w:val="single" w:color="auto" w:sz="4" w:space="0"/>
              <w:bottom w:val="single" w:color="auto" w:sz="12" w:space="0"/>
              <w:right w:val="single" w:color="auto" w:sz="4" w:space="0"/>
            </w:tcBorders>
            <w:vAlign w:val="center"/>
          </w:tcPr>
          <w:p>
            <w:pPr>
              <w:pStyle w:val="63"/>
              <w:tabs>
                <w:tab w:val="right" w:pos="8502"/>
                <w:tab w:val="right" w:pos="8802"/>
              </w:tabs>
              <w:rPr>
                <w:rFonts w:eastAsia="宋体"/>
                <w:color w:val="auto"/>
              </w:rPr>
            </w:pPr>
            <w:r>
              <w:rPr>
                <w:rFonts w:hint="eastAsia" w:eastAsia="宋体"/>
                <w:color w:val="auto"/>
              </w:rPr>
              <w:t>0.02</w:t>
            </w:r>
          </w:p>
        </w:tc>
        <w:tc>
          <w:tcPr>
            <w:tcW w:w="1134" w:type="dxa"/>
            <w:tcBorders>
              <w:top w:val="single" w:color="auto" w:sz="4" w:space="0"/>
              <w:left w:val="single" w:color="auto" w:sz="4" w:space="0"/>
              <w:bottom w:val="single" w:color="auto" w:sz="12" w:space="0"/>
              <w:right w:val="nil"/>
            </w:tcBorders>
            <w:vAlign w:val="center"/>
          </w:tcPr>
          <w:p>
            <w:pPr>
              <w:jc w:val="center"/>
              <w:rPr>
                <w:color w:val="auto"/>
                <w:szCs w:val="21"/>
              </w:rPr>
            </w:pPr>
            <w:r>
              <w:rPr>
                <w:rFonts w:hint="eastAsia"/>
                <w:color w:val="auto"/>
                <w:szCs w:val="21"/>
              </w:rPr>
              <w:t>三级</w:t>
            </w:r>
          </w:p>
        </w:tc>
      </w:tr>
    </w:tbl>
    <w:p>
      <w:pPr>
        <w:pStyle w:val="47"/>
        <w:rPr>
          <w:rFonts w:ascii="Times New Roman" w:hAnsi="Times New Roman"/>
          <w:color w:val="auto"/>
        </w:rPr>
      </w:pPr>
      <w:r>
        <w:rPr>
          <w:rFonts w:hint="eastAsia" w:ascii="Times New Roman" w:hAnsi="Times New Roman"/>
          <w:color w:val="auto"/>
        </w:rPr>
        <w:t>由计算结果可知各污染物占标率Pmax＝1.56%&lt;10%，因此大气环境影响工作等级确定为二级。</w:t>
      </w:r>
    </w:p>
    <w:p>
      <w:pPr>
        <w:pStyle w:val="47"/>
        <w:rPr>
          <w:rFonts w:ascii="Times New Roman" w:hAnsi="Times New Roman"/>
          <w:color w:val="auto"/>
        </w:rPr>
      </w:pPr>
      <w:r>
        <w:rPr>
          <w:rFonts w:hint="eastAsia" w:ascii="Times New Roman" w:hAnsi="Times New Roman"/>
          <w:color w:val="auto"/>
        </w:rPr>
        <w:t>（2）评价范围：以生产车间为中心，边长为5km的矩形区域。</w:t>
      </w:r>
    </w:p>
    <w:p>
      <w:pPr>
        <w:adjustRightInd w:val="0"/>
        <w:snapToGrid w:val="0"/>
        <w:spacing w:before="156" w:beforeLines="50" w:line="360" w:lineRule="auto"/>
        <w:outlineLvl w:val="2"/>
        <w:rPr>
          <w:b/>
          <w:color w:val="auto"/>
          <w:sz w:val="24"/>
        </w:rPr>
      </w:pPr>
      <w:r>
        <w:rPr>
          <w:rFonts w:hint="eastAsia"/>
          <w:b/>
          <w:color w:val="auto"/>
          <w:sz w:val="24"/>
        </w:rPr>
        <w:t>1.4.3评价范围及大气环境敏感目标</w:t>
      </w:r>
    </w:p>
    <w:p>
      <w:pPr>
        <w:pStyle w:val="47"/>
        <w:rPr>
          <w:rFonts w:ascii="Times New Roman" w:hAnsi="Times New Roman"/>
          <w:color w:val="auto"/>
        </w:rPr>
      </w:pPr>
      <w:r>
        <w:rPr>
          <w:rFonts w:hint="eastAsia" w:ascii="Times New Roman" w:hAnsi="Times New Roman"/>
          <w:color w:val="auto"/>
        </w:rPr>
        <w:t>根据现场踏勘，本项目主要环境保护目标如表1.4-4所示以及图4.1-1项目周边大气敏感目标分布图。</w:t>
      </w:r>
    </w:p>
    <w:p>
      <w:pPr>
        <w:pStyle w:val="40"/>
        <w:spacing w:before="156" w:after="156"/>
        <w:rPr>
          <w:color w:val="auto"/>
        </w:rPr>
      </w:pPr>
      <w:r>
        <w:rPr>
          <w:rFonts w:hint="eastAsia"/>
          <w:color w:val="auto"/>
        </w:rPr>
        <w:t>表1.4-6 主要大气环境保护目标</w:t>
      </w:r>
    </w:p>
    <w:tbl>
      <w:tblPr>
        <w:tblStyle w:val="22"/>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97"/>
        <w:gridCol w:w="516"/>
        <w:gridCol w:w="1488"/>
        <w:gridCol w:w="2135"/>
        <w:gridCol w:w="2333"/>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trPr>
        <w:tc>
          <w:tcPr>
            <w:tcW w:w="797"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项目</w:t>
            </w: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编号</w:t>
            </w:r>
          </w:p>
        </w:tc>
        <w:tc>
          <w:tcPr>
            <w:tcW w:w="1488"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环境保护目标</w:t>
            </w:r>
          </w:p>
        </w:tc>
        <w:tc>
          <w:tcPr>
            <w:tcW w:w="2135"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与厂址方位和最近距离</w:t>
            </w:r>
          </w:p>
        </w:tc>
        <w:tc>
          <w:tcPr>
            <w:tcW w:w="2333"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规模</w:t>
            </w:r>
          </w:p>
        </w:tc>
        <w:tc>
          <w:tcPr>
            <w:tcW w:w="1801"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环境质量要求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restart"/>
            <w:tcBorders>
              <w:tl2br w:val="nil"/>
              <w:tr2bl w:val="nil"/>
            </w:tcBorders>
            <w:vAlign w:val="center"/>
          </w:tcPr>
          <w:p>
            <w:pPr>
              <w:jc w:val="center"/>
              <w:rPr>
                <w:snapToGrid w:val="0"/>
                <w:color w:val="auto"/>
                <w:kern w:val="18"/>
                <w:szCs w:val="21"/>
              </w:rPr>
            </w:pPr>
            <w:r>
              <w:rPr>
                <w:rFonts w:hint="eastAsia"/>
                <w:snapToGrid w:val="0"/>
                <w:color w:val="auto"/>
                <w:kern w:val="18"/>
                <w:szCs w:val="21"/>
              </w:rPr>
              <w:t>大气</w:t>
            </w:r>
          </w:p>
          <w:p>
            <w:pPr>
              <w:jc w:val="center"/>
              <w:rPr>
                <w:snapToGrid w:val="0"/>
                <w:color w:val="auto"/>
                <w:kern w:val="18"/>
                <w:szCs w:val="21"/>
              </w:rPr>
            </w:pPr>
            <w:r>
              <w:rPr>
                <w:rFonts w:hint="eastAsia"/>
                <w:snapToGrid w:val="0"/>
                <w:color w:val="auto"/>
                <w:kern w:val="18"/>
                <w:szCs w:val="21"/>
              </w:rPr>
              <w:t>环境</w:t>
            </w:r>
          </w:p>
        </w:tc>
        <w:tc>
          <w:tcPr>
            <w:tcW w:w="516" w:type="dxa"/>
            <w:tcBorders>
              <w:tl2br w:val="nil"/>
              <w:tr2bl w:val="nil"/>
            </w:tcBorders>
            <w:vAlign w:val="center"/>
          </w:tcPr>
          <w:p>
            <w:pPr>
              <w:jc w:val="center"/>
              <w:rPr>
                <w:snapToGrid w:val="0"/>
                <w:color w:val="auto"/>
                <w:kern w:val="18"/>
                <w:szCs w:val="21"/>
              </w:rPr>
            </w:pPr>
            <w:r>
              <w:rPr>
                <w:snapToGrid w:val="0"/>
                <w:color w:val="auto"/>
                <w:kern w:val="18"/>
                <w:szCs w:val="21"/>
              </w:rPr>
              <w:t>1</w:t>
            </w:r>
          </w:p>
        </w:tc>
        <w:tc>
          <w:tcPr>
            <w:tcW w:w="1488"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斗门头村</w:t>
            </w:r>
          </w:p>
        </w:tc>
        <w:tc>
          <w:tcPr>
            <w:tcW w:w="2135" w:type="dxa"/>
            <w:tcBorders>
              <w:tl2br w:val="nil"/>
              <w:tr2bl w:val="nil"/>
            </w:tcBorders>
            <w:vAlign w:val="center"/>
          </w:tcPr>
          <w:p>
            <w:pPr>
              <w:jc w:val="center"/>
              <w:rPr>
                <w:snapToGrid w:val="0"/>
                <w:color w:val="auto"/>
                <w:kern w:val="18"/>
                <w:szCs w:val="21"/>
              </w:rPr>
            </w:pPr>
            <w:r>
              <w:rPr>
                <w:snapToGrid w:val="0"/>
                <w:color w:val="auto"/>
                <w:kern w:val="18"/>
                <w:szCs w:val="21"/>
              </w:rPr>
              <w:t>SW</w:t>
            </w:r>
            <w:r>
              <w:rPr>
                <w:rFonts w:hint="eastAsia"/>
                <w:snapToGrid w:val="0"/>
                <w:color w:val="auto"/>
                <w:kern w:val="18"/>
                <w:szCs w:val="21"/>
              </w:rPr>
              <w:t xml:space="preserve"> </w:t>
            </w:r>
            <w:r>
              <w:rPr>
                <w:snapToGrid w:val="0"/>
                <w:color w:val="auto"/>
                <w:kern w:val="18"/>
                <w:szCs w:val="21"/>
              </w:rPr>
              <w:t>1</w:t>
            </w:r>
            <w:r>
              <w:rPr>
                <w:rFonts w:hint="eastAsia"/>
                <w:snapToGrid w:val="0"/>
                <w:color w:val="auto"/>
                <w:kern w:val="18"/>
                <w:szCs w:val="21"/>
              </w:rPr>
              <w:t>377</w:t>
            </w:r>
            <w:r>
              <w:rPr>
                <w:snapToGrid w:val="0"/>
                <w:color w:val="auto"/>
                <w:kern w:val="18"/>
                <w:szCs w:val="21"/>
              </w:rPr>
              <w:t>m</w:t>
            </w:r>
          </w:p>
        </w:tc>
        <w:tc>
          <w:tcPr>
            <w:tcW w:w="2333" w:type="dxa"/>
            <w:tcBorders>
              <w:tl2br w:val="nil"/>
              <w:tr2bl w:val="nil"/>
            </w:tcBorders>
            <w:vAlign w:val="center"/>
          </w:tcPr>
          <w:p>
            <w:pPr>
              <w:jc w:val="center"/>
              <w:rPr>
                <w:snapToGrid w:val="0"/>
                <w:color w:val="auto"/>
                <w:kern w:val="18"/>
                <w:szCs w:val="21"/>
              </w:rPr>
            </w:pPr>
            <w:r>
              <w:rPr>
                <w:snapToGrid w:val="0"/>
                <w:color w:val="auto"/>
                <w:kern w:val="18"/>
                <w:szCs w:val="21"/>
              </w:rPr>
              <w:t>510</w:t>
            </w:r>
            <w:r>
              <w:rPr>
                <w:rFonts w:hint="eastAsia"/>
                <w:snapToGrid w:val="0"/>
                <w:color w:val="auto"/>
                <w:kern w:val="18"/>
                <w:szCs w:val="21"/>
              </w:rPr>
              <w:t>户，</w:t>
            </w:r>
            <w:r>
              <w:rPr>
                <w:snapToGrid w:val="0"/>
                <w:color w:val="auto"/>
                <w:kern w:val="18"/>
                <w:szCs w:val="21"/>
              </w:rPr>
              <w:t>2060</w:t>
            </w:r>
            <w:r>
              <w:rPr>
                <w:rFonts w:hint="eastAsia"/>
                <w:snapToGrid w:val="0"/>
                <w:color w:val="auto"/>
                <w:kern w:val="18"/>
                <w:szCs w:val="21"/>
              </w:rPr>
              <w:t>人</w:t>
            </w:r>
          </w:p>
        </w:tc>
        <w:tc>
          <w:tcPr>
            <w:tcW w:w="1801" w:type="dxa"/>
            <w:vMerge w:val="restart"/>
            <w:tcBorders>
              <w:tl2br w:val="nil"/>
              <w:tr2bl w:val="nil"/>
            </w:tcBorders>
            <w:vAlign w:val="center"/>
          </w:tcPr>
          <w:p>
            <w:pPr>
              <w:jc w:val="center"/>
              <w:rPr>
                <w:snapToGrid w:val="0"/>
                <w:color w:val="auto"/>
                <w:kern w:val="18"/>
                <w:szCs w:val="21"/>
              </w:rPr>
            </w:pPr>
            <w:r>
              <w:rPr>
                <w:rFonts w:hint="eastAsia"/>
                <w:snapToGrid w:val="0"/>
                <w:color w:val="auto"/>
                <w:kern w:val="18"/>
                <w:szCs w:val="21"/>
              </w:rPr>
              <w:t>执行</w:t>
            </w:r>
            <w:r>
              <w:rPr>
                <w:rFonts w:hint="eastAsia"/>
                <w:color w:val="auto"/>
              </w:rPr>
              <w:t>《环境空气质量标准》（</w:t>
            </w:r>
            <w:r>
              <w:rPr>
                <w:color w:val="auto"/>
              </w:rPr>
              <w:t>GB3095-2012</w:t>
            </w:r>
            <w:r>
              <w:rPr>
                <w:rFonts w:hint="eastAsia"/>
                <w:color w:val="auto"/>
              </w:rPr>
              <w:t>）</w:t>
            </w:r>
            <w:r>
              <w:rPr>
                <w:rFonts w:hint="eastAsia"/>
                <w:snapToGrid w:val="0"/>
                <w:color w:val="auto"/>
                <w:kern w:val="18"/>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snapToGrid w:val="0"/>
                <w:color w:val="auto"/>
                <w:kern w:val="18"/>
                <w:szCs w:val="21"/>
              </w:rPr>
              <w:t>2</w:t>
            </w:r>
          </w:p>
        </w:tc>
        <w:tc>
          <w:tcPr>
            <w:tcW w:w="1488"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柏洋村</w:t>
            </w:r>
          </w:p>
        </w:tc>
        <w:tc>
          <w:tcPr>
            <w:tcW w:w="2135" w:type="dxa"/>
            <w:tcBorders>
              <w:tl2br w:val="nil"/>
              <w:tr2bl w:val="nil"/>
            </w:tcBorders>
            <w:vAlign w:val="center"/>
          </w:tcPr>
          <w:p>
            <w:pPr>
              <w:jc w:val="center"/>
              <w:rPr>
                <w:rFonts w:hint="eastAsia" w:eastAsia="宋体"/>
                <w:snapToGrid w:val="0"/>
                <w:color w:val="auto"/>
                <w:kern w:val="18"/>
                <w:szCs w:val="21"/>
                <w:lang w:eastAsia="zh-CN"/>
              </w:rPr>
            </w:pPr>
            <w:r>
              <w:rPr>
                <w:rFonts w:hint="eastAsia"/>
                <w:snapToGrid w:val="0"/>
                <w:color w:val="auto"/>
                <w:kern w:val="18"/>
                <w:szCs w:val="21"/>
                <w:lang w:val="en-US" w:eastAsia="zh-CN"/>
              </w:rPr>
              <w:t xml:space="preserve"> </w:t>
            </w:r>
            <w:r>
              <w:rPr>
                <w:snapToGrid w:val="0"/>
                <w:color w:val="auto"/>
                <w:kern w:val="18"/>
                <w:szCs w:val="21"/>
              </w:rPr>
              <w:t>SW</w:t>
            </w:r>
            <w:r>
              <w:rPr>
                <w:rFonts w:hint="eastAsia"/>
                <w:snapToGrid w:val="0"/>
                <w:color w:val="auto"/>
                <w:kern w:val="18"/>
                <w:szCs w:val="21"/>
              </w:rPr>
              <w:t xml:space="preserve"> </w:t>
            </w:r>
            <w:r>
              <w:rPr>
                <w:rFonts w:hint="eastAsia"/>
                <w:snapToGrid w:val="0"/>
                <w:color w:val="auto"/>
                <w:kern w:val="18"/>
                <w:szCs w:val="21"/>
                <w:lang w:val="en-US" w:eastAsia="zh-CN"/>
              </w:rPr>
              <w:t>1087</w:t>
            </w:r>
            <w:r>
              <w:rPr>
                <w:snapToGrid w:val="0"/>
                <w:color w:val="auto"/>
                <w:kern w:val="18"/>
                <w:szCs w:val="21"/>
              </w:rPr>
              <w:t>m</w:t>
            </w:r>
          </w:p>
        </w:tc>
        <w:tc>
          <w:tcPr>
            <w:tcW w:w="2333" w:type="dxa"/>
            <w:tcBorders>
              <w:tl2br w:val="nil"/>
              <w:tr2bl w:val="nil"/>
            </w:tcBorders>
            <w:vAlign w:val="center"/>
          </w:tcPr>
          <w:p>
            <w:pPr>
              <w:jc w:val="center"/>
              <w:rPr>
                <w:snapToGrid w:val="0"/>
                <w:color w:val="auto"/>
                <w:kern w:val="18"/>
                <w:szCs w:val="21"/>
              </w:rPr>
            </w:pPr>
            <w:r>
              <w:rPr>
                <w:snapToGrid w:val="0"/>
                <w:color w:val="auto"/>
                <w:kern w:val="18"/>
                <w:szCs w:val="21"/>
              </w:rPr>
              <w:t>735</w:t>
            </w:r>
            <w:r>
              <w:rPr>
                <w:rFonts w:hint="eastAsia"/>
                <w:snapToGrid w:val="0"/>
                <w:color w:val="auto"/>
                <w:kern w:val="18"/>
                <w:szCs w:val="21"/>
              </w:rPr>
              <w:t>户，</w:t>
            </w:r>
            <w:r>
              <w:rPr>
                <w:snapToGrid w:val="0"/>
                <w:color w:val="auto"/>
                <w:kern w:val="18"/>
                <w:szCs w:val="21"/>
              </w:rPr>
              <w:t>2800</w:t>
            </w:r>
            <w:r>
              <w:rPr>
                <w:rFonts w:hint="eastAsia"/>
                <w:snapToGrid w:val="0"/>
                <w:color w:val="auto"/>
                <w:kern w:val="18"/>
                <w:szCs w:val="21"/>
              </w:rPr>
              <w:t>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3</w:t>
            </w:r>
          </w:p>
        </w:tc>
        <w:tc>
          <w:tcPr>
            <w:tcW w:w="1488"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硖门畲族乡</w:t>
            </w:r>
          </w:p>
        </w:tc>
        <w:tc>
          <w:tcPr>
            <w:tcW w:w="2135" w:type="dxa"/>
            <w:tcBorders>
              <w:tl2br w:val="nil"/>
              <w:tr2bl w:val="nil"/>
            </w:tcBorders>
            <w:vAlign w:val="center"/>
          </w:tcPr>
          <w:p>
            <w:pPr>
              <w:jc w:val="center"/>
              <w:rPr>
                <w:snapToGrid w:val="0"/>
                <w:color w:val="auto"/>
                <w:kern w:val="18"/>
                <w:szCs w:val="21"/>
                <w:highlight w:val="yellow"/>
              </w:rPr>
            </w:pPr>
            <w:r>
              <w:rPr>
                <w:snapToGrid w:val="0"/>
                <w:color w:val="auto"/>
                <w:kern w:val="18"/>
                <w:szCs w:val="21"/>
                <w:highlight w:val="none"/>
              </w:rPr>
              <w:t>SW</w:t>
            </w:r>
            <w:r>
              <w:rPr>
                <w:rFonts w:hint="eastAsia"/>
                <w:snapToGrid w:val="0"/>
                <w:color w:val="auto"/>
                <w:kern w:val="18"/>
                <w:szCs w:val="21"/>
                <w:highlight w:val="none"/>
              </w:rPr>
              <w:t xml:space="preserve"> 2701</w:t>
            </w:r>
            <w:r>
              <w:rPr>
                <w:snapToGrid w:val="0"/>
                <w:color w:val="auto"/>
                <w:kern w:val="18"/>
                <w:szCs w:val="21"/>
                <w:highlight w:val="none"/>
              </w:rPr>
              <w:t>m</w:t>
            </w:r>
          </w:p>
        </w:tc>
        <w:tc>
          <w:tcPr>
            <w:tcW w:w="2333" w:type="dxa"/>
            <w:tcBorders>
              <w:tl2br w:val="nil"/>
              <w:tr2bl w:val="nil"/>
            </w:tcBorders>
            <w:vAlign w:val="center"/>
          </w:tcPr>
          <w:p>
            <w:pPr>
              <w:jc w:val="center"/>
              <w:rPr>
                <w:snapToGrid w:val="0"/>
                <w:color w:val="auto"/>
                <w:kern w:val="18"/>
                <w:szCs w:val="21"/>
              </w:rPr>
            </w:pPr>
            <w:r>
              <w:rPr>
                <w:color w:val="auto"/>
                <w:kern w:val="1"/>
                <w:sz w:val="21"/>
                <w:szCs w:val="21"/>
                <w:highlight w:val="none"/>
              </w:rPr>
              <w:t>250</w:t>
            </w:r>
            <w:r>
              <w:rPr>
                <w:rFonts w:hint="eastAsia"/>
                <w:color w:val="auto"/>
                <w:kern w:val="1"/>
                <w:sz w:val="21"/>
                <w:szCs w:val="21"/>
                <w:highlight w:val="none"/>
              </w:rPr>
              <w:t>户，</w:t>
            </w:r>
            <w:r>
              <w:rPr>
                <w:color w:val="auto"/>
                <w:kern w:val="1"/>
                <w:sz w:val="21"/>
                <w:szCs w:val="21"/>
                <w:highlight w:val="none"/>
              </w:rPr>
              <w:t>1000</w:t>
            </w:r>
            <w:r>
              <w:rPr>
                <w:rFonts w:hint="eastAsia"/>
                <w:color w:val="auto"/>
                <w:kern w:val="1"/>
                <w:sz w:val="21"/>
                <w:szCs w:val="21"/>
                <w:highlight w:val="none"/>
              </w:rPr>
              <w:t>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4</w:t>
            </w:r>
          </w:p>
        </w:tc>
        <w:tc>
          <w:tcPr>
            <w:tcW w:w="1488"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青湾村</w:t>
            </w:r>
          </w:p>
        </w:tc>
        <w:tc>
          <w:tcPr>
            <w:tcW w:w="2135" w:type="dxa"/>
            <w:tcBorders>
              <w:tl2br w:val="nil"/>
              <w:tr2bl w:val="nil"/>
            </w:tcBorders>
            <w:vAlign w:val="center"/>
          </w:tcPr>
          <w:p>
            <w:pPr>
              <w:jc w:val="center"/>
              <w:rPr>
                <w:snapToGrid w:val="0"/>
                <w:color w:val="auto"/>
                <w:kern w:val="18"/>
                <w:szCs w:val="21"/>
              </w:rPr>
            </w:pPr>
            <w:r>
              <w:rPr>
                <w:snapToGrid w:val="0"/>
                <w:color w:val="auto"/>
                <w:kern w:val="18"/>
                <w:szCs w:val="21"/>
              </w:rPr>
              <w:t>S</w:t>
            </w:r>
            <w:r>
              <w:rPr>
                <w:rFonts w:hint="eastAsia"/>
                <w:snapToGrid w:val="0"/>
                <w:color w:val="auto"/>
                <w:kern w:val="18"/>
                <w:szCs w:val="21"/>
              </w:rPr>
              <w:t xml:space="preserve"> 1386</w:t>
            </w:r>
            <w:r>
              <w:rPr>
                <w:snapToGrid w:val="0"/>
                <w:color w:val="auto"/>
                <w:kern w:val="18"/>
                <w:szCs w:val="21"/>
              </w:rPr>
              <w:t>m</w:t>
            </w:r>
          </w:p>
        </w:tc>
        <w:tc>
          <w:tcPr>
            <w:tcW w:w="2333" w:type="dxa"/>
            <w:tcBorders>
              <w:tl2br w:val="nil"/>
              <w:tr2bl w:val="nil"/>
            </w:tcBorders>
            <w:vAlign w:val="center"/>
          </w:tcPr>
          <w:p>
            <w:pPr>
              <w:jc w:val="center"/>
              <w:rPr>
                <w:snapToGrid w:val="0"/>
                <w:color w:val="auto"/>
                <w:kern w:val="18"/>
                <w:szCs w:val="21"/>
              </w:rPr>
            </w:pPr>
            <w:r>
              <w:rPr>
                <w:snapToGrid w:val="0"/>
                <w:color w:val="auto"/>
                <w:kern w:val="18"/>
                <w:szCs w:val="21"/>
              </w:rPr>
              <w:t>180</w:t>
            </w:r>
            <w:r>
              <w:rPr>
                <w:rFonts w:hint="eastAsia"/>
                <w:snapToGrid w:val="0"/>
                <w:color w:val="auto"/>
                <w:kern w:val="18"/>
                <w:szCs w:val="21"/>
              </w:rPr>
              <w:t>户，</w:t>
            </w:r>
            <w:r>
              <w:rPr>
                <w:snapToGrid w:val="0"/>
                <w:color w:val="auto"/>
                <w:kern w:val="18"/>
                <w:szCs w:val="21"/>
              </w:rPr>
              <w:t>725</w:t>
            </w:r>
            <w:r>
              <w:rPr>
                <w:rFonts w:hint="eastAsia"/>
                <w:snapToGrid w:val="0"/>
                <w:color w:val="auto"/>
                <w:kern w:val="18"/>
                <w:szCs w:val="21"/>
              </w:rPr>
              <w:t>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5</w:t>
            </w:r>
          </w:p>
        </w:tc>
        <w:tc>
          <w:tcPr>
            <w:tcW w:w="1488"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赤屿</w:t>
            </w:r>
          </w:p>
        </w:tc>
        <w:tc>
          <w:tcPr>
            <w:tcW w:w="2135"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S 763m</w:t>
            </w:r>
          </w:p>
        </w:tc>
        <w:tc>
          <w:tcPr>
            <w:tcW w:w="2333" w:type="dxa"/>
            <w:tcBorders>
              <w:tl2br w:val="nil"/>
              <w:tr2bl w:val="nil"/>
            </w:tcBorders>
            <w:vAlign w:val="center"/>
          </w:tcPr>
          <w:p>
            <w:pPr>
              <w:jc w:val="center"/>
              <w:rPr>
                <w:snapToGrid w:val="0"/>
                <w:color w:val="auto"/>
                <w:kern w:val="18"/>
                <w:szCs w:val="21"/>
              </w:rPr>
            </w:pPr>
            <w:r>
              <w:rPr>
                <w:color w:val="auto"/>
                <w:kern w:val="1"/>
                <w:sz w:val="21"/>
                <w:szCs w:val="21"/>
                <w:highlight w:val="none"/>
              </w:rPr>
              <w:t>5</w:t>
            </w:r>
            <w:r>
              <w:rPr>
                <w:rFonts w:hint="eastAsia"/>
                <w:color w:val="auto"/>
                <w:kern w:val="1"/>
                <w:sz w:val="21"/>
                <w:szCs w:val="21"/>
                <w:highlight w:val="none"/>
              </w:rPr>
              <w:t>1</w:t>
            </w:r>
            <w:r>
              <w:rPr>
                <w:color w:val="auto"/>
                <w:kern w:val="1"/>
                <w:sz w:val="21"/>
                <w:szCs w:val="21"/>
                <w:highlight w:val="none"/>
              </w:rPr>
              <w:t>户，255人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6</w:t>
            </w:r>
          </w:p>
        </w:tc>
        <w:tc>
          <w:tcPr>
            <w:tcW w:w="1488"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牛郎冈村</w:t>
            </w:r>
          </w:p>
        </w:tc>
        <w:tc>
          <w:tcPr>
            <w:tcW w:w="2135" w:type="dxa"/>
            <w:tcBorders>
              <w:tl2br w:val="nil"/>
              <w:tr2bl w:val="nil"/>
            </w:tcBorders>
            <w:vAlign w:val="center"/>
          </w:tcPr>
          <w:p>
            <w:pPr>
              <w:jc w:val="center"/>
              <w:rPr>
                <w:snapToGrid w:val="0"/>
                <w:color w:val="auto"/>
                <w:kern w:val="18"/>
                <w:szCs w:val="21"/>
              </w:rPr>
            </w:pPr>
            <w:r>
              <w:rPr>
                <w:snapToGrid w:val="0"/>
                <w:color w:val="auto"/>
                <w:kern w:val="18"/>
                <w:szCs w:val="21"/>
              </w:rPr>
              <w:t>E 23</w:t>
            </w:r>
            <w:r>
              <w:rPr>
                <w:rFonts w:hint="eastAsia"/>
                <w:snapToGrid w:val="0"/>
                <w:color w:val="auto"/>
                <w:kern w:val="18"/>
                <w:szCs w:val="21"/>
              </w:rPr>
              <w:t>42</w:t>
            </w:r>
            <w:r>
              <w:rPr>
                <w:snapToGrid w:val="0"/>
                <w:color w:val="auto"/>
                <w:kern w:val="18"/>
                <w:szCs w:val="21"/>
              </w:rPr>
              <w:t>m</w:t>
            </w:r>
          </w:p>
        </w:tc>
        <w:tc>
          <w:tcPr>
            <w:tcW w:w="2333" w:type="dxa"/>
            <w:tcBorders>
              <w:tl2br w:val="nil"/>
              <w:tr2bl w:val="nil"/>
            </w:tcBorders>
            <w:vAlign w:val="center"/>
          </w:tcPr>
          <w:p>
            <w:pPr>
              <w:jc w:val="center"/>
              <w:rPr>
                <w:snapToGrid w:val="0"/>
                <w:color w:val="auto"/>
                <w:kern w:val="18"/>
                <w:szCs w:val="21"/>
              </w:rPr>
            </w:pPr>
            <w:r>
              <w:rPr>
                <w:snapToGrid w:val="0"/>
                <w:color w:val="auto"/>
                <w:kern w:val="18"/>
                <w:szCs w:val="21"/>
              </w:rPr>
              <w:t>238</w:t>
            </w:r>
            <w:r>
              <w:rPr>
                <w:rFonts w:hint="eastAsia"/>
                <w:snapToGrid w:val="0"/>
                <w:color w:val="auto"/>
                <w:kern w:val="18"/>
                <w:szCs w:val="21"/>
              </w:rPr>
              <w:t>户，</w:t>
            </w:r>
            <w:r>
              <w:rPr>
                <w:snapToGrid w:val="0"/>
                <w:color w:val="auto"/>
                <w:kern w:val="18"/>
                <w:szCs w:val="21"/>
              </w:rPr>
              <w:t>900</w:t>
            </w:r>
            <w:r>
              <w:rPr>
                <w:rFonts w:hint="eastAsia"/>
                <w:snapToGrid w:val="0"/>
                <w:color w:val="auto"/>
                <w:kern w:val="18"/>
                <w:szCs w:val="21"/>
              </w:rPr>
              <w:t>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7</w:t>
            </w:r>
          </w:p>
        </w:tc>
        <w:tc>
          <w:tcPr>
            <w:tcW w:w="1488"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核电生活区</w:t>
            </w:r>
          </w:p>
        </w:tc>
        <w:tc>
          <w:tcPr>
            <w:tcW w:w="2135"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NE 876m</w:t>
            </w:r>
          </w:p>
        </w:tc>
        <w:tc>
          <w:tcPr>
            <w:tcW w:w="2333" w:type="dxa"/>
            <w:tcBorders>
              <w:tl2br w:val="nil"/>
              <w:tr2bl w:val="nil"/>
            </w:tcBorders>
            <w:vAlign w:val="center"/>
          </w:tcPr>
          <w:p>
            <w:pPr>
              <w:jc w:val="center"/>
              <w:rPr>
                <w:snapToGrid w:val="0"/>
                <w:color w:val="auto"/>
                <w:kern w:val="18"/>
                <w:szCs w:val="21"/>
              </w:rPr>
            </w:pPr>
            <w:r>
              <w:rPr>
                <w:rFonts w:hint="eastAsia"/>
                <w:color w:val="auto"/>
                <w:kern w:val="1"/>
                <w:sz w:val="21"/>
                <w:szCs w:val="21"/>
                <w:highlight w:val="none"/>
              </w:rPr>
              <w:t>约480人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8</w:t>
            </w:r>
          </w:p>
        </w:tc>
        <w:tc>
          <w:tcPr>
            <w:tcW w:w="1488"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海天广场</w:t>
            </w:r>
          </w:p>
        </w:tc>
        <w:tc>
          <w:tcPr>
            <w:tcW w:w="2135"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NE 1115m</w:t>
            </w:r>
          </w:p>
        </w:tc>
        <w:tc>
          <w:tcPr>
            <w:tcW w:w="2333" w:type="dxa"/>
            <w:tcBorders>
              <w:tl2br w:val="nil"/>
              <w:tr2bl w:val="nil"/>
            </w:tcBorders>
            <w:vAlign w:val="center"/>
          </w:tcPr>
          <w:p>
            <w:pPr>
              <w:jc w:val="center"/>
              <w:rPr>
                <w:snapToGrid w:val="0"/>
                <w:color w:val="auto"/>
                <w:kern w:val="18"/>
                <w:szCs w:val="21"/>
              </w:rPr>
            </w:pPr>
            <w:r>
              <w:rPr>
                <w:color w:val="auto"/>
                <w:kern w:val="1"/>
                <w:sz w:val="21"/>
                <w:szCs w:val="21"/>
                <w:highlight w:val="none"/>
              </w:rPr>
              <w:t>住宅306套</w:t>
            </w:r>
            <w:r>
              <w:rPr>
                <w:rFonts w:hint="eastAsia"/>
                <w:color w:val="auto"/>
                <w:kern w:val="1"/>
                <w:sz w:val="21"/>
                <w:szCs w:val="21"/>
                <w:highlight w:val="none"/>
              </w:rPr>
              <w:t>，约1000人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9</w:t>
            </w:r>
          </w:p>
        </w:tc>
        <w:tc>
          <w:tcPr>
            <w:tcW w:w="1488"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东埕村</w:t>
            </w:r>
          </w:p>
        </w:tc>
        <w:tc>
          <w:tcPr>
            <w:tcW w:w="2135" w:type="dxa"/>
            <w:tcBorders>
              <w:tl2br w:val="nil"/>
              <w:tr2bl w:val="nil"/>
            </w:tcBorders>
            <w:vAlign w:val="center"/>
          </w:tcPr>
          <w:p>
            <w:pPr>
              <w:jc w:val="center"/>
              <w:rPr>
                <w:snapToGrid w:val="0"/>
                <w:color w:val="auto"/>
                <w:kern w:val="18"/>
                <w:szCs w:val="21"/>
              </w:rPr>
            </w:pPr>
            <w:r>
              <w:rPr>
                <w:snapToGrid w:val="0"/>
                <w:color w:val="auto"/>
                <w:kern w:val="18"/>
                <w:szCs w:val="21"/>
              </w:rPr>
              <w:t>NE 1448m</w:t>
            </w:r>
          </w:p>
        </w:tc>
        <w:tc>
          <w:tcPr>
            <w:tcW w:w="2333" w:type="dxa"/>
            <w:tcBorders>
              <w:tl2br w:val="nil"/>
              <w:tr2bl w:val="nil"/>
            </w:tcBorders>
            <w:vAlign w:val="center"/>
          </w:tcPr>
          <w:p>
            <w:pPr>
              <w:jc w:val="center"/>
              <w:rPr>
                <w:snapToGrid w:val="0"/>
                <w:color w:val="auto"/>
                <w:kern w:val="18"/>
                <w:szCs w:val="21"/>
              </w:rPr>
            </w:pPr>
            <w:r>
              <w:rPr>
                <w:snapToGrid w:val="0"/>
                <w:color w:val="auto"/>
                <w:kern w:val="18"/>
                <w:szCs w:val="21"/>
              </w:rPr>
              <w:t>496</w:t>
            </w:r>
            <w:r>
              <w:rPr>
                <w:rFonts w:hint="eastAsia"/>
                <w:snapToGrid w:val="0"/>
                <w:color w:val="auto"/>
                <w:kern w:val="18"/>
                <w:szCs w:val="21"/>
              </w:rPr>
              <w:t>户，</w:t>
            </w:r>
            <w:r>
              <w:rPr>
                <w:snapToGrid w:val="0"/>
                <w:color w:val="auto"/>
                <w:kern w:val="18"/>
                <w:szCs w:val="21"/>
              </w:rPr>
              <w:t>1737</w:t>
            </w:r>
            <w:r>
              <w:rPr>
                <w:rFonts w:hint="eastAsia"/>
                <w:snapToGrid w:val="0"/>
                <w:color w:val="auto"/>
                <w:kern w:val="18"/>
                <w:szCs w:val="21"/>
              </w:rPr>
              <w:t>人</w:t>
            </w:r>
          </w:p>
        </w:tc>
        <w:tc>
          <w:tcPr>
            <w:tcW w:w="1801" w:type="dxa"/>
            <w:vMerge w:val="continue"/>
            <w:tcBorders>
              <w:tl2br w:val="nil"/>
              <w:tr2bl w:val="nil"/>
            </w:tcBorders>
            <w:vAlign w:val="center"/>
          </w:tcPr>
          <w:p>
            <w:pPr>
              <w:widowControl/>
              <w:jc w:val="left"/>
              <w:rPr>
                <w:snapToGrid w:val="0"/>
                <w:color w:val="auto"/>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97" w:type="dxa"/>
            <w:vMerge w:val="continue"/>
            <w:tcBorders>
              <w:tl2br w:val="nil"/>
              <w:tr2bl w:val="nil"/>
            </w:tcBorders>
            <w:vAlign w:val="center"/>
          </w:tcPr>
          <w:p>
            <w:pPr>
              <w:widowControl/>
              <w:jc w:val="left"/>
              <w:rPr>
                <w:snapToGrid w:val="0"/>
                <w:color w:val="auto"/>
                <w:kern w:val="18"/>
                <w:szCs w:val="21"/>
              </w:rPr>
            </w:pPr>
          </w:p>
        </w:tc>
        <w:tc>
          <w:tcPr>
            <w:tcW w:w="516" w:type="dxa"/>
            <w:tcBorders>
              <w:tl2br w:val="nil"/>
              <w:tr2bl w:val="nil"/>
            </w:tcBorders>
            <w:vAlign w:val="center"/>
          </w:tcPr>
          <w:p>
            <w:pPr>
              <w:jc w:val="center"/>
              <w:rPr>
                <w:snapToGrid w:val="0"/>
                <w:color w:val="auto"/>
                <w:kern w:val="18"/>
                <w:szCs w:val="21"/>
              </w:rPr>
            </w:pPr>
            <w:r>
              <w:rPr>
                <w:rFonts w:hint="eastAsia"/>
                <w:snapToGrid w:val="0"/>
                <w:color w:val="auto"/>
                <w:kern w:val="18"/>
                <w:szCs w:val="21"/>
              </w:rPr>
              <w:t>10</w:t>
            </w:r>
          </w:p>
        </w:tc>
        <w:tc>
          <w:tcPr>
            <w:tcW w:w="1488"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沙定村</w:t>
            </w:r>
          </w:p>
        </w:tc>
        <w:tc>
          <w:tcPr>
            <w:tcW w:w="2135" w:type="dxa"/>
            <w:tcBorders>
              <w:tl2br w:val="nil"/>
              <w:tr2bl w:val="nil"/>
            </w:tcBorders>
            <w:vAlign w:val="center"/>
          </w:tcPr>
          <w:p>
            <w:pPr>
              <w:jc w:val="center"/>
              <w:rPr>
                <w:snapToGrid w:val="0"/>
                <w:color w:val="auto"/>
                <w:kern w:val="18"/>
                <w:szCs w:val="21"/>
                <w:highlight w:val="yellow"/>
              </w:rPr>
            </w:pPr>
            <w:r>
              <w:rPr>
                <w:rFonts w:hint="eastAsia"/>
                <w:snapToGrid w:val="0"/>
                <w:color w:val="auto"/>
                <w:kern w:val="18"/>
                <w:szCs w:val="21"/>
                <w:highlight w:val="none"/>
              </w:rPr>
              <w:t>NW 10</w:t>
            </w:r>
            <w:r>
              <w:rPr>
                <w:rFonts w:hint="eastAsia"/>
                <w:snapToGrid w:val="0"/>
                <w:color w:val="auto"/>
                <w:kern w:val="18"/>
                <w:szCs w:val="21"/>
                <w:highlight w:val="none"/>
                <w:lang w:val="en-US" w:eastAsia="zh-CN"/>
              </w:rPr>
              <w:t>23</w:t>
            </w:r>
            <w:r>
              <w:rPr>
                <w:rFonts w:hint="eastAsia"/>
                <w:snapToGrid w:val="0"/>
                <w:color w:val="auto"/>
                <w:kern w:val="18"/>
                <w:szCs w:val="21"/>
                <w:highlight w:val="none"/>
              </w:rPr>
              <w:t>m</w:t>
            </w:r>
          </w:p>
        </w:tc>
        <w:tc>
          <w:tcPr>
            <w:tcW w:w="2333" w:type="dxa"/>
            <w:tcBorders>
              <w:tl2br w:val="nil"/>
              <w:tr2bl w:val="nil"/>
            </w:tcBorders>
            <w:vAlign w:val="center"/>
          </w:tcPr>
          <w:p>
            <w:pPr>
              <w:jc w:val="center"/>
              <w:rPr>
                <w:snapToGrid w:val="0"/>
                <w:color w:val="auto"/>
                <w:kern w:val="18"/>
                <w:szCs w:val="21"/>
              </w:rPr>
            </w:pPr>
            <w:r>
              <w:rPr>
                <w:rFonts w:hint="eastAsia"/>
                <w:color w:val="auto"/>
                <w:kern w:val="1"/>
                <w:sz w:val="21"/>
                <w:szCs w:val="21"/>
                <w:highlight w:val="none"/>
              </w:rPr>
              <w:t>约</w:t>
            </w:r>
            <w:r>
              <w:rPr>
                <w:color w:val="auto"/>
                <w:kern w:val="1"/>
                <w:sz w:val="21"/>
                <w:szCs w:val="21"/>
                <w:highlight w:val="none"/>
              </w:rPr>
              <w:t>800人</w:t>
            </w:r>
          </w:p>
        </w:tc>
        <w:tc>
          <w:tcPr>
            <w:tcW w:w="1801" w:type="dxa"/>
            <w:vMerge w:val="continue"/>
            <w:tcBorders>
              <w:tl2br w:val="nil"/>
              <w:tr2bl w:val="nil"/>
            </w:tcBorders>
            <w:vAlign w:val="center"/>
          </w:tcPr>
          <w:p>
            <w:pPr>
              <w:widowControl/>
              <w:jc w:val="left"/>
              <w:rPr>
                <w:snapToGrid w:val="0"/>
                <w:color w:val="auto"/>
                <w:kern w:val="18"/>
                <w:szCs w:val="21"/>
              </w:rPr>
            </w:pPr>
          </w:p>
        </w:tc>
      </w:tr>
    </w:tbl>
    <w:p>
      <w:pPr>
        <w:rPr>
          <w:color w:val="auto"/>
        </w:rPr>
      </w:pPr>
    </w:p>
    <w:p>
      <w:pPr>
        <w:pStyle w:val="31"/>
        <w:rPr>
          <w:color w:val="auto"/>
        </w:rPr>
      </w:pPr>
      <w:r>
        <w:rPr>
          <w:rFonts w:hint="eastAsia"/>
          <w:color w:val="auto"/>
        </w:rPr>
        <w:t>2、大气环境质量现状分析</w:t>
      </w:r>
    </w:p>
    <w:p>
      <w:pPr>
        <w:adjustRightInd w:val="0"/>
        <w:snapToGrid w:val="0"/>
        <w:spacing w:before="156" w:beforeLines="50" w:line="360" w:lineRule="auto"/>
        <w:outlineLvl w:val="2"/>
        <w:rPr>
          <w:b/>
          <w:color w:val="auto"/>
          <w:sz w:val="24"/>
        </w:rPr>
      </w:pPr>
      <w:r>
        <w:rPr>
          <w:rFonts w:hint="eastAsia"/>
          <w:b/>
          <w:color w:val="auto"/>
          <w:sz w:val="24"/>
        </w:rPr>
        <w:t>2.1区域达标情况分析</w:t>
      </w:r>
    </w:p>
    <w:p>
      <w:pPr>
        <w:spacing w:line="360" w:lineRule="auto"/>
        <w:ind w:firstLine="480" w:firstLineChars="200"/>
        <w:rPr>
          <w:color w:val="auto"/>
          <w:sz w:val="24"/>
        </w:rPr>
      </w:pPr>
      <w:r>
        <w:rPr>
          <w:rFonts w:hint="eastAsia"/>
          <w:color w:val="auto"/>
          <w:sz w:val="24"/>
        </w:rPr>
        <w:t>本项目位于福鼎市，通过收集福鼎市环境监测站统计的关于福鼎市</w:t>
      </w:r>
      <w:r>
        <w:rPr>
          <w:color w:val="auto"/>
          <w:sz w:val="24"/>
        </w:rPr>
        <w:t>2017</w:t>
      </w:r>
      <w:r>
        <w:rPr>
          <w:rFonts w:hint="eastAsia"/>
          <w:color w:val="auto"/>
          <w:sz w:val="24"/>
        </w:rPr>
        <w:t>年的基本污染物的年均浓度，详见表2.1-1。</w:t>
      </w:r>
    </w:p>
    <w:p>
      <w:pPr>
        <w:ind w:left="210" w:hanging="210"/>
        <w:jc w:val="center"/>
        <w:rPr>
          <w:b/>
          <w:color w:val="auto"/>
          <w:sz w:val="24"/>
        </w:rPr>
      </w:pPr>
      <w:r>
        <w:rPr>
          <w:rFonts w:hint="eastAsia"/>
          <w:b/>
          <w:color w:val="auto"/>
          <w:sz w:val="24"/>
        </w:rPr>
        <w:t>表2.1-1</w:t>
      </w:r>
      <w:r>
        <w:rPr>
          <w:b/>
          <w:color w:val="auto"/>
          <w:sz w:val="24"/>
        </w:rPr>
        <w:t xml:space="preserve">  </w:t>
      </w:r>
      <w:r>
        <w:rPr>
          <w:rFonts w:hint="eastAsia"/>
          <w:b/>
          <w:color w:val="auto"/>
          <w:sz w:val="24"/>
        </w:rPr>
        <w:t>福鼎市区域空气质量现状评价表</w:t>
      </w:r>
    </w:p>
    <w:tbl>
      <w:tblPr>
        <w:tblStyle w:val="22"/>
        <w:tblW w:w="928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714"/>
        <w:gridCol w:w="1704"/>
        <w:gridCol w:w="1528"/>
        <w:gridCol w:w="1268"/>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009" w:type="dxa"/>
            <w:tcBorders>
              <w:top w:val="single" w:color="auto" w:sz="12" w:space="0"/>
              <w:left w:val="nil"/>
              <w:bottom w:val="single" w:color="auto" w:sz="4" w:space="0"/>
              <w:right w:val="single" w:color="auto" w:sz="4" w:space="0"/>
            </w:tcBorders>
            <w:vAlign w:val="center"/>
          </w:tcPr>
          <w:p>
            <w:pPr>
              <w:jc w:val="center"/>
              <w:rPr>
                <w:color w:val="auto"/>
                <w:szCs w:val="21"/>
              </w:rPr>
            </w:pPr>
            <w:r>
              <w:rPr>
                <w:rFonts w:hint="eastAsia"/>
                <w:color w:val="auto"/>
                <w:szCs w:val="21"/>
              </w:rPr>
              <w:t>污染物</w:t>
            </w:r>
          </w:p>
        </w:tc>
        <w:tc>
          <w:tcPr>
            <w:tcW w:w="2714"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年评价指标</w:t>
            </w:r>
          </w:p>
        </w:tc>
        <w:tc>
          <w:tcPr>
            <w:tcW w:w="1704"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现状浓度</w:t>
            </w:r>
            <w:r>
              <w:rPr>
                <w:color w:val="auto"/>
                <w:szCs w:val="21"/>
              </w:rPr>
              <w:t>(μg/m</w:t>
            </w:r>
            <w:r>
              <w:rPr>
                <w:color w:val="auto"/>
                <w:szCs w:val="21"/>
                <w:vertAlign w:val="superscript"/>
              </w:rPr>
              <w:t>3</w:t>
            </w:r>
            <w:r>
              <w:rPr>
                <w:color w:val="auto"/>
                <w:szCs w:val="21"/>
              </w:rPr>
              <w:t>)</w:t>
            </w:r>
          </w:p>
        </w:tc>
        <w:tc>
          <w:tcPr>
            <w:tcW w:w="1528"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标准值</w:t>
            </w:r>
            <w:r>
              <w:rPr>
                <w:color w:val="auto"/>
                <w:szCs w:val="21"/>
              </w:rPr>
              <w:t>(μg/m</w:t>
            </w:r>
            <w:r>
              <w:rPr>
                <w:color w:val="auto"/>
                <w:szCs w:val="21"/>
                <w:vertAlign w:val="superscript"/>
              </w:rPr>
              <w:t>3</w:t>
            </w:r>
            <w:r>
              <w:rPr>
                <w:color w:val="auto"/>
                <w:szCs w:val="21"/>
              </w:rPr>
              <w:t>)</w:t>
            </w:r>
          </w:p>
        </w:tc>
        <w:tc>
          <w:tcPr>
            <w:tcW w:w="1268" w:type="dxa"/>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占标率（</w:t>
            </w:r>
            <w:r>
              <w:rPr>
                <w:color w:val="auto"/>
                <w:szCs w:val="21"/>
              </w:rPr>
              <w:t>%</w:t>
            </w:r>
            <w:r>
              <w:rPr>
                <w:rFonts w:hint="eastAsia"/>
                <w:color w:val="auto"/>
                <w:szCs w:val="21"/>
              </w:rPr>
              <w:t>）</w:t>
            </w:r>
          </w:p>
        </w:tc>
        <w:tc>
          <w:tcPr>
            <w:tcW w:w="1062" w:type="dxa"/>
            <w:tcBorders>
              <w:top w:val="single" w:color="auto" w:sz="12" w:space="0"/>
              <w:left w:val="single" w:color="auto" w:sz="4" w:space="0"/>
              <w:bottom w:val="single" w:color="auto" w:sz="4" w:space="0"/>
              <w:right w:val="nil"/>
            </w:tcBorders>
            <w:vAlign w:val="center"/>
          </w:tcPr>
          <w:p>
            <w:pPr>
              <w:jc w:val="center"/>
              <w:rPr>
                <w:color w:val="auto"/>
                <w:szCs w:val="21"/>
              </w:rPr>
            </w:pPr>
            <w:r>
              <w:rPr>
                <w:rFonts w:hint="eastAsia"/>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9"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SO</w:t>
            </w:r>
            <w:r>
              <w:rPr>
                <w:color w:val="auto"/>
                <w:szCs w:val="21"/>
                <w:vertAlign w:val="subscript"/>
              </w:rPr>
              <w:t>2</w:t>
            </w:r>
          </w:p>
        </w:tc>
        <w:tc>
          <w:tcPr>
            <w:tcW w:w="27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年均质量浓度</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12</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60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20</w:t>
            </w:r>
          </w:p>
        </w:tc>
        <w:tc>
          <w:tcPr>
            <w:tcW w:w="1062" w:type="dxa"/>
            <w:tcBorders>
              <w:top w:val="single" w:color="auto" w:sz="4" w:space="0"/>
              <w:left w:val="single" w:color="auto" w:sz="4" w:space="0"/>
              <w:bottom w:val="single" w:color="auto" w:sz="4" w:space="0"/>
              <w:right w:val="nil"/>
            </w:tcBorders>
            <w:vAlign w:val="center"/>
          </w:tcPr>
          <w:p>
            <w:pPr>
              <w:jc w:val="center"/>
              <w:rPr>
                <w:color w:val="auto"/>
                <w:szCs w:val="21"/>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9"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NO</w:t>
            </w:r>
            <w:r>
              <w:rPr>
                <w:color w:val="auto"/>
                <w:szCs w:val="21"/>
                <w:vertAlign w:val="subscript"/>
              </w:rPr>
              <w:t>2</w:t>
            </w:r>
          </w:p>
        </w:tc>
        <w:tc>
          <w:tcPr>
            <w:tcW w:w="27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年均质量浓度</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26</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65</w:t>
            </w:r>
          </w:p>
        </w:tc>
        <w:tc>
          <w:tcPr>
            <w:tcW w:w="1062" w:type="dxa"/>
            <w:tcBorders>
              <w:top w:val="single" w:color="auto" w:sz="4" w:space="0"/>
              <w:left w:val="single" w:color="auto" w:sz="4" w:space="0"/>
              <w:bottom w:val="single" w:color="auto" w:sz="4" w:space="0"/>
              <w:right w:val="nil"/>
            </w:tcBorders>
            <w:vAlign w:val="center"/>
          </w:tcPr>
          <w:p>
            <w:pPr>
              <w:jc w:val="center"/>
              <w:rPr>
                <w:color w:val="auto"/>
                <w:sz w:val="28"/>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9"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PM</w:t>
            </w:r>
            <w:r>
              <w:rPr>
                <w:color w:val="auto"/>
                <w:szCs w:val="21"/>
                <w:vertAlign w:val="subscript"/>
              </w:rPr>
              <w:t>10</w:t>
            </w:r>
          </w:p>
        </w:tc>
        <w:tc>
          <w:tcPr>
            <w:tcW w:w="27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年均质量浓度</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54</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77</w:t>
            </w:r>
          </w:p>
        </w:tc>
        <w:tc>
          <w:tcPr>
            <w:tcW w:w="1062" w:type="dxa"/>
            <w:tcBorders>
              <w:top w:val="single" w:color="auto" w:sz="4" w:space="0"/>
              <w:left w:val="single" w:color="auto" w:sz="4" w:space="0"/>
              <w:bottom w:val="single" w:color="auto" w:sz="4" w:space="0"/>
              <w:right w:val="nil"/>
            </w:tcBorders>
            <w:vAlign w:val="center"/>
          </w:tcPr>
          <w:p>
            <w:pPr>
              <w:jc w:val="center"/>
              <w:rPr>
                <w:color w:val="auto"/>
                <w:sz w:val="28"/>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9"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PM</w:t>
            </w:r>
            <w:r>
              <w:rPr>
                <w:color w:val="auto"/>
                <w:szCs w:val="21"/>
                <w:vertAlign w:val="subscript"/>
              </w:rPr>
              <w:t>2.5</w:t>
            </w:r>
          </w:p>
        </w:tc>
        <w:tc>
          <w:tcPr>
            <w:tcW w:w="27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年均质量浓度</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28</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c>
          <w:tcPr>
            <w:tcW w:w="1062" w:type="dxa"/>
            <w:tcBorders>
              <w:top w:val="single" w:color="auto" w:sz="4" w:space="0"/>
              <w:left w:val="single" w:color="auto" w:sz="4" w:space="0"/>
              <w:bottom w:val="single" w:color="auto" w:sz="4" w:space="0"/>
              <w:right w:val="nil"/>
            </w:tcBorders>
            <w:vAlign w:val="center"/>
          </w:tcPr>
          <w:p>
            <w:pPr>
              <w:jc w:val="center"/>
              <w:rPr>
                <w:color w:val="auto"/>
                <w:sz w:val="28"/>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9"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CO</w:t>
            </w:r>
          </w:p>
        </w:tc>
        <w:tc>
          <w:tcPr>
            <w:tcW w:w="27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日均质量浓度</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1.4</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w:t>
            </w:r>
          </w:p>
        </w:tc>
        <w:tc>
          <w:tcPr>
            <w:tcW w:w="1062" w:type="dxa"/>
            <w:tcBorders>
              <w:top w:val="single" w:color="auto" w:sz="4" w:space="0"/>
              <w:left w:val="single" w:color="auto" w:sz="4" w:space="0"/>
              <w:bottom w:val="single" w:color="auto" w:sz="4" w:space="0"/>
              <w:right w:val="nil"/>
            </w:tcBorders>
            <w:vAlign w:val="center"/>
          </w:tcPr>
          <w:p>
            <w:pPr>
              <w:jc w:val="center"/>
              <w:rPr>
                <w:color w:val="auto"/>
                <w:sz w:val="28"/>
              </w:rPr>
            </w:pPr>
            <w:r>
              <w:rPr>
                <w:rFonts w:hint="eastAsia"/>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9" w:type="dxa"/>
            <w:tcBorders>
              <w:top w:val="single" w:color="auto" w:sz="4" w:space="0"/>
              <w:left w:val="nil"/>
              <w:bottom w:val="single" w:color="auto" w:sz="12" w:space="0"/>
              <w:right w:val="single" w:color="auto" w:sz="4" w:space="0"/>
            </w:tcBorders>
            <w:vAlign w:val="center"/>
          </w:tcPr>
          <w:p>
            <w:pPr>
              <w:jc w:val="center"/>
              <w:rPr>
                <w:color w:val="auto"/>
                <w:szCs w:val="21"/>
              </w:rPr>
            </w:pPr>
            <w:r>
              <w:rPr>
                <w:color w:val="auto"/>
                <w:szCs w:val="21"/>
              </w:rPr>
              <w:t>O</w:t>
            </w:r>
            <w:r>
              <w:rPr>
                <w:color w:val="auto"/>
                <w:szCs w:val="21"/>
                <w:vertAlign w:val="subscript"/>
              </w:rPr>
              <w:t>3</w:t>
            </w:r>
          </w:p>
        </w:tc>
        <w:tc>
          <w:tcPr>
            <w:tcW w:w="2714"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rFonts w:hint="eastAsia"/>
                <w:color w:val="auto"/>
                <w:szCs w:val="21"/>
              </w:rPr>
              <w:t>日最大</w:t>
            </w:r>
            <w:r>
              <w:rPr>
                <w:color w:val="auto"/>
                <w:szCs w:val="21"/>
              </w:rPr>
              <w:t>8</w:t>
            </w:r>
            <w:r>
              <w:rPr>
                <w:rFonts w:hint="eastAsia"/>
                <w:color w:val="auto"/>
                <w:szCs w:val="21"/>
              </w:rPr>
              <w:t>小时平均质量浓度</w:t>
            </w:r>
          </w:p>
        </w:tc>
        <w:tc>
          <w:tcPr>
            <w:tcW w:w="1704"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128</w:t>
            </w:r>
          </w:p>
        </w:tc>
        <w:tc>
          <w:tcPr>
            <w:tcW w:w="1528"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160</w:t>
            </w:r>
          </w:p>
        </w:tc>
        <w:tc>
          <w:tcPr>
            <w:tcW w:w="1268"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80</w:t>
            </w:r>
          </w:p>
        </w:tc>
        <w:tc>
          <w:tcPr>
            <w:tcW w:w="1062" w:type="dxa"/>
            <w:tcBorders>
              <w:top w:val="single" w:color="auto" w:sz="4" w:space="0"/>
              <w:left w:val="single" w:color="auto" w:sz="4" w:space="0"/>
              <w:bottom w:val="single" w:color="auto" w:sz="12" w:space="0"/>
              <w:right w:val="nil"/>
            </w:tcBorders>
            <w:vAlign w:val="center"/>
          </w:tcPr>
          <w:p>
            <w:pPr>
              <w:jc w:val="center"/>
              <w:rPr>
                <w:color w:val="auto"/>
                <w:sz w:val="28"/>
              </w:rPr>
            </w:pPr>
            <w:r>
              <w:rPr>
                <w:rFonts w:hint="eastAsia"/>
                <w:color w:val="auto"/>
                <w:szCs w:val="21"/>
              </w:rPr>
              <w:t>达标</w:t>
            </w:r>
          </w:p>
        </w:tc>
      </w:tr>
    </w:tbl>
    <w:p>
      <w:pPr>
        <w:spacing w:line="360" w:lineRule="auto"/>
        <w:ind w:left="-67" w:leftChars="-32" w:firstLine="600" w:firstLineChars="250"/>
        <w:rPr>
          <w:color w:val="auto"/>
          <w:sz w:val="24"/>
        </w:rPr>
      </w:pPr>
      <w:r>
        <w:rPr>
          <w:rFonts w:hint="eastAsia"/>
          <w:color w:val="auto"/>
          <w:sz w:val="24"/>
        </w:rPr>
        <w:t>由上表2.1</w:t>
      </w:r>
      <w:r>
        <w:rPr>
          <w:color w:val="auto"/>
          <w:sz w:val="24"/>
        </w:rPr>
        <w:t>-1</w:t>
      </w:r>
      <w:r>
        <w:rPr>
          <w:rFonts w:hint="eastAsia"/>
          <w:color w:val="auto"/>
          <w:sz w:val="24"/>
        </w:rPr>
        <w:t>福鼎市区域空气质量现状评价表的达标评价可知，</w:t>
      </w:r>
      <w:r>
        <w:rPr>
          <w:color w:val="auto"/>
          <w:sz w:val="24"/>
        </w:rPr>
        <w:t>SO</w:t>
      </w:r>
      <w:r>
        <w:rPr>
          <w:color w:val="auto"/>
          <w:sz w:val="24"/>
          <w:vertAlign w:val="subscript"/>
        </w:rPr>
        <w:t>2</w:t>
      </w:r>
      <w:r>
        <w:rPr>
          <w:rFonts w:hint="eastAsia"/>
          <w:color w:val="auto"/>
          <w:sz w:val="24"/>
        </w:rPr>
        <w:t>、</w:t>
      </w:r>
      <w:r>
        <w:rPr>
          <w:color w:val="auto"/>
          <w:sz w:val="24"/>
        </w:rPr>
        <w:t>NO</w:t>
      </w:r>
      <w:r>
        <w:rPr>
          <w:color w:val="auto"/>
          <w:sz w:val="24"/>
          <w:vertAlign w:val="subscript"/>
        </w:rPr>
        <w:t>2</w:t>
      </w:r>
      <w:r>
        <w:rPr>
          <w:rFonts w:hint="eastAsia"/>
          <w:color w:val="auto"/>
          <w:sz w:val="24"/>
        </w:rPr>
        <w:t>、</w:t>
      </w:r>
      <w:r>
        <w:rPr>
          <w:color w:val="auto"/>
          <w:sz w:val="24"/>
        </w:rPr>
        <w:t>PM</w:t>
      </w:r>
      <w:r>
        <w:rPr>
          <w:color w:val="auto"/>
          <w:sz w:val="24"/>
          <w:vertAlign w:val="subscript"/>
        </w:rPr>
        <w:t>10</w:t>
      </w:r>
      <w:r>
        <w:rPr>
          <w:rFonts w:hint="eastAsia"/>
          <w:color w:val="auto"/>
          <w:sz w:val="24"/>
        </w:rPr>
        <w:t>、</w:t>
      </w:r>
      <w:r>
        <w:rPr>
          <w:color w:val="auto"/>
          <w:sz w:val="24"/>
        </w:rPr>
        <w:t>PM</w:t>
      </w:r>
      <w:r>
        <w:rPr>
          <w:color w:val="auto"/>
          <w:sz w:val="24"/>
          <w:vertAlign w:val="subscript"/>
        </w:rPr>
        <w:t>2.5</w:t>
      </w:r>
      <w:r>
        <w:rPr>
          <w:rFonts w:hint="eastAsia"/>
          <w:color w:val="auto"/>
          <w:sz w:val="24"/>
        </w:rPr>
        <w:t>、</w:t>
      </w:r>
      <w:r>
        <w:rPr>
          <w:color w:val="auto"/>
          <w:sz w:val="24"/>
        </w:rPr>
        <w:t>CO</w:t>
      </w:r>
      <w:r>
        <w:rPr>
          <w:rFonts w:hint="eastAsia"/>
          <w:color w:val="auto"/>
          <w:sz w:val="24"/>
        </w:rPr>
        <w:t>、</w:t>
      </w:r>
      <w:r>
        <w:rPr>
          <w:color w:val="auto"/>
          <w:sz w:val="24"/>
        </w:rPr>
        <w:t>O</w:t>
      </w:r>
      <w:r>
        <w:rPr>
          <w:color w:val="auto"/>
          <w:sz w:val="24"/>
          <w:vertAlign w:val="subscript"/>
        </w:rPr>
        <w:t>3</w:t>
      </w:r>
      <w:r>
        <w:rPr>
          <w:rFonts w:hint="eastAsia"/>
          <w:color w:val="auto"/>
          <w:sz w:val="24"/>
        </w:rPr>
        <w:t>六项污染物全部符合《环境空气质量标准》（</w:t>
      </w:r>
      <w:r>
        <w:rPr>
          <w:color w:val="auto"/>
          <w:sz w:val="24"/>
        </w:rPr>
        <w:t>GB3095-2012</w:t>
      </w:r>
      <w:r>
        <w:rPr>
          <w:rFonts w:hint="eastAsia"/>
          <w:color w:val="auto"/>
          <w:sz w:val="24"/>
        </w:rPr>
        <w:t>）中的二级标准要求，可以说明项目所在区域福鼎市环境空气质量是达标的。</w:t>
      </w:r>
    </w:p>
    <w:p>
      <w:pPr>
        <w:pStyle w:val="2"/>
        <w:ind w:firstLine="420"/>
        <w:rPr>
          <w:color w:val="auto"/>
        </w:rPr>
      </w:pPr>
      <w:r>
        <w:rPr>
          <w:rFonts w:hint="eastAsia"/>
          <w:color w:val="auto"/>
        </w:rPr>
        <w:t>另外，</w:t>
      </w:r>
      <w:r>
        <w:rPr>
          <w:rFonts w:hint="eastAsia"/>
          <w:color w:val="auto"/>
          <w:lang w:eastAsia="zh-CN"/>
        </w:rPr>
        <w:t>根据《环境影响评价技术导则</w:t>
      </w:r>
      <w:r>
        <w:rPr>
          <w:rFonts w:hint="eastAsia"/>
          <w:color w:val="auto"/>
          <w:lang w:val="en-US" w:eastAsia="zh-CN"/>
        </w:rPr>
        <w:t>-大气环境</w:t>
      </w:r>
      <w:r>
        <w:rPr>
          <w:rFonts w:hint="eastAsia"/>
          <w:color w:val="auto"/>
          <w:lang w:eastAsia="zh-CN"/>
        </w:rPr>
        <w:t>》对本项目特征污染物占标率大于</w:t>
      </w:r>
      <w:r>
        <w:rPr>
          <w:rFonts w:hint="eastAsia"/>
          <w:color w:val="auto"/>
          <w:lang w:val="en-US" w:eastAsia="zh-CN"/>
        </w:rPr>
        <w:t>1%进行补充监测，</w:t>
      </w:r>
      <w:r>
        <w:rPr>
          <w:rFonts w:hint="eastAsia"/>
          <w:color w:val="auto"/>
          <w:lang w:eastAsia="zh-CN"/>
        </w:rPr>
        <w:t>建设单位委托</w:t>
      </w:r>
      <w:r>
        <w:rPr>
          <w:rFonts w:hint="eastAsia"/>
          <w:color w:val="auto"/>
        </w:rPr>
        <w:t>福建</w:t>
      </w:r>
      <w:r>
        <w:rPr>
          <w:rFonts w:hint="eastAsia"/>
          <w:color w:val="auto"/>
          <w:lang w:eastAsia="zh-CN"/>
        </w:rPr>
        <w:t>拓</w:t>
      </w:r>
      <w:r>
        <w:rPr>
          <w:rFonts w:hint="eastAsia"/>
          <w:color w:val="auto"/>
        </w:rPr>
        <w:t>普检测技术有限</w:t>
      </w:r>
      <w:r>
        <w:rPr>
          <w:rFonts w:hint="eastAsia"/>
          <w:color w:val="auto"/>
          <w:lang w:eastAsia="zh-CN"/>
        </w:rPr>
        <w:t>公司于</w:t>
      </w:r>
      <w:r>
        <w:rPr>
          <w:rFonts w:hint="eastAsia"/>
          <w:color w:val="auto"/>
        </w:rPr>
        <w:t>2019年3月4日~2019年3月10日对福鼎市质达金属表面处理有限公司厂址所在地氯化氢、氟化物现状检测数据，见表2.1-3~表2.1-4。</w:t>
      </w:r>
    </w:p>
    <w:p>
      <w:pPr>
        <w:spacing w:line="360" w:lineRule="auto"/>
        <w:jc w:val="center"/>
        <w:rPr>
          <w:b/>
          <w:color w:val="auto"/>
          <w:sz w:val="24"/>
        </w:rPr>
      </w:pPr>
      <w:r>
        <w:rPr>
          <w:b/>
          <w:color w:val="auto"/>
          <w:sz w:val="24"/>
        </w:rPr>
        <w:t>表</w:t>
      </w:r>
      <w:r>
        <w:rPr>
          <w:rFonts w:hint="eastAsia"/>
          <w:b/>
          <w:color w:val="auto"/>
          <w:sz w:val="24"/>
        </w:rPr>
        <w:t>2.1-2</w:t>
      </w:r>
      <w:r>
        <w:rPr>
          <w:b/>
          <w:color w:val="auto"/>
          <w:sz w:val="24"/>
        </w:rPr>
        <w:t xml:space="preserve">  大气环境</w:t>
      </w:r>
      <w:r>
        <w:rPr>
          <w:rFonts w:hint="eastAsia"/>
          <w:b/>
          <w:color w:val="auto"/>
          <w:sz w:val="24"/>
        </w:rPr>
        <w:t>补充</w:t>
      </w:r>
      <w:r>
        <w:rPr>
          <w:b/>
          <w:color w:val="auto"/>
          <w:sz w:val="24"/>
        </w:rPr>
        <w:t>监测</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03"/>
        <w:gridCol w:w="1908"/>
        <w:gridCol w:w="1901"/>
        <w:gridCol w:w="1896"/>
        <w:gridCol w:w="187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703" w:type="dxa"/>
            <w:vMerge w:val="restart"/>
            <w:vAlign w:val="center"/>
          </w:tcPr>
          <w:p>
            <w:pPr>
              <w:jc w:val="center"/>
              <w:rPr>
                <w:color w:val="auto"/>
                <w:szCs w:val="21"/>
              </w:rPr>
            </w:pPr>
            <w:r>
              <w:rPr>
                <w:color w:val="auto"/>
                <w:szCs w:val="21"/>
              </w:rPr>
              <w:t>监测点布设</w:t>
            </w:r>
          </w:p>
        </w:tc>
        <w:tc>
          <w:tcPr>
            <w:tcW w:w="1908" w:type="dxa"/>
            <w:vAlign w:val="center"/>
          </w:tcPr>
          <w:p>
            <w:pPr>
              <w:jc w:val="center"/>
              <w:rPr>
                <w:color w:val="auto"/>
                <w:szCs w:val="21"/>
              </w:rPr>
            </w:pPr>
            <w:r>
              <w:rPr>
                <w:color w:val="auto"/>
                <w:szCs w:val="21"/>
              </w:rPr>
              <w:t>编号</w:t>
            </w:r>
          </w:p>
        </w:tc>
        <w:tc>
          <w:tcPr>
            <w:tcW w:w="1901" w:type="dxa"/>
            <w:vAlign w:val="center"/>
          </w:tcPr>
          <w:p>
            <w:pPr>
              <w:jc w:val="center"/>
              <w:rPr>
                <w:color w:val="auto"/>
                <w:szCs w:val="21"/>
              </w:rPr>
            </w:pPr>
            <w:r>
              <w:rPr>
                <w:color w:val="auto"/>
                <w:szCs w:val="21"/>
              </w:rPr>
              <w:t>测点名称</w:t>
            </w:r>
          </w:p>
        </w:tc>
        <w:tc>
          <w:tcPr>
            <w:tcW w:w="1896" w:type="dxa"/>
            <w:vAlign w:val="center"/>
          </w:tcPr>
          <w:p>
            <w:pPr>
              <w:jc w:val="center"/>
              <w:rPr>
                <w:color w:val="auto"/>
                <w:szCs w:val="21"/>
              </w:rPr>
            </w:pPr>
            <w:r>
              <w:rPr>
                <w:color w:val="auto"/>
                <w:szCs w:val="21"/>
              </w:rPr>
              <w:t>方位</w:t>
            </w:r>
          </w:p>
        </w:tc>
        <w:tc>
          <w:tcPr>
            <w:tcW w:w="1878" w:type="dxa"/>
            <w:vAlign w:val="center"/>
          </w:tcPr>
          <w:p>
            <w:pPr>
              <w:jc w:val="center"/>
              <w:rPr>
                <w:color w:val="auto"/>
                <w:szCs w:val="21"/>
              </w:rPr>
            </w:pPr>
            <w:r>
              <w:rPr>
                <w:color w:val="auto"/>
                <w:szCs w:val="21"/>
              </w:rPr>
              <w:t>距离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703" w:type="dxa"/>
            <w:vMerge w:val="continue"/>
            <w:vAlign w:val="center"/>
          </w:tcPr>
          <w:p>
            <w:pPr>
              <w:jc w:val="center"/>
              <w:rPr>
                <w:color w:val="auto"/>
                <w:szCs w:val="21"/>
              </w:rPr>
            </w:pPr>
          </w:p>
        </w:tc>
        <w:tc>
          <w:tcPr>
            <w:tcW w:w="1908" w:type="dxa"/>
            <w:vAlign w:val="center"/>
          </w:tcPr>
          <w:p>
            <w:pPr>
              <w:jc w:val="center"/>
              <w:rPr>
                <w:color w:val="auto"/>
                <w:szCs w:val="21"/>
              </w:rPr>
            </w:pPr>
            <w:r>
              <w:rPr>
                <w:color w:val="auto"/>
                <w:szCs w:val="21"/>
              </w:rPr>
              <w:t>G1</w:t>
            </w:r>
          </w:p>
        </w:tc>
        <w:tc>
          <w:tcPr>
            <w:tcW w:w="1901" w:type="dxa"/>
            <w:vAlign w:val="center"/>
          </w:tcPr>
          <w:p>
            <w:pPr>
              <w:jc w:val="center"/>
              <w:rPr>
                <w:color w:val="auto"/>
                <w:szCs w:val="21"/>
              </w:rPr>
            </w:pPr>
            <w:r>
              <w:rPr>
                <w:rFonts w:hint="eastAsia"/>
                <w:color w:val="auto"/>
                <w:szCs w:val="21"/>
              </w:rPr>
              <w:t>厂址</w:t>
            </w:r>
          </w:p>
        </w:tc>
        <w:tc>
          <w:tcPr>
            <w:tcW w:w="1896" w:type="dxa"/>
            <w:vAlign w:val="center"/>
          </w:tcPr>
          <w:p>
            <w:pPr>
              <w:jc w:val="center"/>
              <w:rPr>
                <w:color w:val="auto"/>
                <w:szCs w:val="21"/>
              </w:rPr>
            </w:pPr>
            <w:r>
              <w:rPr>
                <w:rFonts w:hint="eastAsia"/>
                <w:color w:val="auto"/>
                <w:szCs w:val="21"/>
              </w:rPr>
              <w:t>-</w:t>
            </w:r>
          </w:p>
        </w:tc>
        <w:tc>
          <w:tcPr>
            <w:tcW w:w="1878" w:type="dxa"/>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703" w:type="dxa"/>
            <w:vAlign w:val="center"/>
          </w:tcPr>
          <w:p>
            <w:pPr>
              <w:jc w:val="center"/>
              <w:rPr>
                <w:color w:val="auto"/>
                <w:szCs w:val="21"/>
              </w:rPr>
            </w:pPr>
            <w:r>
              <w:rPr>
                <w:color w:val="auto"/>
                <w:szCs w:val="21"/>
              </w:rPr>
              <w:t>监测项目</w:t>
            </w:r>
          </w:p>
        </w:tc>
        <w:tc>
          <w:tcPr>
            <w:tcW w:w="7583" w:type="dxa"/>
            <w:gridSpan w:val="4"/>
            <w:vAlign w:val="center"/>
          </w:tcPr>
          <w:p>
            <w:pPr>
              <w:jc w:val="center"/>
              <w:rPr>
                <w:color w:val="auto"/>
                <w:szCs w:val="21"/>
                <w:vertAlign w:val="subscript"/>
              </w:rPr>
            </w:pPr>
            <w:r>
              <w:rPr>
                <w:rFonts w:hint="eastAsia"/>
                <w:color w:val="auto"/>
                <w:szCs w:val="21"/>
              </w:rPr>
              <w:t>特征因子氟化物、氯化氢</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703" w:type="dxa"/>
            <w:vAlign w:val="center"/>
          </w:tcPr>
          <w:p>
            <w:pPr>
              <w:jc w:val="center"/>
              <w:rPr>
                <w:color w:val="auto"/>
                <w:szCs w:val="21"/>
              </w:rPr>
            </w:pPr>
            <w:r>
              <w:rPr>
                <w:color w:val="auto"/>
                <w:szCs w:val="21"/>
              </w:rPr>
              <w:t>监测天数</w:t>
            </w:r>
          </w:p>
        </w:tc>
        <w:tc>
          <w:tcPr>
            <w:tcW w:w="7583" w:type="dxa"/>
            <w:gridSpan w:val="4"/>
            <w:vAlign w:val="center"/>
          </w:tcPr>
          <w:p>
            <w:pPr>
              <w:jc w:val="center"/>
              <w:rPr>
                <w:color w:val="auto"/>
                <w:szCs w:val="21"/>
              </w:rPr>
            </w:pPr>
            <w:r>
              <w:rPr>
                <w:color w:val="auto"/>
                <w:szCs w:val="21"/>
              </w:rPr>
              <w:t>7天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703" w:type="dxa"/>
            <w:vAlign w:val="center"/>
          </w:tcPr>
          <w:p>
            <w:pPr>
              <w:jc w:val="center"/>
              <w:rPr>
                <w:color w:val="auto"/>
                <w:szCs w:val="21"/>
              </w:rPr>
            </w:pPr>
            <w:r>
              <w:rPr>
                <w:color w:val="auto"/>
                <w:szCs w:val="21"/>
              </w:rPr>
              <w:t>监测及分析方法</w:t>
            </w:r>
          </w:p>
        </w:tc>
        <w:tc>
          <w:tcPr>
            <w:tcW w:w="7583" w:type="dxa"/>
            <w:gridSpan w:val="4"/>
            <w:vAlign w:val="center"/>
          </w:tcPr>
          <w:p>
            <w:pPr>
              <w:jc w:val="center"/>
              <w:rPr>
                <w:color w:val="auto"/>
                <w:szCs w:val="21"/>
              </w:rPr>
            </w:pPr>
            <w:r>
              <w:rPr>
                <w:color w:val="auto"/>
                <w:szCs w:val="21"/>
              </w:rPr>
              <w:t>监测及分析方法均按照国家环保局《环境空气质量手工监测技术规范》（HJ/T.194-2005)、《环境监测分析方法》和《环境空气质量标准》（GB3095-2012）要求的方法进行</w:t>
            </w:r>
          </w:p>
        </w:tc>
      </w:tr>
    </w:tbl>
    <w:p>
      <w:pPr>
        <w:spacing w:line="360" w:lineRule="auto"/>
        <w:ind w:hanging="210"/>
        <w:jc w:val="center"/>
        <w:rPr>
          <w:b/>
          <w:color w:val="auto"/>
          <w:sz w:val="24"/>
        </w:rPr>
      </w:pPr>
      <w:r>
        <w:rPr>
          <w:rFonts w:hint="eastAsia"/>
          <w:b/>
          <w:color w:val="auto"/>
          <w:sz w:val="24"/>
        </w:rPr>
        <w:t>表2.1-3  氯化氢小时检测结果</w:t>
      </w:r>
    </w:p>
    <w:tbl>
      <w:tblPr>
        <w:tblStyle w:val="23"/>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160"/>
        <w:gridCol w:w="1161"/>
        <w:gridCol w:w="1161"/>
        <w:gridCol w:w="1161"/>
        <w:gridCol w:w="1161"/>
        <w:gridCol w:w="1161"/>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restart"/>
            <w:tcBorders>
              <w:tl2br w:val="nil"/>
              <w:tr2bl w:val="nil"/>
            </w:tcBorders>
            <w:vAlign w:val="center"/>
          </w:tcPr>
          <w:p>
            <w:pPr>
              <w:pStyle w:val="41"/>
              <w:rPr>
                <w:color w:val="auto"/>
              </w:rPr>
            </w:pPr>
            <w:r>
              <w:rPr>
                <w:rFonts w:hint="eastAsia"/>
                <w:color w:val="auto"/>
              </w:rPr>
              <w:t>测点编号</w:t>
            </w:r>
          </w:p>
        </w:tc>
        <w:tc>
          <w:tcPr>
            <w:tcW w:w="1160" w:type="dxa"/>
            <w:vMerge w:val="restart"/>
            <w:tcBorders>
              <w:tl2br w:val="nil"/>
              <w:tr2bl w:val="nil"/>
            </w:tcBorders>
            <w:vAlign w:val="center"/>
          </w:tcPr>
          <w:p>
            <w:pPr>
              <w:pStyle w:val="41"/>
              <w:rPr>
                <w:color w:val="auto"/>
              </w:rPr>
            </w:pPr>
            <w:r>
              <w:rPr>
                <w:rFonts w:hint="eastAsia"/>
                <w:color w:val="auto"/>
              </w:rPr>
              <w:t>测点名称</w:t>
            </w:r>
          </w:p>
        </w:tc>
        <w:tc>
          <w:tcPr>
            <w:tcW w:w="1161" w:type="dxa"/>
            <w:vMerge w:val="restart"/>
            <w:tcBorders>
              <w:tl2br w:val="nil"/>
              <w:tr2bl w:val="nil"/>
            </w:tcBorders>
            <w:vAlign w:val="center"/>
          </w:tcPr>
          <w:p>
            <w:pPr>
              <w:pStyle w:val="41"/>
              <w:rPr>
                <w:color w:val="auto"/>
              </w:rPr>
            </w:pPr>
            <w:r>
              <w:rPr>
                <w:rFonts w:hint="eastAsia"/>
                <w:color w:val="auto"/>
              </w:rPr>
              <w:t>监测项目</w:t>
            </w:r>
          </w:p>
        </w:tc>
        <w:tc>
          <w:tcPr>
            <w:tcW w:w="1161" w:type="dxa"/>
            <w:vMerge w:val="restart"/>
            <w:tcBorders>
              <w:tl2br w:val="nil"/>
              <w:tr2bl w:val="nil"/>
            </w:tcBorders>
            <w:vAlign w:val="center"/>
          </w:tcPr>
          <w:p>
            <w:pPr>
              <w:pStyle w:val="41"/>
              <w:rPr>
                <w:color w:val="auto"/>
              </w:rPr>
            </w:pPr>
            <w:r>
              <w:rPr>
                <w:rFonts w:hint="eastAsia"/>
                <w:color w:val="auto"/>
              </w:rPr>
              <w:t>采样时间</w:t>
            </w:r>
          </w:p>
        </w:tc>
        <w:tc>
          <w:tcPr>
            <w:tcW w:w="4644" w:type="dxa"/>
            <w:gridSpan w:val="4"/>
            <w:tcBorders>
              <w:tl2br w:val="nil"/>
              <w:tr2bl w:val="nil"/>
            </w:tcBorders>
            <w:vAlign w:val="center"/>
          </w:tcPr>
          <w:p>
            <w:pPr>
              <w:pStyle w:val="41"/>
              <w:rPr>
                <w:color w:val="auto"/>
              </w:rPr>
            </w:pPr>
            <w:r>
              <w:rPr>
                <w:rFonts w:hint="eastAsia"/>
                <w:color w:val="auto"/>
              </w:rPr>
              <w:t>检测结果（mg/m</w:t>
            </w:r>
            <w:r>
              <w:rPr>
                <w:rFonts w:hint="eastAsia"/>
                <w:color w:val="auto"/>
                <w:vertAlign w:val="superscript"/>
              </w:rPr>
              <w:t>3</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pStyle w:val="41"/>
              <w:rPr>
                <w:color w:val="auto"/>
              </w:rPr>
            </w:pPr>
            <w:r>
              <w:rPr>
                <w:rFonts w:hint="eastAsia"/>
                <w:color w:val="auto"/>
              </w:rPr>
              <w:t>2：00</w:t>
            </w:r>
          </w:p>
          <w:p>
            <w:pPr>
              <w:pStyle w:val="41"/>
              <w:rPr>
                <w:color w:val="auto"/>
              </w:rPr>
            </w:pPr>
            <w:r>
              <w:rPr>
                <w:rFonts w:hint="eastAsia"/>
                <w:color w:val="auto"/>
              </w:rPr>
              <w:t>（小时值）</w:t>
            </w:r>
          </w:p>
        </w:tc>
        <w:tc>
          <w:tcPr>
            <w:tcW w:w="1161" w:type="dxa"/>
            <w:tcBorders>
              <w:tl2br w:val="nil"/>
              <w:tr2bl w:val="nil"/>
            </w:tcBorders>
            <w:vAlign w:val="center"/>
          </w:tcPr>
          <w:p>
            <w:pPr>
              <w:pStyle w:val="41"/>
              <w:rPr>
                <w:color w:val="auto"/>
              </w:rPr>
            </w:pPr>
            <w:r>
              <w:rPr>
                <w:rFonts w:hint="eastAsia"/>
                <w:color w:val="auto"/>
              </w:rPr>
              <w:t>8：00</w:t>
            </w:r>
          </w:p>
          <w:p>
            <w:pPr>
              <w:pStyle w:val="41"/>
              <w:rPr>
                <w:color w:val="auto"/>
              </w:rPr>
            </w:pPr>
            <w:r>
              <w:rPr>
                <w:rFonts w:hint="eastAsia"/>
                <w:color w:val="auto"/>
              </w:rPr>
              <w:t>（小时值）</w:t>
            </w:r>
          </w:p>
        </w:tc>
        <w:tc>
          <w:tcPr>
            <w:tcW w:w="1161" w:type="dxa"/>
            <w:tcBorders>
              <w:tl2br w:val="nil"/>
              <w:tr2bl w:val="nil"/>
            </w:tcBorders>
            <w:vAlign w:val="center"/>
          </w:tcPr>
          <w:p>
            <w:pPr>
              <w:pStyle w:val="41"/>
              <w:rPr>
                <w:color w:val="auto"/>
              </w:rPr>
            </w:pPr>
            <w:r>
              <w:rPr>
                <w:rFonts w:hint="eastAsia"/>
                <w:color w:val="auto"/>
              </w:rPr>
              <w:t>14：00</w:t>
            </w:r>
          </w:p>
          <w:p>
            <w:pPr>
              <w:pStyle w:val="41"/>
              <w:rPr>
                <w:color w:val="auto"/>
              </w:rPr>
            </w:pPr>
            <w:r>
              <w:rPr>
                <w:rFonts w:hint="eastAsia"/>
                <w:color w:val="auto"/>
              </w:rPr>
              <w:t>（小时值）</w:t>
            </w:r>
          </w:p>
        </w:tc>
        <w:tc>
          <w:tcPr>
            <w:tcW w:w="1161" w:type="dxa"/>
            <w:tcBorders>
              <w:tl2br w:val="nil"/>
              <w:tr2bl w:val="nil"/>
            </w:tcBorders>
            <w:vAlign w:val="center"/>
          </w:tcPr>
          <w:p>
            <w:pPr>
              <w:pStyle w:val="41"/>
              <w:rPr>
                <w:color w:val="auto"/>
              </w:rPr>
            </w:pPr>
            <w:r>
              <w:rPr>
                <w:rFonts w:hint="eastAsia"/>
                <w:color w:val="auto"/>
              </w:rPr>
              <w:t>20：00</w:t>
            </w:r>
          </w:p>
          <w:p>
            <w:pPr>
              <w:pStyle w:val="41"/>
              <w:rPr>
                <w:color w:val="auto"/>
              </w:rPr>
            </w:pPr>
            <w:r>
              <w:rPr>
                <w:rFonts w:hint="eastAsia"/>
                <w:color w:val="auto"/>
              </w:rPr>
              <w:t>（小时值）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restart"/>
            <w:tcBorders>
              <w:tl2br w:val="nil"/>
              <w:tr2bl w:val="nil"/>
            </w:tcBorders>
            <w:vAlign w:val="center"/>
          </w:tcPr>
          <w:p>
            <w:pPr>
              <w:pStyle w:val="41"/>
              <w:rPr>
                <w:color w:val="auto"/>
              </w:rPr>
            </w:pPr>
            <w:r>
              <w:rPr>
                <w:rFonts w:hint="eastAsia"/>
                <w:color w:val="auto"/>
              </w:rPr>
              <w:t>G1</w:t>
            </w:r>
          </w:p>
        </w:tc>
        <w:tc>
          <w:tcPr>
            <w:tcW w:w="1160" w:type="dxa"/>
            <w:vMerge w:val="restart"/>
            <w:tcBorders>
              <w:tl2br w:val="nil"/>
              <w:tr2bl w:val="nil"/>
            </w:tcBorders>
            <w:vAlign w:val="center"/>
          </w:tcPr>
          <w:p>
            <w:pPr>
              <w:pStyle w:val="41"/>
              <w:rPr>
                <w:color w:val="auto"/>
              </w:rPr>
            </w:pPr>
            <w:r>
              <w:rPr>
                <w:rFonts w:hint="eastAsia"/>
                <w:color w:val="auto"/>
              </w:rPr>
              <w:t>厂址</w:t>
            </w:r>
          </w:p>
        </w:tc>
        <w:tc>
          <w:tcPr>
            <w:tcW w:w="1161" w:type="dxa"/>
            <w:vMerge w:val="restart"/>
            <w:tcBorders>
              <w:tl2br w:val="nil"/>
              <w:tr2bl w:val="nil"/>
            </w:tcBorders>
            <w:vAlign w:val="center"/>
          </w:tcPr>
          <w:p>
            <w:pPr>
              <w:pStyle w:val="41"/>
              <w:rPr>
                <w:color w:val="auto"/>
              </w:rPr>
            </w:pPr>
            <w:r>
              <w:rPr>
                <w:rFonts w:hint="eastAsia"/>
                <w:color w:val="auto"/>
              </w:rPr>
              <w:t>氯化氢</w:t>
            </w:r>
          </w:p>
        </w:tc>
        <w:tc>
          <w:tcPr>
            <w:tcW w:w="1161" w:type="dxa"/>
            <w:tcBorders>
              <w:tl2br w:val="nil"/>
              <w:tr2bl w:val="nil"/>
            </w:tcBorders>
            <w:vAlign w:val="center"/>
          </w:tcPr>
          <w:p>
            <w:pPr>
              <w:pStyle w:val="41"/>
              <w:rPr>
                <w:color w:val="auto"/>
              </w:rPr>
            </w:pPr>
            <w:r>
              <w:rPr>
                <w:rFonts w:hint="eastAsia"/>
                <w:color w:val="auto"/>
              </w:rPr>
              <w:t>2019.3.4</w:t>
            </w:r>
          </w:p>
        </w:tc>
        <w:tc>
          <w:tcPr>
            <w:tcW w:w="1161" w:type="dxa"/>
            <w:tcBorders>
              <w:tl2br w:val="nil"/>
              <w:tr2bl w:val="nil"/>
            </w:tcBorders>
            <w:vAlign w:val="center"/>
          </w:tcPr>
          <w:p>
            <w:pPr>
              <w:pStyle w:val="41"/>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jc w:val="center"/>
              <w:rPr>
                <w:color w:val="auto"/>
              </w:rPr>
            </w:pPr>
            <w:r>
              <w:rPr>
                <w:rFonts w:hint="eastAsia"/>
                <w:color w:val="auto"/>
              </w:rPr>
              <w:t>2019.3.5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jc w:val="center"/>
              <w:rPr>
                <w:color w:val="auto"/>
              </w:rPr>
            </w:pPr>
            <w:r>
              <w:rPr>
                <w:rFonts w:hint="eastAsia"/>
                <w:color w:val="auto"/>
              </w:rPr>
              <w:t>2019.3.6</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jc w:val="center"/>
              <w:rPr>
                <w:color w:val="auto"/>
              </w:rPr>
            </w:pPr>
            <w:r>
              <w:rPr>
                <w:rFonts w:hint="eastAsia"/>
                <w:color w:val="auto"/>
              </w:rPr>
              <w:t>2019.3.7</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jc w:val="center"/>
              <w:rPr>
                <w:color w:val="auto"/>
              </w:rPr>
            </w:pPr>
            <w:r>
              <w:rPr>
                <w:rFonts w:hint="eastAsia"/>
                <w:color w:val="auto"/>
              </w:rPr>
              <w:t>2019.3.8</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jc w:val="center"/>
              <w:rPr>
                <w:color w:val="auto"/>
              </w:rPr>
            </w:pPr>
            <w:r>
              <w:rPr>
                <w:rFonts w:hint="eastAsia"/>
                <w:color w:val="auto"/>
              </w:rPr>
              <w:t>2019.3.9</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60" w:type="dxa"/>
            <w:vMerge w:val="continue"/>
            <w:tcBorders>
              <w:tl2br w:val="nil"/>
              <w:tr2bl w:val="nil"/>
            </w:tcBorders>
            <w:vAlign w:val="center"/>
          </w:tcPr>
          <w:p>
            <w:pPr>
              <w:pStyle w:val="41"/>
              <w:rPr>
                <w:color w:val="auto"/>
              </w:rPr>
            </w:pPr>
          </w:p>
        </w:tc>
        <w:tc>
          <w:tcPr>
            <w:tcW w:w="1160" w:type="dxa"/>
            <w:vMerge w:val="continue"/>
            <w:tcBorders>
              <w:tl2br w:val="nil"/>
              <w:tr2bl w:val="nil"/>
            </w:tcBorders>
            <w:vAlign w:val="center"/>
          </w:tcPr>
          <w:p>
            <w:pPr>
              <w:pStyle w:val="41"/>
              <w:rPr>
                <w:color w:val="auto"/>
              </w:rPr>
            </w:pPr>
          </w:p>
        </w:tc>
        <w:tc>
          <w:tcPr>
            <w:tcW w:w="1161" w:type="dxa"/>
            <w:vMerge w:val="continue"/>
            <w:tcBorders>
              <w:tl2br w:val="nil"/>
              <w:tr2bl w:val="nil"/>
            </w:tcBorders>
            <w:vAlign w:val="center"/>
          </w:tcPr>
          <w:p>
            <w:pPr>
              <w:pStyle w:val="41"/>
              <w:rPr>
                <w:color w:val="auto"/>
              </w:rPr>
            </w:pPr>
          </w:p>
        </w:tc>
        <w:tc>
          <w:tcPr>
            <w:tcW w:w="1161" w:type="dxa"/>
            <w:tcBorders>
              <w:tl2br w:val="nil"/>
              <w:tr2bl w:val="nil"/>
            </w:tcBorders>
            <w:vAlign w:val="center"/>
          </w:tcPr>
          <w:p>
            <w:pPr>
              <w:jc w:val="center"/>
              <w:rPr>
                <w:color w:val="auto"/>
              </w:rPr>
            </w:pPr>
            <w:r>
              <w:rPr>
                <w:rFonts w:hint="eastAsia"/>
                <w:color w:val="auto"/>
              </w:rPr>
              <w:t>2019.3.10</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c>
          <w:tcPr>
            <w:tcW w:w="1161" w:type="dxa"/>
            <w:tcBorders>
              <w:tl2br w:val="nil"/>
              <w:tr2bl w:val="nil"/>
            </w:tcBorders>
            <w:vAlign w:val="center"/>
          </w:tcPr>
          <w:p>
            <w:pPr>
              <w:jc w:val="center"/>
              <w:rPr>
                <w:color w:val="auto"/>
              </w:rPr>
            </w:pPr>
            <w:r>
              <w:rPr>
                <w:rFonts w:hint="eastAsia"/>
                <w:color w:val="auto"/>
              </w:rPr>
              <w:t>＜0.05</w:t>
            </w:r>
          </w:p>
        </w:tc>
      </w:tr>
    </w:tbl>
    <w:p>
      <w:pPr>
        <w:spacing w:line="360" w:lineRule="auto"/>
        <w:ind w:hanging="210"/>
        <w:jc w:val="center"/>
        <w:rPr>
          <w:b/>
          <w:color w:val="auto"/>
          <w:sz w:val="24"/>
        </w:rPr>
      </w:pPr>
      <w:r>
        <w:rPr>
          <w:rFonts w:hint="eastAsia"/>
          <w:b/>
          <w:color w:val="auto"/>
          <w:sz w:val="24"/>
        </w:rPr>
        <w:t>表2.1-4  氯化氢、氟化物日均值监测结果</w:t>
      </w:r>
    </w:p>
    <w:tbl>
      <w:tblPr>
        <w:tblStyle w:val="23"/>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7"/>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restart"/>
            <w:tcBorders>
              <w:tl2br w:val="nil"/>
              <w:tr2bl w:val="nil"/>
            </w:tcBorders>
            <w:vAlign w:val="center"/>
          </w:tcPr>
          <w:p>
            <w:pPr>
              <w:pStyle w:val="41"/>
              <w:rPr>
                <w:color w:val="auto"/>
              </w:rPr>
            </w:pPr>
            <w:r>
              <w:rPr>
                <w:rFonts w:hint="eastAsia"/>
                <w:color w:val="auto"/>
              </w:rPr>
              <w:t>测点编号</w:t>
            </w:r>
          </w:p>
        </w:tc>
        <w:tc>
          <w:tcPr>
            <w:tcW w:w="1857" w:type="dxa"/>
            <w:vMerge w:val="restart"/>
            <w:tcBorders>
              <w:tl2br w:val="nil"/>
              <w:tr2bl w:val="nil"/>
            </w:tcBorders>
            <w:vAlign w:val="center"/>
          </w:tcPr>
          <w:p>
            <w:pPr>
              <w:pStyle w:val="41"/>
              <w:rPr>
                <w:color w:val="auto"/>
              </w:rPr>
            </w:pPr>
            <w:r>
              <w:rPr>
                <w:rFonts w:hint="eastAsia"/>
                <w:color w:val="auto"/>
              </w:rPr>
              <w:t>测点名称</w:t>
            </w:r>
          </w:p>
        </w:tc>
        <w:tc>
          <w:tcPr>
            <w:tcW w:w="1857" w:type="dxa"/>
            <w:vMerge w:val="restart"/>
            <w:tcBorders>
              <w:tl2br w:val="nil"/>
              <w:tr2bl w:val="nil"/>
            </w:tcBorders>
            <w:vAlign w:val="center"/>
          </w:tcPr>
          <w:p>
            <w:pPr>
              <w:pStyle w:val="41"/>
              <w:rPr>
                <w:color w:val="auto"/>
              </w:rPr>
            </w:pPr>
            <w:r>
              <w:rPr>
                <w:rFonts w:hint="eastAsia"/>
                <w:color w:val="auto"/>
              </w:rPr>
              <w:t>采样日期</w:t>
            </w:r>
          </w:p>
        </w:tc>
        <w:tc>
          <w:tcPr>
            <w:tcW w:w="3715" w:type="dxa"/>
            <w:gridSpan w:val="2"/>
            <w:tcBorders>
              <w:tl2br w:val="nil"/>
              <w:tr2bl w:val="nil"/>
            </w:tcBorders>
          </w:tcPr>
          <w:p>
            <w:pPr>
              <w:pStyle w:val="41"/>
              <w:rPr>
                <w:color w:val="auto"/>
              </w:rPr>
            </w:pPr>
            <w:r>
              <w:rPr>
                <w:rFonts w:hint="eastAsia"/>
                <w:color w:val="auto"/>
              </w:rPr>
              <w:t>日均值检测结果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tcPr>
          <w:p>
            <w:pPr>
              <w:pStyle w:val="41"/>
              <w:rPr>
                <w:color w:val="auto"/>
              </w:rPr>
            </w:pPr>
            <w:r>
              <w:rPr>
                <w:rFonts w:hint="eastAsia"/>
                <w:color w:val="auto"/>
              </w:rPr>
              <w:t>氟化物（</w:t>
            </w:r>
            <w:r>
              <w:rPr>
                <w:color w:val="auto"/>
                <w:szCs w:val="21"/>
              </w:rPr>
              <w:t>μ</w:t>
            </w:r>
            <w:r>
              <w:rPr>
                <w:rFonts w:hint="eastAsia"/>
                <w:color w:val="auto"/>
              </w:rPr>
              <w:t>g/m</w:t>
            </w:r>
            <w:r>
              <w:rPr>
                <w:rFonts w:hint="eastAsia"/>
                <w:color w:val="auto"/>
                <w:vertAlign w:val="superscript"/>
              </w:rPr>
              <w:t>3</w:t>
            </w:r>
            <w:r>
              <w:rPr>
                <w:rFonts w:hint="eastAsia"/>
                <w:color w:val="auto"/>
              </w:rPr>
              <w:t>）</w:t>
            </w:r>
          </w:p>
        </w:tc>
        <w:tc>
          <w:tcPr>
            <w:tcW w:w="1858" w:type="dxa"/>
            <w:tcBorders>
              <w:tl2br w:val="nil"/>
              <w:tr2bl w:val="nil"/>
            </w:tcBorders>
          </w:tcPr>
          <w:p>
            <w:pPr>
              <w:pStyle w:val="41"/>
              <w:rPr>
                <w:color w:val="auto"/>
              </w:rPr>
            </w:pPr>
            <w:r>
              <w:rPr>
                <w:rFonts w:hint="eastAsia"/>
                <w:color w:val="auto"/>
              </w:rPr>
              <w:t>氯化氢（mg/m</w:t>
            </w:r>
            <w:r>
              <w:rPr>
                <w:rFonts w:hint="eastAsia"/>
                <w:color w:val="auto"/>
                <w:vertAlign w:val="superscript"/>
              </w:rPr>
              <w:t>3</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restart"/>
            <w:tcBorders>
              <w:tl2br w:val="nil"/>
              <w:tr2bl w:val="nil"/>
            </w:tcBorders>
            <w:vAlign w:val="center"/>
          </w:tcPr>
          <w:p>
            <w:pPr>
              <w:pStyle w:val="41"/>
              <w:rPr>
                <w:color w:val="auto"/>
              </w:rPr>
            </w:pPr>
            <w:r>
              <w:rPr>
                <w:rFonts w:hint="eastAsia"/>
                <w:color w:val="auto"/>
              </w:rPr>
              <w:t>G1</w:t>
            </w:r>
          </w:p>
        </w:tc>
        <w:tc>
          <w:tcPr>
            <w:tcW w:w="1857" w:type="dxa"/>
            <w:vMerge w:val="restart"/>
            <w:tcBorders>
              <w:tl2br w:val="nil"/>
              <w:tr2bl w:val="nil"/>
            </w:tcBorders>
            <w:vAlign w:val="center"/>
          </w:tcPr>
          <w:p>
            <w:pPr>
              <w:pStyle w:val="41"/>
              <w:rPr>
                <w:color w:val="auto"/>
              </w:rPr>
            </w:pPr>
            <w:r>
              <w:rPr>
                <w:rFonts w:hint="eastAsia"/>
                <w:color w:val="auto"/>
              </w:rPr>
              <w:t>厂址</w:t>
            </w:r>
          </w:p>
        </w:tc>
        <w:tc>
          <w:tcPr>
            <w:tcW w:w="1857" w:type="dxa"/>
            <w:tcBorders>
              <w:tl2br w:val="nil"/>
              <w:tr2bl w:val="nil"/>
            </w:tcBorders>
            <w:vAlign w:val="center"/>
          </w:tcPr>
          <w:p>
            <w:pPr>
              <w:pStyle w:val="41"/>
              <w:rPr>
                <w:color w:val="auto"/>
              </w:rPr>
            </w:pPr>
            <w:r>
              <w:rPr>
                <w:rFonts w:hint="eastAsia"/>
                <w:color w:val="auto"/>
              </w:rPr>
              <w:t>2019.3.4</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vAlign w:val="center"/>
          </w:tcPr>
          <w:p>
            <w:pPr>
              <w:jc w:val="center"/>
              <w:rPr>
                <w:color w:val="auto"/>
              </w:rPr>
            </w:pPr>
            <w:r>
              <w:rPr>
                <w:rFonts w:hint="eastAsia"/>
                <w:color w:val="auto"/>
              </w:rPr>
              <w:t>2019.3.5</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vAlign w:val="center"/>
          </w:tcPr>
          <w:p>
            <w:pPr>
              <w:jc w:val="center"/>
              <w:rPr>
                <w:color w:val="auto"/>
              </w:rPr>
            </w:pPr>
            <w:r>
              <w:rPr>
                <w:rFonts w:hint="eastAsia"/>
                <w:color w:val="auto"/>
              </w:rPr>
              <w:t>2019.3.6</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vAlign w:val="center"/>
          </w:tcPr>
          <w:p>
            <w:pPr>
              <w:jc w:val="center"/>
              <w:rPr>
                <w:color w:val="auto"/>
              </w:rPr>
            </w:pPr>
            <w:r>
              <w:rPr>
                <w:rFonts w:hint="eastAsia"/>
                <w:color w:val="auto"/>
              </w:rPr>
              <w:t>2019.3.7</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vAlign w:val="center"/>
          </w:tcPr>
          <w:p>
            <w:pPr>
              <w:jc w:val="center"/>
              <w:rPr>
                <w:color w:val="auto"/>
              </w:rPr>
            </w:pPr>
            <w:r>
              <w:rPr>
                <w:rFonts w:hint="eastAsia"/>
                <w:color w:val="auto"/>
              </w:rPr>
              <w:t>2019.3.8</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vAlign w:val="center"/>
          </w:tcPr>
          <w:p>
            <w:pPr>
              <w:jc w:val="center"/>
              <w:rPr>
                <w:color w:val="auto"/>
              </w:rPr>
            </w:pPr>
            <w:r>
              <w:rPr>
                <w:rFonts w:hint="eastAsia"/>
                <w:color w:val="auto"/>
              </w:rPr>
              <w:t>2019.3.9</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857" w:type="dxa"/>
            <w:vMerge w:val="continue"/>
            <w:tcBorders>
              <w:tl2br w:val="nil"/>
              <w:tr2bl w:val="nil"/>
            </w:tcBorders>
          </w:tcPr>
          <w:p>
            <w:pPr>
              <w:pStyle w:val="41"/>
              <w:rPr>
                <w:color w:val="auto"/>
              </w:rPr>
            </w:pPr>
          </w:p>
        </w:tc>
        <w:tc>
          <w:tcPr>
            <w:tcW w:w="1857" w:type="dxa"/>
            <w:vMerge w:val="continue"/>
            <w:tcBorders>
              <w:tl2br w:val="nil"/>
              <w:tr2bl w:val="nil"/>
            </w:tcBorders>
          </w:tcPr>
          <w:p>
            <w:pPr>
              <w:pStyle w:val="41"/>
              <w:rPr>
                <w:color w:val="auto"/>
              </w:rPr>
            </w:pPr>
          </w:p>
        </w:tc>
        <w:tc>
          <w:tcPr>
            <w:tcW w:w="1857" w:type="dxa"/>
            <w:tcBorders>
              <w:tl2br w:val="nil"/>
              <w:tr2bl w:val="nil"/>
            </w:tcBorders>
            <w:vAlign w:val="center"/>
          </w:tcPr>
          <w:p>
            <w:pPr>
              <w:jc w:val="center"/>
              <w:rPr>
                <w:color w:val="auto"/>
              </w:rPr>
            </w:pPr>
            <w:r>
              <w:rPr>
                <w:rFonts w:hint="eastAsia"/>
                <w:color w:val="auto"/>
              </w:rPr>
              <w:t>2019.3.10</w:t>
            </w:r>
          </w:p>
        </w:tc>
        <w:tc>
          <w:tcPr>
            <w:tcW w:w="1857" w:type="dxa"/>
            <w:tcBorders>
              <w:tl2br w:val="nil"/>
              <w:tr2bl w:val="nil"/>
            </w:tcBorders>
            <w:vAlign w:val="center"/>
          </w:tcPr>
          <w:p>
            <w:pPr>
              <w:jc w:val="center"/>
              <w:rPr>
                <w:color w:val="auto"/>
              </w:rPr>
            </w:pPr>
            <w:r>
              <w:rPr>
                <w:rFonts w:hint="eastAsia"/>
                <w:color w:val="auto"/>
              </w:rPr>
              <w:t>＜0.06</w:t>
            </w:r>
          </w:p>
        </w:tc>
        <w:tc>
          <w:tcPr>
            <w:tcW w:w="1858" w:type="dxa"/>
            <w:tcBorders>
              <w:tl2br w:val="nil"/>
              <w:tr2bl w:val="nil"/>
            </w:tcBorders>
            <w:vAlign w:val="center"/>
          </w:tcPr>
          <w:p>
            <w:pPr>
              <w:jc w:val="center"/>
              <w:rPr>
                <w:color w:val="auto"/>
              </w:rPr>
            </w:pPr>
            <w:r>
              <w:rPr>
                <w:rFonts w:hint="eastAsia"/>
                <w:color w:val="auto"/>
              </w:rPr>
              <w:t>＜0.05</w:t>
            </w:r>
          </w:p>
        </w:tc>
      </w:tr>
    </w:tbl>
    <w:p>
      <w:pPr>
        <w:pStyle w:val="2"/>
        <w:ind w:firstLine="420"/>
        <w:rPr>
          <w:color w:val="auto"/>
          <w:spacing w:val="-6"/>
          <w:kern w:val="2"/>
        </w:rPr>
      </w:pPr>
      <w:r>
        <w:rPr>
          <w:rFonts w:hint="eastAsia"/>
          <w:color w:val="auto"/>
        </w:rPr>
        <w:t>根据结果可知，项目所在地氯化氢、氟化物</w:t>
      </w:r>
      <w:r>
        <w:rPr>
          <w:color w:val="auto"/>
          <w:spacing w:val="-6"/>
          <w:kern w:val="2"/>
        </w:rPr>
        <w:t>能够满足《环境空气质量标准》（GB3095-2012）中的二级标准。</w:t>
      </w:r>
    </w:p>
    <w:p>
      <w:pPr>
        <w:pStyle w:val="31"/>
        <w:rPr>
          <w:color w:val="auto"/>
        </w:rPr>
      </w:pPr>
      <w:r>
        <w:rPr>
          <w:rFonts w:hint="eastAsia"/>
          <w:color w:val="auto"/>
        </w:rPr>
        <w:t>3、工程分析</w:t>
      </w:r>
    </w:p>
    <w:p>
      <w:pPr>
        <w:pStyle w:val="5"/>
        <w:numPr>
          <w:ilvl w:val="1"/>
          <w:numId w:val="0"/>
        </w:numPr>
        <w:spacing w:before="156"/>
        <w:rPr>
          <w:bCs w:val="0"/>
          <w:color w:val="auto"/>
          <w:sz w:val="28"/>
          <w:szCs w:val="28"/>
        </w:rPr>
      </w:pPr>
      <w:r>
        <w:rPr>
          <w:rFonts w:hint="eastAsia"/>
          <w:bCs w:val="0"/>
          <w:color w:val="auto"/>
          <w:sz w:val="28"/>
          <w:szCs w:val="28"/>
        </w:rPr>
        <w:t>3.1大气污染源强分析</w:t>
      </w:r>
    </w:p>
    <w:p>
      <w:pPr>
        <w:adjustRightInd w:val="0"/>
        <w:snapToGrid w:val="0"/>
        <w:spacing w:line="360" w:lineRule="auto"/>
        <w:outlineLvl w:val="2"/>
        <w:rPr>
          <w:b/>
          <w:color w:val="auto"/>
          <w:sz w:val="24"/>
        </w:rPr>
      </w:pPr>
      <w:r>
        <w:rPr>
          <w:rFonts w:hint="eastAsia"/>
          <w:b/>
          <w:color w:val="auto"/>
          <w:sz w:val="24"/>
        </w:rPr>
        <w:t>3.1.1有组织废气</w:t>
      </w:r>
    </w:p>
    <w:p>
      <w:pPr>
        <w:spacing w:line="360" w:lineRule="auto"/>
        <w:ind w:left="-67" w:leftChars="-32" w:firstLine="600" w:firstLineChars="250"/>
        <w:rPr>
          <w:color w:val="auto"/>
          <w:sz w:val="24"/>
        </w:rPr>
      </w:pPr>
      <w:r>
        <w:rPr>
          <w:rFonts w:hint="eastAsia"/>
          <w:color w:val="auto"/>
          <w:sz w:val="24"/>
        </w:rPr>
        <w:t>本项目原有工程位于位于福鼎市文渡金属表面处理集控中心（福建省众鑫金属表面处理有限公司）1#楼一层3号车间，建设有龙门挂锌合金钝化（铝合金氧化）共用生产线，半自动镀铜、镍生产线和手动锌合金钝化线，年加工400吨化油器表面处理。原有工程已经运行多年，本次迁建不涉及产能新增以及生产工艺改变，仅新建1条龙门挂铝合金氧化生产线，原有龙门挂锌合金钝化（铝合金氧化）共用生产线专用于锌合金钝化。因此拟建工程废气源强可参考原有工程稳定运行后验收监测报告《福鼎市质达金属表面处理有限公司各类金属元件表面处理项目竣工环境保护验收监测报告》鼎环保站验（2017）第12号）中的数据进行分析统计</w:t>
      </w:r>
      <w:r>
        <w:rPr>
          <w:rFonts w:hint="eastAsia"/>
          <w:color w:val="auto"/>
          <w:sz w:val="24"/>
          <w:lang w:eastAsia="zh-CN"/>
        </w:rPr>
        <w:t>（废气采样时间为</w:t>
      </w:r>
      <w:r>
        <w:rPr>
          <w:rFonts w:hint="eastAsia"/>
          <w:color w:val="auto"/>
          <w:sz w:val="24"/>
          <w:lang w:val="en-US" w:eastAsia="zh-CN"/>
        </w:rPr>
        <w:t>2017年7月11日~7月12日、2017年7月19日~7月20日以及2017年12月14日~12月15日，已考虑共用线不同生产工况</w:t>
      </w:r>
      <w:r>
        <w:rPr>
          <w:rFonts w:hint="eastAsia"/>
          <w:color w:val="auto"/>
          <w:sz w:val="24"/>
          <w:lang w:eastAsia="zh-CN"/>
        </w:rPr>
        <w:t>）</w:t>
      </w:r>
      <w:r>
        <w:rPr>
          <w:rFonts w:hint="eastAsia"/>
          <w:color w:val="auto"/>
          <w:sz w:val="24"/>
        </w:rPr>
        <w:t>，以各排气筒进口数据作为各污染物有组织产生源强（收集效率按85%计）。</w:t>
      </w:r>
    </w:p>
    <w:p>
      <w:pPr>
        <w:pStyle w:val="12"/>
        <w:spacing w:after="0"/>
        <w:jc w:val="center"/>
        <w:rPr>
          <w:color w:val="auto"/>
        </w:rPr>
      </w:pPr>
      <w:r>
        <w:rPr>
          <w:rFonts w:hint="eastAsia"/>
          <w:b/>
          <w:color w:val="auto"/>
        </w:rPr>
        <w:t>表3.1-1  原有工程各排气筒污染物产生情况一览表</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26"/>
        <w:gridCol w:w="1327"/>
        <w:gridCol w:w="1326"/>
        <w:gridCol w:w="1327"/>
        <w:gridCol w:w="1326"/>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327" w:type="dxa"/>
            <w:vMerge w:val="restart"/>
            <w:tcBorders>
              <w:bottom w:val="single" w:color="auto" w:sz="4" w:space="0"/>
            </w:tcBorders>
            <w:vAlign w:val="center"/>
          </w:tcPr>
          <w:p>
            <w:pPr>
              <w:pStyle w:val="12"/>
              <w:jc w:val="center"/>
              <w:rPr>
                <w:color w:val="auto"/>
                <w:sz w:val="21"/>
                <w:szCs w:val="21"/>
              </w:rPr>
            </w:pPr>
            <w:r>
              <w:rPr>
                <w:rFonts w:hint="eastAsia"/>
                <w:color w:val="auto"/>
                <w:sz w:val="21"/>
                <w:szCs w:val="21"/>
              </w:rPr>
              <w:t>位置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采样日期</w:t>
            </w:r>
          </w:p>
        </w:tc>
        <w:tc>
          <w:tcPr>
            <w:tcW w:w="1327" w:type="dxa"/>
            <w:vMerge w:val="restart"/>
            <w:tcBorders>
              <w:bottom w:val="single" w:color="auto" w:sz="4" w:space="0"/>
            </w:tcBorders>
            <w:vAlign w:val="center"/>
          </w:tcPr>
          <w:p>
            <w:pPr>
              <w:pStyle w:val="12"/>
              <w:jc w:val="center"/>
              <w:rPr>
                <w:color w:val="auto"/>
                <w:sz w:val="21"/>
                <w:szCs w:val="21"/>
              </w:rPr>
            </w:pPr>
            <w:r>
              <w:rPr>
                <w:color w:val="auto"/>
                <w:sz w:val="21"/>
                <w:szCs w:val="21"/>
              </w:rPr>
              <w:t>检测项目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检测频次</w:t>
            </w:r>
          </w:p>
        </w:tc>
        <w:tc>
          <w:tcPr>
            <w:tcW w:w="3980" w:type="dxa"/>
            <w:gridSpan w:val="3"/>
            <w:tcBorders>
              <w:bottom w:val="single" w:color="auto" w:sz="4" w:space="0"/>
            </w:tcBorders>
            <w:vAlign w:val="center"/>
          </w:tcPr>
          <w:p>
            <w:pPr>
              <w:pStyle w:val="12"/>
              <w:tabs>
                <w:tab w:val="left" w:pos="3332"/>
              </w:tabs>
              <w:jc w:val="center"/>
              <w:rPr>
                <w:color w:val="auto"/>
                <w:sz w:val="21"/>
                <w:szCs w:val="21"/>
              </w:rPr>
            </w:pPr>
            <w:r>
              <w:rPr>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实测浓度（mg/m</w:t>
            </w:r>
            <w:r>
              <w:rPr>
                <w:color w:val="auto"/>
                <w:sz w:val="21"/>
                <w:szCs w:val="21"/>
                <w:vertAlign w:val="superscript"/>
              </w:rPr>
              <w:t>3</w:t>
            </w:r>
            <w:r>
              <w:rPr>
                <w:color w:val="auto"/>
                <w:sz w:val="21"/>
                <w:szCs w:val="21"/>
              </w:rPr>
              <w:t>）</w:t>
            </w:r>
          </w:p>
        </w:tc>
        <w:tc>
          <w:tcPr>
            <w:tcW w:w="1326"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标干排气量（m</w:t>
            </w:r>
            <w:r>
              <w:rPr>
                <w:color w:val="auto"/>
                <w:sz w:val="21"/>
                <w:szCs w:val="21"/>
                <w:vertAlign w:val="superscript"/>
              </w:rPr>
              <w:t>3</w:t>
            </w:r>
            <w:r>
              <w:rPr>
                <w:color w:val="auto"/>
                <w:sz w:val="21"/>
                <w:szCs w:val="21"/>
              </w:rPr>
              <w:t>/h）</w:t>
            </w: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产生速率（kg/h）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碱液喷淋塔进口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7350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7210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7720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7910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7547.5</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0.00675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7290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7270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7230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7320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7277.5</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7350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2.08</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7210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1.94</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7720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1.99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7910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2.0025</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7547.5</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1.99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7290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1.99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7270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1.93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7230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2.02</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7320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1.9825</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7277.5</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0.01445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6380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0.02</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6490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6490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6500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0.01475</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6465</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0.000095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6590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6510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6540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0.019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6500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0.016</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6535</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0.00010</w:t>
            </w:r>
            <w:r>
              <w:rPr>
                <w:rFonts w:hint="eastAsia"/>
                <w:b/>
                <w:bCs/>
                <w:color w:val="auto"/>
                <w:kern w:val="0"/>
                <w:sz w:val="21"/>
                <w:szCs w:val="21"/>
                <w:lang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2017.7.11</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2.92</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1.61</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1.49</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1.59</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2.21 </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1.6</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0.0000035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2017.7.12</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3.27</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1.1</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1.58</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1.12</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0.00000177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1.37</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1.12</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0.00000153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2.07 </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1.11 </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0.0000023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氰净化塔进口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0.11</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0.11</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0.11 </w:t>
            </w:r>
          </w:p>
        </w:tc>
        <w:tc>
          <w:tcPr>
            <w:tcW w:w="1326"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888</w:t>
            </w:r>
          </w:p>
        </w:tc>
        <w:tc>
          <w:tcPr>
            <w:tcW w:w="1327" w:type="dxa"/>
            <w:tcBorders>
              <w:top w:val="single" w:color="auto" w:sz="4" w:space="0"/>
              <w:bottom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0.000101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 w:val="21"/>
                <w:szCs w:val="21"/>
              </w:rPr>
            </w:pPr>
            <w:r>
              <w:rPr>
                <w:rFonts w:hint="eastAsia" w:ascii="宋体" w:hAnsi="宋体" w:cs="宋体"/>
                <w:color w:val="auto"/>
                <w:kern w:val="0"/>
                <w:sz w:val="21"/>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0.12</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0.13</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0.11</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 w:val="21"/>
                <w:szCs w:val="21"/>
              </w:rPr>
            </w:pP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第</w:t>
            </w:r>
            <w:r>
              <w:rPr>
                <w:rFonts w:hint="eastAsia"/>
                <w:color w:val="auto"/>
                <w:kern w:val="0"/>
                <w:sz w:val="21"/>
                <w:szCs w:val="21"/>
                <w:lang w:bidi="ar"/>
              </w:rPr>
              <w:t>四</w:t>
            </w:r>
            <w:r>
              <w:rPr>
                <w:color w:val="auto"/>
                <w:kern w:val="0"/>
                <w:sz w:val="21"/>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0.16</w:t>
            </w:r>
          </w:p>
        </w:tc>
        <w:tc>
          <w:tcPr>
            <w:tcW w:w="1326"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896</w:t>
            </w:r>
          </w:p>
        </w:tc>
        <w:tc>
          <w:tcPr>
            <w:tcW w:w="1327" w:type="dxa"/>
            <w:tcBorders>
              <w:top w:val="single" w:color="auto" w:sz="4" w:space="0"/>
              <w:bottom w:val="single" w:color="auto" w:sz="4" w:space="0"/>
            </w:tcBorders>
            <w:vAlign w:val="center"/>
          </w:tcPr>
          <w:p>
            <w:pPr>
              <w:widowControl/>
              <w:jc w:val="center"/>
              <w:textAlignment w:val="center"/>
              <w:rPr>
                <w:color w:val="auto"/>
                <w:sz w:val="21"/>
                <w:szCs w:val="21"/>
              </w:rPr>
            </w:pPr>
            <w:r>
              <w:rPr>
                <w:color w:val="auto"/>
                <w:kern w:val="0"/>
                <w:sz w:val="21"/>
                <w:szCs w:val="21"/>
                <w:lang w:bidi="ar"/>
              </w:rPr>
              <w:t>0.00014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27" w:type="dxa"/>
            <w:vMerge w:val="continue"/>
            <w:tcBorders>
              <w:top w:val="single" w:color="auto" w:sz="4" w:space="0"/>
            </w:tcBorders>
            <w:vAlign w:val="center"/>
          </w:tcPr>
          <w:p>
            <w:pPr>
              <w:pStyle w:val="12"/>
              <w:jc w:val="center"/>
              <w:rPr>
                <w:color w:val="auto"/>
                <w:sz w:val="21"/>
                <w:szCs w:val="21"/>
              </w:rPr>
            </w:pPr>
          </w:p>
        </w:tc>
        <w:tc>
          <w:tcPr>
            <w:tcW w:w="1326" w:type="dxa"/>
            <w:vMerge w:val="continue"/>
            <w:tcBorders>
              <w:top w:val="single" w:color="auto" w:sz="4" w:space="0"/>
            </w:tcBorders>
            <w:vAlign w:val="center"/>
          </w:tcPr>
          <w:p>
            <w:pPr>
              <w:pStyle w:val="12"/>
              <w:jc w:val="center"/>
              <w:rPr>
                <w:color w:val="auto"/>
                <w:sz w:val="21"/>
                <w:szCs w:val="21"/>
              </w:rPr>
            </w:pPr>
          </w:p>
        </w:tc>
        <w:tc>
          <w:tcPr>
            <w:tcW w:w="1327" w:type="dxa"/>
            <w:vMerge w:val="continue"/>
            <w:tcBorders>
              <w:top w:val="single" w:color="auto" w:sz="4" w:space="0"/>
            </w:tcBorders>
            <w:vAlign w:val="center"/>
          </w:tcPr>
          <w:p>
            <w:pPr>
              <w:jc w:val="center"/>
              <w:rPr>
                <w:color w:val="auto"/>
                <w:sz w:val="21"/>
                <w:szCs w:val="21"/>
              </w:rPr>
            </w:pPr>
          </w:p>
        </w:tc>
        <w:tc>
          <w:tcPr>
            <w:tcW w:w="1326" w:type="dxa"/>
            <w:tcBorders>
              <w:top w:val="single" w:color="auto" w:sz="4" w:space="0"/>
            </w:tcBorders>
            <w:vAlign w:val="center"/>
          </w:tcPr>
          <w:p>
            <w:pPr>
              <w:widowControl/>
              <w:jc w:val="center"/>
              <w:textAlignment w:val="center"/>
              <w:rPr>
                <w:b/>
                <w:bCs/>
                <w:color w:val="auto"/>
                <w:sz w:val="21"/>
                <w:szCs w:val="21"/>
              </w:rPr>
            </w:pPr>
            <w:r>
              <w:rPr>
                <w:rFonts w:hint="eastAsia" w:ascii="宋体" w:hAnsi="宋体" w:cs="宋体"/>
                <w:b/>
                <w:bCs/>
                <w:color w:val="auto"/>
                <w:kern w:val="0"/>
                <w:sz w:val="21"/>
                <w:szCs w:val="21"/>
                <w:lang w:bidi="ar"/>
              </w:rPr>
              <w:t>平均值</w:t>
            </w:r>
          </w:p>
        </w:tc>
        <w:tc>
          <w:tcPr>
            <w:tcW w:w="1327" w:type="dxa"/>
            <w:tcBorders>
              <w:top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0.13</w:t>
            </w:r>
          </w:p>
        </w:tc>
        <w:tc>
          <w:tcPr>
            <w:tcW w:w="1326" w:type="dxa"/>
            <w:tcBorders>
              <w:top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896</w:t>
            </w:r>
          </w:p>
        </w:tc>
        <w:tc>
          <w:tcPr>
            <w:tcW w:w="1327" w:type="dxa"/>
            <w:tcBorders>
              <w:top w:val="single" w:color="auto" w:sz="4" w:space="0"/>
            </w:tcBorders>
            <w:vAlign w:val="center"/>
          </w:tcPr>
          <w:p>
            <w:pPr>
              <w:widowControl/>
              <w:jc w:val="center"/>
              <w:textAlignment w:val="center"/>
              <w:rPr>
                <w:b/>
                <w:bCs/>
                <w:color w:val="auto"/>
                <w:sz w:val="21"/>
                <w:szCs w:val="21"/>
              </w:rPr>
            </w:pPr>
            <w:r>
              <w:rPr>
                <w:b/>
                <w:bCs/>
                <w:color w:val="auto"/>
                <w:kern w:val="0"/>
                <w:sz w:val="21"/>
                <w:szCs w:val="21"/>
                <w:lang w:bidi="ar"/>
              </w:rPr>
              <w:t xml:space="preserve">0.000117 </w:t>
            </w:r>
          </w:p>
        </w:tc>
      </w:tr>
    </w:tbl>
    <w:p>
      <w:pPr>
        <w:pStyle w:val="12"/>
        <w:spacing w:before="156" w:beforeLines="50" w:after="0"/>
        <w:jc w:val="center"/>
        <w:rPr>
          <w:color w:val="auto"/>
        </w:rPr>
      </w:pPr>
      <w:r>
        <w:rPr>
          <w:rFonts w:hint="eastAsia"/>
          <w:b/>
          <w:color w:val="auto"/>
        </w:rPr>
        <w:t>表3.1-2  原有工程各排气筒污染物排放情况一览表</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26"/>
        <w:gridCol w:w="1327"/>
        <w:gridCol w:w="1326"/>
        <w:gridCol w:w="1327"/>
        <w:gridCol w:w="1326"/>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blHeader/>
          <w:jc w:val="center"/>
        </w:trPr>
        <w:tc>
          <w:tcPr>
            <w:tcW w:w="1327" w:type="dxa"/>
            <w:vMerge w:val="restart"/>
            <w:tcBorders>
              <w:bottom w:val="single" w:color="auto" w:sz="4" w:space="0"/>
            </w:tcBorders>
            <w:vAlign w:val="center"/>
          </w:tcPr>
          <w:p>
            <w:pPr>
              <w:pStyle w:val="12"/>
              <w:jc w:val="center"/>
              <w:rPr>
                <w:color w:val="auto"/>
                <w:sz w:val="21"/>
                <w:szCs w:val="21"/>
              </w:rPr>
            </w:pPr>
            <w:r>
              <w:rPr>
                <w:rFonts w:hint="eastAsia"/>
                <w:color w:val="auto"/>
                <w:sz w:val="21"/>
                <w:szCs w:val="21"/>
              </w:rPr>
              <w:t>位置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采样日期</w:t>
            </w:r>
          </w:p>
        </w:tc>
        <w:tc>
          <w:tcPr>
            <w:tcW w:w="1327" w:type="dxa"/>
            <w:vMerge w:val="restart"/>
            <w:tcBorders>
              <w:bottom w:val="single" w:color="auto" w:sz="4" w:space="0"/>
            </w:tcBorders>
            <w:vAlign w:val="center"/>
          </w:tcPr>
          <w:p>
            <w:pPr>
              <w:pStyle w:val="12"/>
              <w:jc w:val="center"/>
              <w:rPr>
                <w:color w:val="auto"/>
                <w:sz w:val="21"/>
                <w:szCs w:val="21"/>
              </w:rPr>
            </w:pPr>
            <w:r>
              <w:rPr>
                <w:color w:val="auto"/>
                <w:sz w:val="21"/>
                <w:szCs w:val="21"/>
              </w:rPr>
              <w:t>检测项目</w:t>
            </w:r>
          </w:p>
        </w:tc>
        <w:tc>
          <w:tcPr>
            <w:tcW w:w="1326" w:type="dxa"/>
            <w:vMerge w:val="restart"/>
            <w:tcBorders>
              <w:bottom w:val="single" w:color="auto" w:sz="4" w:space="0"/>
            </w:tcBorders>
            <w:vAlign w:val="center"/>
          </w:tcPr>
          <w:p>
            <w:pPr>
              <w:pStyle w:val="12"/>
              <w:jc w:val="center"/>
              <w:rPr>
                <w:color w:val="auto"/>
                <w:sz w:val="21"/>
                <w:szCs w:val="21"/>
              </w:rPr>
            </w:pPr>
            <w:r>
              <w:rPr>
                <w:color w:val="auto"/>
                <w:sz w:val="21"/>
                <w:szCs w:val="21"/>
              </w:rPr>
              <w:t>检测频次</w:t>
            </w:r>
          </w:p>
        </w:tc>
        <w:tc>
          <w:tcPr>
            <w:tcW w:w="3980" w:type="dxa"/>
            <w:gridSpan w:val="3"/>
            <w:tcBorders>
              <w:bottom w:val="single" w:color="auto" w:sz="4" w:space="0"/>
            </w:tcBorders>
            <w:vAlign w:val="center"/>
          </w:tcPr>
          <w:p>
            <w:pPr>
              <w:pStyle w:val="12"/>
              <w:tabs>
                <w:tab w:val="left" w:pos="3332"/>
              </w:tabs>
              <w:jc w:val="center"/>
              <w:rPr>
                <w:color w:val="auto"/>
                <w:sz w:val="21"/>
                <w:szCs w:val="21"/>
              </w:rPr>
            </w:pPr>
            <w:r>
              <w:rPr>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exact"/>
          <w:tblHeader/>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实测浓度（mg/m</w:t>
            </w:r>
            <w:r>
              <w:rPr>
                <w:color w:val="auto"/>
                <w:sz w:val="21"/>
                <w:szCs w:val="21"/>
                <w:vertAlign w:val="superscript"/>
              </w:rPr>
              <w:t>3</w:t>
            </w:r>
            <w:r>
              <w:rPr>
                <w:color w:val="auto"/>
                <w:sz w:val="21"/>
                <w:szCs w:val="21"/>
              </w:rPr>
              <w:t>）</w:t>
            </w:r>
          </w:p>
        </w:tc>
        <w:tc>
          <w:tcPr>
            <w:tcW w:w="1326"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标干排气量（m</w:t>
            </w:r>
            <w:r>
              <w:rPr>
                <w:color w:val="auto"/>
                <w:sz w:val="21"/>
                <w:szCs w:val="21"/>
                <w:vertAlign w:val="superscript"/>
              </w:rPr>
              <w:t>3</w:t>
            </w:r>
            <w:r>
              <w:rPr>
                <w:color w:val="auto"/>
                <w:sz w:val="21"/>
                <w:szCs w:val="21"/>
              </w:rPr>
              <w:t>/h）</w:t>
            </w:r>
          </w:p>
        </w:tc>
        <w:tc>
          <w:tcPr>
            <w:tcW w:w="1327" w:type="dxa"/>
            <w:tcBorders>
              <w:top w:val="single" w:color="auto" w:sz="4" w:space="0"/>
              <w:bottom w:val="single" w:color="auto" w:sz="4" w:space="0"/>
            </w:tcBorders>
            <w:vAlign w:val="center"/>
          </w:tcPr>
          <w:p>
            <w:pPr>
              <w:pStyle w:val="12"/>
              <w:jc w:val="center"/>
              <w:rPr>
                <w:color w:val="auto"/>
                <w:sz w:val="21"/>
                <w:szCs w:val="21"/>
              </w:rPr>
            </w:pPr>
            <w:r>
              <w:rPr>
                <w:color w:val="auto"/>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碱液喷淋塔出口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氯化氢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0.9</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2017.12.14</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0.51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0.4625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0.0019</w:t>
            </w:r>
            <w:r>
              <w:rPr>
                <w:rFonts w:hint="eastAsia"/>
                <w:b/>
                <w:bCs/>
                <w:color w:val="auto"/>
                <w:kern w:val="0"/>
                <w:szCs w:val="21"/>
                <w:lang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2017.12.15</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氟化物</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0.51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6880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0.45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6940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0.4625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6910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0.0019</w:t>
            </w:r>
            <w:r>
              <w:rPr>
                <w:rFonts w:hint="eastAsia"/>
                <w:b/>
                <w:bCs/>
                <w:color w:val="auto"/>
                <w:kern w:val="0"/>
                <w:szCs w:val="21"/>
                <w:lang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6390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6590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6420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6457.5</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铬酸雾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6510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6480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6450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6440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0.005</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6470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2017.7.11</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2.17</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1.67</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1.66</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1.68</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1.1</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1.67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1.48 </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0.0000028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2017.7.12</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硫酸雾</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1.65</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1.03</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0.21</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1.66</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0.91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1.66 </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0.0000021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restart"/>
            <w:tcBorders>
              <w:top w:val="single" w:color="auto" w:sz="4" w:space="0"/>
              <w:bottom w:val="single" w:color="auto" w:sz="4" w:space="0"/>
            </w:tcBorders>
            <w:vAlign w:val="center"/>
          </w:tcPr>
          <w:p>
            <w:pPr>
              <w:pStyle w:val="12"/>
              <w:jc w:val="center"/>
              <w:rPr>
                <w:color w:val="auto"/>
                <w:sz w:val="21"/>
                <w:szCs w:val="21"/>
              </w:rPr>
            </w:pPr>
            <w:r>
              <w:rPr>
                <w:rFonts w:hint="eastAsia"/>
                <w:color w:val="auto"/>
                <w:sz w:val="21"/>
                <w:szCs w:val="21"/>
              </w:rPr>
              <w:t>氰净化塔</w:t>
            </w:r>
          </w:p>
          <w:p>
            <w:pPr>
              <w:pStyle w:val="12"/>
              <w:jc w:val="center"/>
              <w:rPr>
                <w:color w:val="auto"/>
                <w:sz w:val="21"/>
                <w:szCs w:val="21"/>
              </w:rPr>
            </w:pPr>
            <w:r>
              <w:rPr>
                <w:rFonts w:hint="eastAsia"/>
                <w:color w:val="auto"/>
                <w:sz w:val="21"/>
                <w:szCs w:val="21"/>
              </w:rPr>
              <w:t>出口</w:t>
            </w: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2017.7.19</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 xml:space="preserve">0.09 </w:t>
            </w:r>
          </w:p>
        </w:tc>
        <w:tc>
          <w:tcPr>
            <w:tcW w:w="1326"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1530</w:t>
            </w:r>
          </w:p>
        </w:tc>
        <w:tc>
          <w:tcPr>
            <w:tcW w:w="1327" w:type="dxa"/>
            <w:tcBorders>
              <w:top w:val="single" w:color="auto" w:sz="4" w:space="0"/>
              <w:bottom w:val="single" w:color="auto" w:sz="4" w:space="0"/>
            </w:tcBorders>
            <w:vAlign w:val="center"/>
          </w:tcPr>
          <w:p>
            <w:pPr>
              <w:widowControl/>
              <w:jc w:val="center"/>
              <w:textAlignment w:val="center"/>
              <w:rPr>
                <w:b/>
                <w:bCs/>
                <w:color w:val="auto"/>
                <w:szCs w:val="21"/>
              </w:rPr>
            </w:pPr>
            <w:r>
              <w:rPr>
                <w:b/>
                <w:bCs/>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restart"/>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2017.7.20</w:t>
            </w:r>
          </w:p>
        </w:tc>
        <w:tc>
          <w:tcPr>
            <w:tcW w:w="1327" w:type="dxa"/>
            <w:vMerge w:val="restart"/>
            <w:tcBorders>
              <w:top w:val="single" w:color="auto" w:sz="4" w:space="0"/>
              <w:bottom w:val="single" w:color="auto" w:sz="4" w:space="0"/>
            </w:tcBorders>
            <w:vAlign w:val="center"/>
          </w:tcPr>
          <w:p>
            <w:pPr>
              <w:widowControl/>
              <w:jc w:val="center"/>
              <w:textAlignment w:val="center"/>
              <w:rPr>
                <w:color w:val="auto"/>
                <w:szCs w:val="21"/>
              </w:rPr>
            </w:pPr>
            <w:r>
              <w:rPr>
                <w:rFonts w:hint="eastAsia" w:ascii="宋体" w:hAnsi="宋体" w:cs="宋体"/>
                <w:color w:val="auto"/>
                <w:kern w:val="0"/>
                <w:szCs w:val="21"/>
                <w:lang w:bidi="ar"/>
              </w:rPr>
              <w:t>氰化氢</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第一次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第二次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第三次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6" w:type="dxa"/>
            <w:vMerge w:val="continue"/>
            <w:tcBorders>
              <w:top w:val="single" w:color="auto" w:sz="4" w:space="0"/>
              <w:bottom w:val="single" w:color="auto" w:sz="4" w:space="0"/>
            </w:tcBorders>
            <w:vAlign w:val="center"/>
          </w:tcPr>
          <w:p>
            <w:pPr>
              <w:pStyle w:val="12"/>
              <w:jc w:val="center"/>
              <w:rPr>
                <w:color w:val="auto"/>
                <w:sz w:val="21"/>
                <w:szCs w:val="21"/>
              </w:rPr>
            </w:pPr>
          </w:p>
        </w:tc>
        <w:tc>
          <w:tcPr>
            <w:tcW w:w="1327" w:type="dxa"/>
            <w:vMerge w:val="continue"/>
            <w:tcBorders>
              <w:top w:val="single" w:color="auto" w:sz="4" w:space="0"/>
              <w:bottom w:val="single" w:color="auto" w:sz="4" w:space="0"/>
            </w:tcBorders>
            <w:vAlign w:val="center"/>
          </w:tcPr>
          <w:p>
            <w:pPr>
              <w:jc w:val="center"/>
              <w:rPr>
                <w:color w:val="auto"/>
                <w:szCs w:val="21"/>
              </w:rPr>
            </w:pP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第</w:t>
            </w:r>
            <w:r>
              <w:rPr>
                <w:rFonts w:hint="eastAsia"/>
                <w:color w:val="auto"/>
                <w:kern w:val="0"/>
                <w:szCs w:val="21"/>
                <w:lang w:bidi="ar"/>
              </w:rPr>
              <w:t>四</w:t>
            </w:r>
            <w:r>
              <w:rPr>
                <w:color w:val="auto"/>
                <w:kern w:val="0"/>
                <w:szCs w:val="21"/>
                <w:lang w:bidi="ar"/>
              </w:rPr>
              <w:t>次</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0.09</w:t>
            </w:r>
          </w:p>
        </w:tc>
        <w:tc>
          <w:tcPr>
            <w:tcW w:w="1326"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1470</w:t>
            </w:r>
          </w:p>
        </w:tc>
        <w:tc>
          <w:tcPr>
            <w:tcW w:w="1327" w:type="dxa"/>
            <w:tcBorders>
              <w:top w:val="single" w:color="auto" w:sz="4" w:space="0"/>
              <w:bottom w:val="single" w:color="auto" w:sz="4" w:space="0"/>
            </w:tcBorders>
            <w:vAlign w:val="center"/>
          </w:tcPr>
          <w:p>
            <w:pPr>
              <w:widowControl/>
              <w:jc w:val="center"/>
              <w:textAlignment w:val="center"/>
              <w:rPr>
                <w:color w:val="auto"/>
                <w:szCs w:val="21"/>
              </w:rPr>
            </w:pPr>
            <w:r>
              <w:rPr>
                <w:color w:val="auto"/>
                <w:kern w:val="0"/>
                <w:szCs w:val="21"/>
                <w:lang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27" w:type="dxa"/>
            <w:vMerge w:val="continue"/>
            <w:tcBorders>
              <w:top w:val="single" w:color="auto" w:sz="4" w:space="0"/>
            </w:tcBorders>
            <w:vAlign w:val="center"/>
          </w:tcPr>
          <w:p>
            <w:pPr>
              <w:pStyle w:val="12"/>
              <w:jc w:val="center"/>
              <w:rPr>
                <w:color w:val="auto"/>
                <w:sz w:val="21"/>
                <w:szCs w:val="21"/>
              </w:rPr>
            </w:pPr>
          </w:p>
        </w:tc>
        <w:tc>
          <w:tcPr>
            <w:tcW w:w="1326" w:type="dxa"/>
            <w:vMerge w:val="continue"/>
            <w:tcBorders>
              <w:top w:val="single" w:color="auto" w:sz="4" w:space="0"/>
            </w:tcBorders>
            <w:vAlign w:val="center"/>
          </w:tcPr>
          <w:p>
            <w:pPr>
              <w:pStyle w:val="12"/>
              <w:jc w:val="center"/>
              <w:rPr>
                <w:color w:val="auto"/>
                <w:sz w:val="21"/>
                <w:szCs w:val="21"/>
              </w:rPr>
            </w:pPr>
          </w:p>
        </w:tc>
        <w:tc>
          <w:tcPr>
            <w:tcW w:w="1327" w:type="dxa"/>
            <w:vMerge w:val="continue"/>
            <w:tcBorders>
              <w:top w:val="single" w:color="auto" w:sz="4" w:space="0"/>
            </w:tcBorders>
            <w:vAlign w:val="center"/>
          </w:tcPr>
          <w:p>
            <w:pPr>
              <w:jc w:val="center"/>
              <w:rPr>
                <w:color w:val="auto"/>
                <w:szCs w:val="21"/>
              </w:rPr>
            </w:pPr>
          </w:p>
        </w:tc>
        <w:tc>
          <w:tcPr>
            <w:tcW w:w="1326" w:type="dxa"/>
            <w:tcBorders>
              <w:top w:val="single" w:color="auto" w:sz="4" w:space="0"/>
            </w:tcBorders>
            <w:vAlign w:val="center"/>
          </w:tcPr>
          <w:p>
            <w:pPr>
              <w:widowControl/>
              <w:jc w:val="center"/>
              <w:textAlignment w:val="center"/>
              <w:rPr>
                <w:b/>
                <w:bCs/>
                <w:color w:val="auto"/>
                <w:szCs w:val="21"/>
              </w:rPr>
            </w:pPr>
            <w:r>
              <w:rPr>
                <w:rFonts w:hint="eastAsia" w:ascii="宋体" w:hAnsi="宋体" w:cs="宋体"/>
                <w:b/>
                <w:bCs/>
                <w:color w:val="auto"/>
                <w:kern w:val="0"/>
                <w:szCs w:val="21"/>
                <w:lang w:bidi="ar"/>
              </w:rPr>
              <w:t>平均值</w:t>
            </w:r>
          </w:p>
        </w:tc>
        <w:tc>
          <w:tcPr>
            <w:tcW w:w="1327"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0.09</w:t>
            </w:r>
          </w:p>
        </w:tc>
        <w:tc>
          <w:tcPr>
            <w:tcW w:w="1326"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1470</w:t>
            </w:r>
          </w:p>
        </w:tc>
        <w:tc>
          <w:tcPr>
            <w:tcW w:w="1327" w:type="dxa"/>
            <w:tcBorders>
              <w:top w:val="single" w:color="auto" w:sz="4" w:space="0"/>
            </w:tcBorders>
            <w:vAlign w:val="center"/>
          </w:tcPr>
          <w:p>
            <w:pPr>
              <w:widowControl/>
              <w:jc w:val="center"/>
              <w:textAlignment w:val="center"/>
              <w:rPr>
                <w:b/>
                <w:bCs/>
                <w:color w:val="auto"/>
                <w:szCs w:val="21"/>
              </w:rPr>
            </w:pPr>
            <w:r>
              <w:rPr>
                <w:b/>
                <w:bCs/>
                <w:color w:val="auto"/>
                <w:kern w:val="0"/>
                <w:szCs w:val="21"/>
                <w:lang w:bidi="ar"/>
              </w:rPr>
              <w:t>0.0001</w:t>
            </w:r>
          </w:p>
        </w:tc>
      </w:tr>
    </w:tbl>
    <w:p>
      <w:pPr>
        <w:pStyle w:val="12"/>
        <w:spacing w:before="156" w:beforeLines="50" w:after="0"/>
        <w:jc w:val="center"/>
        <w:rPr>
          <w:b/>
          <w:color w:val="auto"/>
        </w:rPr>
      </w:pPr>
      <w:r>
        <w:rPr>
          <w:rFonts w:hint="eastAsia"/>
          <w:b/>
          <w:color w:val="auto"/>
        </w:rPr>
        <w:t>表3.1-3   大气污染物产排放情况一览表</w:t>
      </w:r>
    </w:p>
    <w:tbl>
      <w:tblPr>
        <w:tblStyle w:val="23"/>
        <w:tblW w:w="9340" w:type="dxa"/>
        <w:jc w:val="center"/>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849"/>
        <w:gridCol w:w="1020"/>
        <w:gridCol w:w="960"/>
        <w:gridCol w:w="1140"/>
        <w:gridCol w:w="1230"/>
        <w:gridCol w:w="1020"/>
        <w:gridCol w:w="1024"/>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6"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污染物</w:t>
            </w:r>
          </w:p>
        </w:tc>
        <w:tc>
          <w:tcPr>
            <w:tcW w:w="849"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运行</w:t>
            </w:r>
          </w:p>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时间</w:t>
            </w:r>
            <w:r>
              <w:rPr>
                <w:rFonts w:hint="default" w:ascii="Calibri" w:hAnsi="Calibri" w:cs="Calibri"/>
                <w:color w:val="auto"/>
                <w:sz w:val="18"/>
                <w:szCs w:val="18"/>
                <w:vertAlign w:val="superscript"/>
              </w:rPr>
              <w:t>①</w:t>
            </w:r>
            <w:r>
              <w:rPr>
                <w:rFonts w:hint="eastAsia"/>
                <w:color w:val="auto"/>
                <w:sz w:val="18"/>
                <w:szCs w:val="18"/>
              </w:rPr>
              <w:t>h</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产生浓度</w:t>
            </w:r>
          </w:p>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mg/m</w:t>
            </w:r>
            <w:r>
              <w:rPr>
                <w:rFonts w:hint="eastAsia"/>
                <w:color w:val="auto"/>
                <w:sz w:val="18"/>
                <w:szCs w:val="18"/>
                <w:vertAlign w:val="superscript"/>
              </w:rPr>
              <w:t>3</w:t>
            </w:r>
          </w:p>
        </w:tc>
        <w:tc>
          <w:tcPr>
            <w:tcW w:w="96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产生速率kg/h</w:t>
            </w:r>
          </w:p>
        </w:tc>
        <w:tc>
          <w:tcPr>
            <w:tcW w:w="114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产生量t/a</w:t>
            </w:r>
          </w:p>
        </w:tc>
        <w:tc>
          <w:tcPr>
            <w:tcW w:w="123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处理</w:t>
            </w:r>
          </w:p>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措施</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排放浓度</w:t>
            </w:r>
          </w:p>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mg/m</w:t>
            </w:r>
            <w:r>
              <w:rPr>
                <w:rFonts w:hint="eastAsia"/>
                <w:color w:val="auto"/>
                <w:sz w:val="18"/>
                <w:szCs w:val="18"/>
                <w:vertAlign w:val="superscript"/>
              </w:rPr>
              <w:t>3</w:t>
            </w:r>
          </w:p>
        </w:tc>
        <w:tc>
          <w:tcPr>
            <w:tcW w:w="1024"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排放速率kg/h</w:t>
            </w:r>
          </w:p>
        </w:tc>
        <w:tc>
          <w:tcPr>
            <w:tcW w:w="1161"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spacing w:after="0"/>
              <w:jc w:val="center"/>
              <w:rPr>
                <w:color w:val="auto"/>
                <w:sz w:val="18"/>
                <w:szCs w:val="18"/>
              </w:rPr>
            </w:pPr>
            <w:r>
              <w:rPr>
                <w:rFonts w:hint="eastAsia"/>
                <w:color w:val="auto"/>
                <w:sz w:val="18"/>
                <w:szCs w:val="18"/>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6"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氯化氢</w:t>
            </w:r>
          </w:p>
        </w:tc>
        <w:tc>
          <w:tcPr>
            <w:tcW w:w="849"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2600</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0.9</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0.006875</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 xml:space="preserve">0.0179 </w:t>
            </w:r>
          </w:p>
        </w:tc>
        <w:tc>
          <w:tcPr>
            <w:tcW w:w="12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rFonts w:hint="eastAsia"/>
                <w:color w:val="auto"/>
                <w:kern w:val="0"/>
                <w:sz w:val="18"/>
                <w:szCs w:val="18"/>
                <w:lang w:bidi="ar"/>
              </w:rPr>
              <w:t>碱液</w:t>
            </w:r>
          </w:p>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rFonts w:hint="eastAsia"/>
                <w:color w:val="auto"/>
                <w:kern w:val="0"/>
                <w:sz w:val="18"/>
                <w:szCs w:val="18"/>
                <w:lang w:bidi="ar"/>
              </w:rPr>
              <w:t>喷淋塔</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rFonts w:hint="eastAsia"/>
                <w:color w:val="auto"/>
                <w:kern w:val="0"/>
                <w:sz w:val="18"/>
                <w:szCs w:val="18"/>
                <w:lang w:bidi="ar"/>
              </w:rPr>
              <w:t>0.9</w:t>
            </w:r>
          </w:p>
        </w:tc>
        <w:tc>
          <w:tcPr>
            <w:tcW w:w="10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0.006</w:t>
            </w:r>
          </w:p>
        </w:tc>
        <w:tc>
          <w:tcPr>
            <w:tcW w:w="11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6"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氟化物</w:t>
            </w:r>
          </w:p>
        </w:tc>
        <w:tc>
          <w:tcPr>
            <w:tcW w:w="849"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2600</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1.99</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0.014775</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 xml:space="preserve">0.0384 </w:t>
            </w:r>
          </w:p>
        </w:tc>
        <w:tc>
          <w:tcPr>
            <w:tcW w:w="12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rFonts w:hint="eastAsia"/>
                <w:color w:val="auto"/>
                <w:kern w:val="0"/>
                <w:sz w:val="18"/>
                <w:szCs w:val="18"/>
                <w:lang w:bidi="ar"/>
              </w:rPr>
              <w:t>0.46</w:t>
            </w:r>
          </w:p>
        </w:tc>
        <w:tc>
          <w:tcPr>
            <w:tcW w:w="10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0.001975</w:t>
            </w:r>
          </w:p>
        </w:tc>
        <w:tc>
          <w:tcPr>
            <w:tcW w:w="11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 xml:space="preserve">0.00514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6"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rFonts w:hint="eastAsia"/>
                <w:color w:val="auto"/>
                <w:sz w:val="18"/>
                <w:szCs w:val="18"/>
              </w:rPr>
            </w:pPr>
            <w:r>
              <w:rPr>
                <w:rFonts w:hint="eastAsia"/>
                <w:color w:val="auto"/>
                <w:sz w:val="18"/>
                <w:szCs w:val="18"/>
              </w:rPr>
              <w:t>硫酸雾</w:t>
            </w:r>
          </w:p>
        </w:tc>
        <w:tc>
          <w:tcPr>
            <w:tcW w:w="849"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rFonts w:hint="eastAsia"/>
                <w:color w:val="auto"/>
                <w:sz w:val="18"/>
                <w:szCs w:val="18"/>
              </w:rPr>
            </w:pPr>
            <w:r>
              <w:rPr>
                <w:rFonts w:hint="eastAsia"/>
                <w:color w:val="auto"/>
                <w:sz w:val="18"/>
                <w:szCs w:val="18"/>
              </w:rPr>
              <w:t>2600</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rFonts w:hint="eastAsia"/>
                <w:color w:val="auto"/>
                <w:sz w:val="18"/>
                <w:szCs w:val="18"/>
              </w:rPr>
            </w:pPr>
            <w:r>
              <w:rPr>
                <w:rFonts w:hint="eastAsia"/>
                <w:color w:val="auto"/>
                <w:sz w:val="18"/>
                <w:szCs w:val="18"/>
              </w:rPr>
              <w:t>2.14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color w:val="auto"/>
                <w:kern w:val="0"/>
                <w:sz w:val="18"/>
                <w:szCs w:val="18"/>
                <w:lang w:bidi="ar"/>
              </w:rPr>
              <w:t xml:space="preserve">0.000003 </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color w:val="auto"/>
                <w:kern w:val="0"/>
                <w:sz w:val="18"/>
                <w:szCs w:val="18"/>
                <w:lang w:bidi="ar"/>
              </w:rPr>
              <w:t>0.00000754</w:t>
            </w:r>
          </w:p>
        </w:tc>
        <w:tc>
          <w:tcPr>
            <w:tcW w:w="12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color w:val="auto"/>
                <w:kern w:val="0"/>
                <w:sz w:val="18"/>
                <w:szCs w:val="18"/>
                <w:lang w:bidi="ar"/>
              </w:rPr>
            </w:pPr>
            <w:r>
              <w:rPr>
                <w:rFonts w:hint="eastAsia"/>
                <w:color w:val="auto"/>
                <w:kern w:val="0"/>
                <w:sz w:val="18"/>
                <w:szCs w:val="18"/>
                <w:lang w:bidi="ar"/>
              </w:rPr>
              <w:t>1.29</w:t>
            </w:r>
          </w:p>
        </w:tc>
        <w:tc>
          <w:tcPr>
            <w:tcW w:w="10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color w:val="auto"/>
                <w:kern w:val="0"/>
                <w:sz w:val="18"/>
                <w:szCs w:val="18"/>
                <w:lang w:bidi="ar"/>
              </w:rPr>
              <w:t xml:space="preserve">0.0000024 </w:t>
            </w:r>
          </w:p>
        </w:tc>
        <w:tc>
          <w:tcPr>
            <w:tcW w:w="11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color w:val="auto"/>
                <w:kern w:val="0"/>
                <w:sz w:val="18"/>
                <w:szCs w:val="18"/>
                <w:lang w:bidi="ar"/>
              </w:rPr>
              <w:t xml:space="preserve">0.00000632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6"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铬酸雾</w:t>
            </w:r>
            <w:r>
              <w:rPr>
                <w:rFonts w:hint="default" w:ascii="Calibri" w:hAnsi="Calibri" w:cs="Calibri"/>
                <w:color w:val="auto"/>
                <w:sz w:val="18"/>
                <w:szCs w:val="18"/>
                <w:vertAlign w:val="superscript"/>
              </w:rPr>
              <w:t>②</w:t>
            </w:r>
          </w:p>
        </w:tc>
        <w:tc>
          <w:tcPr>
            <w:tcW w:w="849"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2600</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0.015</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0.000099</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 xml:space="preserve">0.000257 </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kern w:val="0"/>
                <w:sz w:val="18"/>
                <w:szCs w:val="18"/>
                <w:lang w:eastAsia="zh-CN" w:bidi="ar"/>
              </w:rPr>
            </w:pPr>
            <w:r>
              <w:rPr>
                <w:rFonts w:hint="eastAsia"/>
                <w:color w:val="auto"/>
                <w:kern w:val="0"/>
                <w:sz w:val="18"/>
                <w:szCs w:val="18"/>
                <w:lang w:eastAsia="zh-CN" w:bidi="ar"/>
              </w:rPr>
              <w:t>网格净化塔</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rFonts w:hint="eastAsia"/>
                <w:color w:val="auto"/>
                <w:kern w:val="0"/>
                <w:sz w:val="18"/>
                <w:szCs w:val="18"/>
                <w:lang w:bidi="ar"/>
              </w:rPr>
              <w:t>0.005</w:t>
            </w:r>
          </w:p>
        </w:tc>
        <w:tc>
          <w:tcPr>
            <w:tcW w:w="10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0.00003</w:t>
            </w:r>
          </w:p>
        </w:tc>
        <w:tc>
          <w:tcPr>
            <w:tcW w:w="11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eastAsia="宋体"/>
                <w:color w:val="auto"/>
                <w:sz w:val="18"/>
                <w:szCs w:val="18"/>
                <w:lang w:val="en-US" w:eastAsia="zh-CN"/>
              </w:rPr>
            </w:pPr>
            <w:r>
              <w:rPr>
                <w:color w:val="auto"/>
                <w:kern w:val="0"/>
                <w:sz w:val="18"/>
                <w:szCs w:val="18"/>
                <w:lang w:bidi="ar"/>
              </w:rPr>
              <w:t>0.00007</w:t>
            </w:r>
            <w:r>
              <w:rPr>
                <w:rFonts w:hint="eastAsia"/>
                <w:color w:val="auto"/>
                <w:kern w:val="0"/>
                <w:sz w:val="18"/>
                <w:szCs w:val="18"/>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6"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氰化氢</w:t>
            </w:r>
          </w:p>
        </w:tc>
        <w:tc>
          <w:tcPr>
            <w:tcW w:w="849"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2600</w:t>
            </w:r>
          </w:p>
        </w:tc>
        <w:tc>
          <w:tcPr>
            <w:tcW w:w="1020" w:type="dxa"/>
            <w:tcBorders>
              <w:tl2br w:val="nil"/>
              <w:tr2bl w:val="nil"/>
            </w:tcBorders>
            <w:vAlign w:val="center"/>
          </w:tcPr>
          <w:p>
            <w:pPr>
              <w:pStyle w:val="12"/>
              <w:keepNext w:val="0"/>
              <w:keepLines w:val="0"/>
              <w:pageBreakBefore w:val="0"/>
              <w:kinsoku/>
              <w:wordWrap/>
              <w:overflowPunct/>
              <w:topLinePunct w:val="0"/>
              <w:autoSpaceDE/>
              <w:autoSpaceDN/>
              <w:bidi w:val="0"/>
              <w:adjustRightInd/>
              <w:snapToGrid/>
              <w:jc w:val="center"/>
              <w:rPr>
                <w:color w:val="auto"/>
                <w:sz w:val="18"/>
                <w:szCs w:val="18"/>
              </w:rPr>
            </w:pPr>
            <w:r>
              <w:rPr>
                <w:rFonts w:hint="eastAsia"/>
                <w:color w:val="auto"/>
                <w:sz w:val="18"/>
                <w:szCs w:val="18"/>
              </w:rPr>
              <w:t>0.12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 xml:space="preserve">0.000109 </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sz w:val="18"/>
                <w:szCs w:val="18"/>
              </w:rPr>
            </w:pPr>
            <w:r>
              <w:rPr>
                <w:color w:val="auto"/>
                <w:kern w:val="0"/>
                <w:sz w:val="18"/>
                <w:szCs w:val="18"/>
                <w:lang w:bidi="ar"/>
              </w:rPr>
              <w:t xml:space="preserve">0.00028 </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color w:val="auto"/>
                <w:kern w:val="0"/>
                <w:sz w:val="18"/>
                <w:szCs w:val="18"/>
                <w:lang w:bidi="ar"/>
              </w:rPr>
            </w:pPr>
            <w:r>
              <w:rPr>
                <w:rFonts w:hint="eastAsia"/>
                <w:color w:val="auto"/>
                <w:kern w:val="0"/>
                <w:sz w:val="18"/>
                <w:szCs w:val="18"/>
                <w:lang w:bidi="ar"/>
              </w:rPr>
              <w:t>氰净化塔</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0.09</w:t>
            </w:r>
          </w:p>
        </w:tc>
        <w:tc>
          <w:tcPr>
            <w:tcW w:w="10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0.0001</w:t>
            </w:r>
          </w:p>
        </w:tc>
        <w:tc>
          <w:tcPr>
            <w:tcW w:w="116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0.00026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40" w:type="dxa"/>
            <w:gridSpan w:val="9"/>
            <w:tcBorders>
              <w:tl2br w:val="nil"/>
              <w:tr2bl w:val="nil"/>
            </w:tcBorders>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注：</w:t>
            </w:r>
            <w:r>
              <w:rPr>
                <w:rFonts w:hint="eastAsia" w:ascii="宋体" w:hAnsi="宋体" w:eastAsia="宋体" w:cs="宋体"/>
                <w:color w:val="auto"/>
                <w:kern w:val="2"/>
                <w:sz w:val="21"/>
                <w:szCs w:val="24"/>
                <w:lang w:val="en-US" w:eastAsia="zh-CN" w:bidi="ar-SA"/>
              </w:rPr>
              <w:t>①</w:t>
            </w:r>
            <w:r>
              <w:rPr>
                <w:rFonts w:hint="eastAsia" w:ascii="Times New Roman" w:hAnsi="Times New Roman" w:eastAsia="宋体" w:cs="Times New Roman"/>
                <w:color w:val="auto"/>
                <w:kern w:val="2"/>
                <w:sz w:val="21"/>
                <w:szCs w:val="24"/>
                <w:lang w:val="en-US" w:eastAsia="zh-CN" w:bidi="ar-SA"/>
              </w:rPr>
              <w:t>运行时间考虑拟建工程年产260天，每天10h。</w:t>
            </w:r>
          </w:p>
          <w:p>
            <w:pPr>
              <w:pStyle w:val="2"/>
              <w:spacing w:line="240" w:lineRule="auto"/>
              <w:ind w:left="0" w:leftChars="0" w:firstLine="420" w:firstLineChars="200"/>
              <w:rPr>
                <w:rFonts w:hint="default"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②</w:t>
            </w:r>
            <w:r>
              <w:rPr>
                <w:rFonts w:hint="eastAsia" w:ascii="Times New Roman" w:hAnsi="Times New Roman" w:eastAsia="宋体" w:cs="Times New Roman"/>
                <w:color w:val="auto"/>
                <w:kern w:val="2"/>
                <w:sz w:val="21"/>
                <w:szCs w:val="24"/>
                <w:lang w:val="en-US" w:eastAsia="zh-CN" w:bidi="ar-SA"/>
              </w:rPr>
              <w:t>铬酸雾产生源强类比原有工程实测数据，拟建工程建议单独收集采用网格净化器处理，处理效率按照70%计算排放量。</w:t>
            </w:r>
          </w:p>
        </w:tc>
      </w:tr>
    </w:tbl>
    <w:p>
      <w:pPr>
        <w:adjustRightInd w:val="0"/>
        <w:snapToGrid w:val="0"/>
        <w:spacing w:before="156" w:beforeLines="50" w:line="360" w:lineRule="auto"/>
        <w:outlineLvl w:val="2"/>
        <w:rPr>
          <w:b/>
          <w:color w:val="auto"/>
          <w:sz w:val="24"/>
        </w:rPr>
      </w:pPr>
      <w:r>
        <w:rPr>
          <w:rFonts w:hint="eastAsia"/>
          <w:b/>
          <w:color w:val="auto"/>
          <w:sz w:val="24"/>
        </w:rPr>
        <w:t>3.1.2无组织废气</w:t>
      </w:r>
    </w:p>
    <w:p>
      <w:pPr>
        <w:pStyle w:val="21"/>
        <w:ind w:firstLine="240"/>
        <w:rPr>
          <w:color w:val="auto"/>
          <w:sz w:val="24"/>
        </w:rPr>
      </w:pPr>
      <w:r>
        <w:rPr>
          <w:rFonts w:hint="eastAsia"/>
          <w:color w:val="auto"/>
          <w:sz w:val="24"/>
        </w:rPr>
        <w:t>生产线集气罩收集效率按照85%计，车间无组织排放见下表：</w:t>
      </w:r>
    </w:p>
    <w:p>
      <w:pPr>
        <w:pStyle w:val="12"/>
        <w:spacing w:before="156" w:beforeLines="50" w:after="0"/>
        <w:jc w:val="center"/>
        <w:rPr>
          <w:b/>
          <w:color w:val="auto"/>
        </w:rPr>
      </w:pPr>
      <w:r>
        <w:rPr>
          <w:rFonts w:hint="eastAsia"/>
          <w:b/>
          <w:color w:val="auto"/>
        </w:rPr>
        <w:t>表3.1-4  车间无组织排放情况一览表</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750"/>
        <w:gridCol w:w="840"/>
        <w:gridCol w:w="1221"/>
        <w:gridCol w:w="1329"/>
        <w:gridCol w:w="1329"/>
        <w:gridCol w:w="1329"/>
        <w:gridCol w:w="1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66" w:type="dxa"/>
            <w:gridSpan w:val="3"/>
            <w:vAlign w:val="center"/>
          </w:tcPr>
          <w:p>
            <w:pPr>
              <w:pStyle w:val="63"/>
              <w:rPr>
                <w:rFonts w:eastAsia="宋体"/>
                <w:color w:val="auto"/>
                <w:szCs w:val="21"/>
              </w:rPr>
            </w:pPr>
            <w:r>
              <w:rPr>
                <w:rFonts w:eastAsia="宋体"/>
                <w:color w:val="auto"/>
                <w:szCs w:val="21"/>
              </w:rPr>
              <w:t>产生位置</w:t>
            </w:r>
          </w:p>
        </w:tc>
        <w:tc>
          <w:tcPr>
            <w:tcW w:w="1221" w:type="dxa"/>
            <w:vMerge w:val="restart"/>
            <w:vAlign w:val="center"/>
          </w:tcPr>
          <w:p>
            <w:pPr>
              <w:pStyle w:val="63"/>
              <w:rPr>
                <w:rFonts w:eastAsia="宋体"/>
                <w:color w:val="auto"/>
                <w:szCs w:val="21"/>
              </w:rPr>
            </w:pPr>
            <w:r>
              <w:rPr>
                <w:rFonts w:eastAsia="宋体"/>
                <w:color w:val="auto"/>
                <w:szCs w:val="21"/>
              </w:rPr>
              <w:t>污染物</w:t>
            </w:r>
          </w:p>
        </w:tc>
        <w:tc>
          <w:tcPr>
            <w:tcW w:w="3987" w:type="dxa"/>
            <w:gridSpan w:val="3"/>
            <w:vAlign w:val="center"/>
          </w:tcPr>
          <w:p>
            <w:pPr>
              <w:pStyle w:val="63"/>
              <w:rPr>
                <w:rFonts w:eastAsia="宋体"/>
                <w:color w:val="auto"/>
                <w:szCs w:val="21"/>
              </w:rPr>
            </w:pPr>
            <w:r>
              <w:rPr>
                <w:rFonts w:eastAsia="宋体"/>
                <w:color w:val="auto"/>
                <w:szCs w:val="21"/>
              </w:rPr>
              <w:t>产生量</w:t>
            </w:r>
          </w:p>
        </w:tc>
        <w:tc>
          <w:tcPr>
            <w:tcW w:w="1312" w:type="dxa"/>
            <w:vMerge w:val="restart"/>
            <w:vAlign w:val="center"/>
          </w:tcPr>
          <w:p>
            <w:pPr>
              <w:pStyle w:val="63"/>
              <w:rPr>
                <w:rFonts w:eastAsia="宋体"/>
                <w:color w:val="auto"/>
                <w:szCs w:val="21"/>
              </w:rPr>
            </w:pPr>
          </w:p>
          <w:p>
            <w:pPr>
              <w:pStyle w:val="63"/>
              <w:rPr>
                <w:rFonts w:eastAsia="宋体"/>
                <w:color w:val="auto"/>
                <w:szCs w:val="21"/>
              </w:rPr>
            </w:pPr>
            <w:r>
              <w:rPr>
                <w:rFonts w:eastAsia="宋体"/>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76" w:type="dxa"/>
            <w:vAlign w:val="center"/>
          </w:tcPr>
          <w:p>
            <w:pPr>
              <w:pStyle w:val="63"/>
              <w:rPr>
                <w:rFonts w:eastAsia="宋体"/>
                <w:color w:val="auto"/>
                <w:szCs w:val="21"/>
              </w:rPr>
            </w:pPr>
            <w:r>
              <w:rPr>
                <w:rFonts w:eastAsia="宋体"/>
                <w:color w:val="auto"/>
                <w:szCs w:val="21"/>
              </w:rPr>
              <w:t>车间名称</w:t>
            </w:r>
          </w:p>
        </w:tc>
        <w:tc>
          <w:tcPr>
            <w:tcW w:w="750" w:type="dxa"/>
            <w:vAlign w:val="center"/>
          </w:tcPr>
          <w:p>
            <w:pPr>
              <w:pStyle w:val="63"/>
              <w:rPr>
                <w:rFonts w:eastAsia="宋体"/>
                <w:color w:val="auto"/>
                <w:szCs w:val="21"/>
              </w:rPr>
            </w:pPr>
            <w:r>
              <w:rPr>
                <w:rFonts w:eastAsia="宋体"/>
                <w:color w:val="auto"/>
                <w:szCs w:val="21"/>
              </w:rPr>
              <w:t>长(m)</w:t>
            </w:r>
          </w:p>
        </w:tc>
        <w:tc>
          <w:tcPr>
            <w:tcW w:w="840" w:type="dxa"/>
            <w:vAlign w:val="center"/>
          </w:tcPr>
          <w:p>
            <w:pPr>
              <w:pStyle w:val="63"/>
              <w:rPr>
                <w:rFonts w:eastAsia="宋体"/>
                <w:color w:val="auto"/>
                <w:szCs w:val="21"/>
              </w:rPr>
            </w:pPr>
            <w:r>
              <w:rPr>
                <w:rFonts w:eastAsia="宋体"/>
                <w:color w:val="auto"/>
                <w:szCs w:val="21"/>
              </w:rPr>
              <w:t>宽(m)</w:t>
            </w:r>
          </w:p>
        </w:tc>
        <w:tc>
          <w:tcPr>
            <w:tcW w:w="1221" w:type="dxa"/>
            <w:vMerge w:val="continue"/>
            <w:vAlign w:val="center"/>
          </w:tcPr>
          <w:p>
            <w:pPr>
              <w:pStyle w:val="63"/>
              <w:rPr>
                <w:rFonts w:eastAsia="宋体"/>
                <w:color w:val="auto"/>
                <w:szCs w:val="21"/>
              </w:rPr>
            </w:pPr>
          </w:p>
        </w:tc>
        <w:tc>
          <w:tcPr>
            <w:tcW w:w="1329" w:type="dxa"/>
            <w:vAlign w:val="center"/>
          </w:tcPr>
          <w:p>
            <w:pPr>
              <w:pStyle w:val="63"/>
              <w:rPr>
                <w:rFonts w:eastAsia="宋体"/>
                <w:color w:val="auto"/>
                <w:szCs w:val="21"/>
              </w:rPr>
            </w:pPr>
            <w:r>
              <w:rPr>
                <w:rFonts w:eastAsia="宋体"/>
                <w:color w:val="auto"/>
                <w:szCs w:val="21"/>
              </w:rPr>
              <w:t>小时产生量（kg/h）</w:t>
            </w:r>
          </w:p>
        </w:tc>
        <w:tc>
          <w:tcPr>
            <w:tcW w:w="1329" w:type="dxa"/>
            <w:vAlign w:val="center"/>
          </w:tcPr>
          <w:p>
            <w:pPr>
              <w:pStyle w:val="63"/>
              <w:rPr>
                <w:rFonts w:eastAsia="宋体"/>
                <w:color w:val="auto"/>
                <w:szCs w:val="21"/>
              </w:rPr>
            </w:pPr>
            <w:r>
              <w:rPr>
                <w:rFonts w:eastAsia="宋体"/>
                <w:color w:val="auto"/>
                <w:szCs w:val="21"/>
              </w:rPr>
              <w:t>日产生量（kg/d）</w:t>
            </w:r>
          </w:p>
        </w:tc>
        <w:tc>
          <w:tcPr>
            <w:tcW w:w="1329" w:type="dxa"/>
            <w:vAlign w:val="center"/>
          </w:tcPr>
          <w:p>
            <w:pPr>
              <w:pStyle w:val="63"/>
              <w:rPr>
                <w:rFonts w:eastAsia="宋体"/>
                <w:color w:val="auto"/>
                <w:szCs w:val="21"/>
              </w:rPr>
            </w:pPr>
            <w:r>
              <w:rPr>
                <w:rFonts w:eastAsia="宋体"/>
                <w:color w:val="auto"/>
                <w:szCs w:val="21"/>
              </w:rPr>
              <w:t>年产生量（t/a）</w:t>
            </w:r>
          </w:p>
        </w:tc>
        <w:tc>
          <w:tcPr>
            <w:tcW w:w="1312" w:type="dxa"/>
            <w:vMerge w:val="continue"/>
            <w:vAlign w:val="center"/>
          </w:tcPr>
          <w:p>
            <w:pPr>
              <w:pStyle w:val="63"/>
              <w:rPr>
                <w:rFonts w:eastAsia="宋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restart"/>
            <w:vAlign w:val="center"/>
          </w:tcPr>
          <w:p>
            <w:pPr>
              <w:pStyle w:val="63"/>
              <w:rPr>
                <w:rFonts w:eastAsia="宋体"/>
                <w:color w:val="auto"/>
                <w:szCs w:val="21"/>
              </w:rPr>
            </w:pPr>
            <w:r>
              <w:rPr>
                <w:rFonts w:eastAsia="宋体"/>
                <w:color w:val="auto"/>
                <w:szCs w:val="21"/>
              </w:rPr>
              <w:t>生产车间</w:t>
            </w:r>
          </w:p>
        </w:tc>
        <w:tc>
          <w:tcPr>
            <w:tcW w:w="750" w:type="dxa"/>
            <w:vMerge w:val="restart"/>
            <w:vAlign w:val="center"/>
          </w:tcPr>
          <w:p>
            <w:pPr>
              <w:pStyle w:val="63"/>
              <w:rPr>
                <w:rFonts w:eastAsia="宋体"/>
                <w:color w:val="auto"/>
                <w:szCs w:val="21"/>
              </w:rPr>
            </w:pPr>
            <w:r>
              <w:rPr>
                <w:rFonts w:hint="eastAsia" w:eastAsia="宋体"/>
                <w:color w:val="auto"/>
                <w:szCs w:val="21"/>
              </w:rPr>
              <w:t>46.6</w:t>
            </w:r>
          </w:p>
        </w:tc>
        <w:tc>
          <w:tcPr>
            <w:tcW w:w="840" w:type="dxa"/>
            <w:vMerge w:val="restart"/>
            <w:vAlign w:val="center"/>
          </w:tcPr>
          <w:p>
            <w:pPr>
              <w:pStyle w:val="63"/>
              <w:rPr>
                <w:rFonts w:eastAsia="宋体"/>
                <w:color w:val="auto"/>
                <w:szCs w:val="21"/>
              </w:rPr>
            </w:pPr>
            <w:r>
              <w:rPr>
                <w:rFonts w:hint="eastAsia" w:eastAsia="宋体"/>
                <w:color w:val="auto"/>
                <w:szCs w:val="21"/>
              </w:rPr>
              <w:t>20</w:t>
            </w:r>
          </w:p>
        </w:tc>
        <w:tc>
          <w:tcPr>
            <w:tcW w:w="1221" w:type="dxa"/>
            <w:vAlign w:val="center"/>
          </w:tcPr>
          <w:p>
            <w:pPr>
              <w:widowControl/>
              <w:jc w:val="center"/>
              <w:textAlignment w:val="center"/>
              <w:rPr>
                <w:color w:val="auto"/>
                <w:szCs w:val="21"/>
              </w:rPr>
            </w:pPr>
            <w:r>
              <w:rPr>
                <w:color w:val="auto"/>
                <w:kern w:val="0"/>
                <w:szCs w:val="21"/>
                <w:lang w:bidi="ar"/>
              </w:rPr>
              <w:t>硫酸雾</w:t>
            </w:r>
          </w:p>
        </w:tc>
        <w:tc>
          <w:tcPr>
            <w:tcW w:w="1329" w:type="dxa"/>
            <w:vAlign w:val="center"/>
          </w:tcPr>
          <w:p>
            <w:pPr>
              <w:widowControl/>
              <w:jc w:val="center"/>
              <w:textAlignment w:val="center"/>
              <w:rPr>
                <w:color w:val="auto"/>
                <w:szCs w:val="21"/>
              </w:rPr>
            </w:pPr>
            <w:r>
              <w:rPr>
                <w:color w:val="auto"/>
                <w:kern w:val="0"/>
                <w:szCs w:val="21"/>
                <w:lang w:bidi="ar"/>
              </w:rPr>
              <w:t xml:space="preserve">0.00000042 </w:t>
            </w:r>
          </w:p>
        </w:tc>
        <w:tc>
          <w:tcPr>
            <w:tcW w:w="1329" w:type="dxa"/>
            <w:vAlign w:val="center"/>
          </w:tcPr>
          <w:p>
            <w:pPr>
              <w:widowControl/>
              <w:jc w:val="center"/>
              <w:textAlignment w:val="center"/>
              <w:rPr>
                <w:color w:val="auto"/>
                <w:kern w:val="0"/>
                <w:szCs w:val="21"/>
                <w:lang w:bidi="ar"/>
              </w:rPr>
            </w:pPr>
            <w:r>
              <w:rPr>
                <w:color w:val="auto"/>
                <w:kern w:val="0"/>
                <w:szCs w:val="21"/>
                <w:lang w:bidi="ar"/>
              </w:rPr>
              <w:t>0.0000042</w:t>
            </w:r>
          </w:p>
        </w:tc>
        <w:tc>
          <w:tcPr>
            <w:tcW w:w="1329" w:type="dxa"/>
            <w:vAlign w:val="center"/>
          </w:tcPr>
          <w:p>
            <w:pPr>
              <w:widowControl/>
              <w:jc w:val="center"/>
              <w:textAlignment w:val="center"/>
              <w:rPr>
                <w:color w:val="auto"/>
                <w:kern w:val="0"/>
                <w:szCs w:val="21"/>
                <w:lang w:bidi="ar"/>
              </w:rPr>
            </w:pPr>
            <w:r>
              <w:rPr>
                <w:color w:val="auto"/>
                <w:kern w:val="0"/>
                <w:szCs w:val="21"/>
                <w:lang w:bidi="ar"/>
              </w:rPr>
              <w:t xml:space="preserve">0.0000011 </w:t>
            </w:r>
          </w:p>
        </w:tc>
        <w:tc>
          <w:tcPr>
            <w:tcW w:w="1312" w:type="dxa"/>
            <w:vMerge w:val="restart"/>
            <w:vAlign w:val="center"/>
          </w:tcPr>
          <w:p>
            <w:pPr>
              <w:pStyle w:val="63"/>
              <w:rPr>
                <w:rFonts w:eastAsia="宋体"/>
                <w:color w:val="auto"/>
                <w:szCs w:val="21"/>
              </w:rPr>
            </w:pPr>
            <w:r>
              <w:rPr>
                <w:rFonts w:eastAsia="宋体"/>
                <w:color w:val="auto"/>
                <w:szCs w:val="21"/>
                <w:lang w:bidi="ar"/>
              </w:rPr>
              <w:t>日生产10小时（夜间不工作），年产260天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vAlign w:val="center"/>
          </w:tcPr>
          <w:p>
            <w:pPr>
              <w:pStyle w:val="63"/>
              <w:rPr>
                <w:rFonts w:eastAsia="宋体"/>
                <w:color w:val="auto"/>
                <w:szCs w:val="21"/>
              </w:rPr>
            </w:pPr>
          </w:p>
        </w:tc>
        <w:tc>
          <w:tcPr>
            <w:tcW w:w="750" w:type="dxa"/>
            <w:vMerge w:val="continue"/>
            <w:vAlign w:val="center"/>
          </w:tcPr>
          <w:p>
            <w:pPr>
              <w:pStyle w:val="63"/>
              <w:rPr>
                <w:rFonts w:eastAsia="宋体"/>
                <w:color w:val="auto"/>
                <w:szCs w:val="21"/>
              </w:rPr>
            </w:pPr>
          </w:p>
        </w:tc>
        <w:tc>
          <w:tcPr>
            <w:tcW w:w="840" w:type="dxa"/>
            <w:vMerge w:val="continue"/>
            <w:vAlign w:val="center"/>
          </w:tcPr>
          <w:p>
            <w:pPr>
              <w:pStyle w:val="63"/>
              <w:rPr>
                <w:rFonts w:eastAsia="宋体"/>
                <w:color w:val="auto"/>
                <w:szCs w:val="21"/>
              </w:rPr>
            </w:pPr>
          </w:p>
        </w:tc>
        <w:tc>
          <w:tcPr>
            <w:tcW w:w="1221" w:type="dxa"/>
            <w:vAlign w:val="center"/>
          </w:tcPr>
          <w:p>
            <w:pPr>
              <w:widowControl/>
              <w:jc w:val="center"/>
              <w:textAlignment w:val="center"/>
              <w:rPr>
                <w:color w:val="auto"/>
                <w:szCs w:val="21"/>
              </w:rPr>
            </w:pPr>
            <w:r>
              <w:rPr>
                <w:color w:val="auto"/>
                <w:kern w:val="0"/>
                <w:szCs w:val="21"/>
                <w:lang w:bidi="ar"/>
              </w:rPr>
              <w:t>氯化氢</w:t>
            </w:r>
          </w:p>
        </w:tc>
        <w:tc>
          <w:tcPr>
            <w:tcW w:w="1329" w:type="dxa"/>
            <w:vAlign w:val="center"/>
          </w:tcPr>
          <w:p>
            <w:pPr>
              <w:widowControl/>
              <w:jc w:val="center"/>
              <w:textAlignment w:val="center"/>
              <w:rPr>
                <w:color w:val="auto"/>
                <w:szCs w:val="21"/>
              </w:rPr>
            </w:pPr>
            <w:r>
              <w:rPr>
                <w:color w:val="auto"/>
                <w:kern w:val="0"/>
                <w:szCs w:val="21"/>
                <w:lang w:bidi="ar"/>
              </w:rPr>
              <w:t xml:space="preserve">0.00106 </w:t>
            </w:r>
          </w:p>
        </w:tc>
        <w:tc>
          <w:tcPr>
            <w:tcW w:w="1329" w:type="dxa"/>
            <w:vAlign w:val="center"/>
          </w:tcPr>
          <w:p>
            <w:pPr>
              <w:widowControl/>
              <w:jc w:val="center"/>
              <w:textAlignment w:val="center"/>
              <w:rPr>
                <w:color w:val="auto"/>
                <w:kern w:val="0"/>
                <w:szCs w:val="21"/>
                <w:lang w:bidi="ar"/>
              </w:rPr>
            </w:pPr>
            <w:r>
              <w:rPr>
                <w:color w:val="auto"/>
                <w:kern w:val="0"/>
                <w:szCs w:val="21"/>
                <w:lang w:bidi="ar"/>
              </w:rPr>
              <w:t>0.0106</w:t>
            </w:r>
          </w:p>
        </w:tc>
        <w:tc>
          <w:tcPr>
            <w:tcW w:w="1329" w:type="dxa"/>
            <w:vAlign w:val="center"/>
          </w:tcPr>
          <w:p>
            <w:pPr>
              <w:widowControl/>
              <w:jc w:val="center"/>
              <w:textAlignment w:val="center"/>
              <w:rPr>
                <w:color w:val="auto"/>
                <w:kern w:val="0"/>
                <w:szCs w:val="21"/>
                <w:lang w:bidi="ar"/>
              </w:rPr>
            </w:pPr>
            <w:r>
              <w:rPr>
                <w:color w:val="auto"/>
                <w:kern w:val="0"/>
                <w:szCs w:val="21"/>
                <w:lang w:bidi="ar"/>
              </w:rPr>
              <w:t xml:space="preserve">0.0028 </w:t>
            </w:r>
          </w:p>
        </w:tc>
        <w:tc>
          <w:tcPr>
            <w:tcW w:w="1312" w:type="dxa"/>
            <w:vMerge w:val="continue"/>
            <w:vAlign w:val="center"/>
          </w:tcPr>
          <w:p>
            <w:pPr>
              <w:pStyle w:val="63"/>
              <w:rPr>
                <w:rFonts w:eastAsia="宋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176" w:type="dxa"/>
            <w:vMerge w:val="continue"/>
            <w:vAlign w:val="center"/>
          </w:tcPr>
          <w:p>
            <w:pPr>
              <w:pStyle w:val="63"/>
              <w:rPr>
                <w:rFonts w:eastAsia="宋体"/>
                <w:color w:val="auto"/>
                <w:szCs w:val="21"/>
              </w:rPr>
            </w:pPr>
          </w:p>
        </w:tc>
        <w:tc>
          <w:tcPr>
            <w:tcW w:w="750" w:type="dxa"/>
            <w:vMerge w:val="continue"/>
            <w:vAlign w:val="center"/>
          </w:tcPr>
          <w:p>
            <w:pPr>
              <w:pStyle w:val="63"/>
              <w:rPr>
                <w:rFonts w:eastAsia="宋体"/>
                <w:color w:val="auto"/>
                <w:szCs w:val="21"/>
              </w:rPr>
            </w:pPr>
          </w:p>
        </w:tc>
        <w:tc>
          <w:tcPr>
            <w:tcW w:w="840" w:type="dxa"/>
            <w:vMerge w:val="continue"/>
            <w:vAlign w:val="center"/>
          </w:tcPr>
          <w:p>
            <w:pPr>
              <w:pStyle w:val="63"/>
              <w:rPr>
                <w:rFonts w:eastAsia="宋体"/>
                <w:color w:val="auto"/>
                <w:szCs w:val="21"/>
              </w:rPr>
            </w:pPr>
          </w:p>
        </w:tc>
        <w:tc>
          <w:tcPr>
            <w:tcW w:w="1221" w:type="dxa"/>
            <w:vAlign w:val="center"/>
          </w:tcPr>
          <w:p>
            <w:pPr>
              <w:widowControl/>
              <w:jc w:val="center"/>
              <w:textAlignment w:val="center"/>
              <w:rPr>
                <w:color w:val="auto"/>
                <w:szCs w:val="21"/>
              </w:rPr>
            </w:pPr>
            <w:r>
              <w:rPr>
                <w:color w:val="auto"/>
                <w:kern w:val="0"/>
                <w:szCs w:val="21"/>
                <w:lang w:bidi="ar"/>
              </w:rPr>
              <w:t>氟化物</w:t>
            </w:r>
          </w:p>
        </w:tc>
        <w:tc>
          <w:tcPr>
            <w:tcW w:w="1329" w:type="dxa"/>
            <w:vAlign w:val="center"/>
          </w:tcPr>
          <w:p>
            <w:pPr>
              <w:widowControl/>
              <w:jc w:val="center"/>
              <w:textAlignment w:val="center"/>
              <w:rPr>
                <w:color w:val="auto"/>
                <w:szCs w:val="21"/>
              </w:rPr>
            </w:pPr>
            <w:r>
              <w:rPr>
                <w:color w:val="auto"/>
                <w:kern w:val="0"/>
                <w:szCs w:val="21"/>
                <w:lang w:bidi="ar"/>
              </w:rPr>
              <w:t xml:space="preserve">0.000349 </w:t>
            </w:r>
          </w:p>
        </w:tc>
        <w:tc>
          <w:tcPr>
            <w:tcW w:w="1329" w:type="dxa"/>
            <w:vAlign w:val="center"/>
          </w:tcPr>
          <w:p>
            <w:pPr>
              <w:widowControl/>
              <w:jc w:val="center"/>
              <w:textAlignment w:val="center"/>
              <w:rPr>
                <w:color w:val="auto"/>
                <w:kern w:val="0"/>
                <w:szCs w:val="21"/>
                <w:lang w:bidi="ar"/>
              </w:rPr>
            </w:pPr>
            <w:r>
              <w:rPr>
                <w:color w:val="auto"/>
                <w:kern w:val="0"/>
                <w:szCs w:val="21"/>
                <w:lang w:bidi="ar"/>
              </w:rPr>
              <w:t>0.00349</w:t>
            </w:r>
          </w:p>
        </w:tc>
        <w:tc>
          <w:tcPr>
            <w:tcW w:w="1329" w:type="dxa"/>
            <w:vAlign w:val="center"/>
          </w:tcPr>
          <w:p>
            <w:pPr>
              <w:widowControl/>
              <w:jc w:val="center"/>
              <w:textAlignment w:val="center"/>
              <w:rPr>
                <w:color w:val="auto"/>
                <w:kern w:val="0"/>
                <w:szCs w:val="21"/>
                <w:lang w:bidi="ar"/>
              </w:rPr>
            </w:pPr>
            <w:r>
              <w:rPr>
                <w:color w:val="auto"/>
                <w:kern w:val="0"/>
                <w:szCs w:val="21"/>
                <w:lang w:bidi="ar"/>
              </w:rPr>
              <w:t xml:space="preserve">0.00091 </w:t>
            </w:r>
          </w:p>
        </w:tc>
        <w:tc>
          <w:tcPr>
            <w:tcW w:w="1312" w:type="dxa"/>
            <w:vMerge w:val="continue"/>
            <w:vAlign w:val="center"/>
          </w:tcPr>
          <w:p>
            <w:pPr>
              <w:pStyle w:val="63"/>
              <w:rPr>
                <w:rFonts w:eastAsia="宋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vAlign w:val="center"/>
          </w:tcPr>
          <w:p>
            <w:pPr>
              <w:pStyle w:val="63"/>
              <w:rPr>
                <w:rFonts w:eastAsia="宋体"/>
                <w:color w:val="auto"/>
                <w:szCs w:val="21"/>
              </w:rPr>
            </w:pPr>
          </w:p>
        </w:tc>
        <w:tc>
          <w:tcPr>
            <w:tcW w:w="750" w:type="dxa"/>
            <w:vMerge w:val="continue"/>
            <w:vAlign w:val="center"/>
          </w:tcPr>
          <w:p>
            <w:pPr>
              <w:pStyle w:val="63"/>
              <w:rPr>
                <w:rFonts w:eastAsia="宋体"/>
                <w:color w:val="auto"/>
                <w:szCs w:val="21"/>
              </w:rPr>
            </w:pPr>
          </w:p>
        </w:tc>
        <w:tc>
          <w:tcPr>
            <w:tcW w:w="840" w:type="dxa"/>
            <w:vMerge w:val="continue"/>
            <w:vAlign w:val="center"/>
          </w:tcPr>
          <w:p>
            <w:pPr>
              <w:pStyle w:val="63"/>
              <w:rPr>
                <w:rFonts w:eastAsia="宋体"/>
                <w:color w:val="auto"/>
                <w:szCs w:val="21"/>
              </w:rPr>
            </w:pPr>
          </w:p>
        </w:tc>
        <w:tc>
          <w:tcPr>
            <w:tcW w:w="1221" w:type="dxa"/>
            <w:vAlign w:val="center"/>
          </w:tcPr>
          <w:p>
            <w:pPr>
              <w:widowControl/>
              <w:jc w:val="center"/>
              <w:textAlignment w:val="center"/>
              <w:rPr>
                <w:color w:val="auto"/>
                <w:szCs w:val="21"/>
              </w:rPr>
            </w:pPr>
            <w:r>
              <w:rPr>
                <w:color w:val="auto"/>
                <w:kern w:val="0"/>
                <w:szCs w:val="21"/>
                <w:lang w:bidi="ar"/>
              </w:rPr>
              <w:t>铬酸雾</w:t>
            </w:r>
          </w:p>
        </w:tc>
        <w:tc>
          <w:tcPr>
            <w:tcW w:w="1329" w:type="dxa"/>
            <w:vAlign w:val="center"/>
          </w:tcPr>
          <w:p>
            <w:pPr>
              <w:widowControl/>
              <w:jc w:val="center"/>
              <w:textAlignment w:val="center"/>
              <w:rPr>
                <w:color w:val="auto"/>
                <w:szCs w:val="21"/>
              </w:rPr>
            </w:pPr>
            <w:r>
              <w:rPr>
                <w:color w:val="auto"/>
                <w:kern w:val="0"/>
                <w:szCs w:val="21"/>
                <w:lang w:bidi="ar"/>
              </w:rPr>
              <w:t xml:space="preserve">0.000005 </w:t>
            </w:r>
          </w:p>
        </w:tc>
        <w:tc>
          <w:tcPr>
            <w:tcW w:w="1329" w:type="dxa"/>
            <w:vAlign w:val="center"/>
          </w:tcPr>
          <w:p>
            <w:pPr>
              <w:widowControl/>
              <w:jc w:val="center"/>
              <w:textAlignment w:val="center"/>
              <w:rPr>
                <w:color w:val="auto"/>
                <w:kern w:val="0"/>
                <w:szCs w:val="21"/>
                <w:lang w:bidi="ar"/>
              </w:rPr>
            </w:pPr>
            <w:r>
              <w:rPr>
                <w:color w:val="auto"/>
                <w:kern w:val="0"/>
                <w:szCs w:val="21"/>
                <w:lang w:bidi="ar"/>
              </w:rPr>
              <w:t>0.00005</w:t>
            </w:r>
          </w:p>
        </w:tc>
        <w:tc>
          <w:tcPr>
            <w:tcW w:w="1329" w:type="dxa"/>
            <w:vAlign w:val="center"/>
          </w:tcPr>
          <w:p>
            <w:pPr>
              <w:widowControl/>
              <w:jc w:val="center"/>
              <w:textAlignment w:val="center"/>
              <w:rPr>
                <w:color w:val="auto"/>
                <w:kern w:val="0"/>
                <w:szCs w:val="21"/>
                <w:lang w:bidi="ar"/>
              </w:rPr>
            </w:pPr>
            <w:r>
              <w:rPr>
                <w:color w:val="auto"/>
                <w:kern w:val="0"/>
                <w:szCs w:val="21"/>
                <w:lang w:bidi="ar"/>
              </w:rPr>
              <w:t xml:space="preserve">0.000013 </w:t>
            </w:r>
          </w:p>
        </w:tc>
        <w:tc>
          <w:tcPr>
            <w:tcW w:w="1312" w:type="dxa"/>
            <w:vMerge w:val="continue"/>
            <w:vAlign w:val="center"/>
          </w:tcPr>
          <w:p>
            <w:pPr>
              <w:pStyle w:val="63"/>
              <w:rPr>
                <w:rFonts w:eastAsia="宋体"/>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76" w:type="dxa"/>
            <w:vMerge w:val="continue"/>
            <w:vAlign w:val="center"/>
          </w:tcPr>
          <w:p>
            <w:pPr>
              <w:pStyle w:val="63"/>
              <w:rPr>
                <w:rFonts w:eastAsia="宋体"/>
                <w:color w:val="auto"/>
                <w:szCs w:val="21"/>
              </w:rPr>
            </w:pPr>
          </w:p>
        </w:tc>
        <w:tc>
          <w:tcPr>
            <w:tcW w:w="750" w:type="dxa"/>
            <w:vMerge w:val="continue"/>
            <w:vAlign w:val="center"/>
          </w:tcPr>
          <w:p>
            <w:pPr>
              <w:pStyle w:val="63"/>
              <w:rPr>
                <w:rFonts w:eastAsia="宋体"/>
                <w:color w:val="auto"/>
                <w:szCs w:val="21"/>
              </w:rPr>
            </w:pPr>
          </w:p>
        </w:tc>
        <w:tc>
          <w:tcPr>
            <w:tcW w:w="840" w:type="dxa"/>
            <w:vMerge w:val="continue"/>
            <w:vAlign w:val="center"/>
          </w:tcPr>
          <w:p>
            <w:pPr>
              <w:pStyle w:val="63"/>
              <w:rPr>
                <w:rFonts w:eastAsia="宋体"/>
                <w:color w:val="auto"/>
                <w:szCs w:val="21"/>
              </w:rPr>
            </w:pPr>
          </w:p>
        </w:tc>
        <w:tc>
          <w:tcPr>
            <w:tcW w:w="1221" w:type="dxa"/>
            <w:vAlign w:val="center"/>
          </w:tcPr>
          <w:p>
            <w:pPr>
              <w:widowControl/>
              <w:jc w:val="center"/>
              <w:textAlignment w:val="center"/>
              <w:rPr>
                <w:color w:val="auto"/>
                <w:szCs w:val="21"/>
              </w:rPr>
            </w:pPr>
            <w:r>
              <w:rPr>
                <w:color w:val="auto"/>
                <w:kern w:val="0"/>
                <w:szCs w:val="21"/>
                <w:lang w:bidi="ar"/>
              </w:rPr>
              <w:t>氰化氢</w:t>
            </w:r>
          </w:p>
        </w:tc>
        <w:tc>
          <w:tcPr>
            <w:tcW w:w="1329" w:type="dxa"/>
            <w:vAlign w:val="center"/>
          </w:tcPr>
          <w:p>
            <w:pPr>
              <w:widowControl/>
              <w:jc w:val="center"/>
              <w:textAlignment w:val="center"/>
              <w:rPr>
                <w:color w:val="auto"/>
                <w:szCs w:val="21"/>
              </w:rPr>
            </w:pPr>
            <w:r>
              <w:rPr>
                <w:color w:val="auto"/>
                <w:kern w:val="0"/>
                <w:szCs w:val="21"/>
                <w:lang w:bidi="ar"/>
              </w:rPr>
              <w:t xml:space="preserve">0.000018 </w:t>
            </w:r>
          </w:p>
        </w:tc>
        <w:tc>
          <w:tcPr>
            <w:tcW w:w="1329" w:type="dxa"/>
            <w:vAlign w:val="center"/>
          </w:tcPr>
          <w:p>
            <w:pPr>
              <w:widowControl/>
              <w:jc w:val="center"/>
              <w:textAlignment w:val="center"/>
              <w:rPr>
                <w:color w:val="auto"/>
                <w:kern w:val="0"/>
                <w:szCs w:val="21"/>
                <w:lang w:bidi="ar"/>
              </w:rPr>
            </w:pPr>
            <w:r>
              <w:rPr>
                <w:color w:val="auto"/>
                <w:kern w:val="0"/>
                <w:szCs w:val="21"/>
                <w:lang w:bidi="ar"/>
              </w:rPr>
              <w:t>0.00018</w:t>
            </w:r>
          </w:p>
        </w:tc>
        <w:tc>
          <w:tcPr>
            <w:tcW w:w="1329" w:type="dxa"/>
            <w:vAlign w:val="center"/>
          </w:tcPr>
          <w:p>
            <w:pPr>
              <w:widowControl/>
              <w:jc w:val="center"/>
              <w:textAlignment w:val="center"/>
              <w:rPr>
                <w:color w:val="auto"/>
                <w:kern w:val="0"/>
                <w:szCs w:val="21"/>
                <w:lang w:bidi="ar"/>
              </w:rPr>
            </w:pPr>
            <w:r>
              <w:rPr>
                <w:color w:val="auto"/>
                <w:kern w:val="0"/>
                <w:szCs w:val="21"/>
                <w:lang w:bidi="ar"/>
              </w:rPr>
              <w:t xml:space="preserve">0.000047 </w:t>
            </w:r>
          </w:p>
        </w:tc>
        <w:tc>
          <w:tcPr>
            <w:tcW w:w="1312" w:type="dxa"/>
            <w:vMerge w:val="continue"/>
            <w:vAlign w:val="center"/>
          </w:tcPr>
          <w:p>
            <w:pPr>
              <w:pStyle w:val="63"/>
              <w:rPr>
                <w:rFonts w:eastAsia="宋体"/>
                <w:color w:val="auto"/>
                <w:szCs w:val="21"/>
              </w:rPr>
            </w:pPr>
          </w:p>
        </w:tc>
      </w:tr>
    </w:tbl>
    <w:p>
      <w:pPr>
        <w:adjustRightInd w:val="0"/>
        <w:snapToGrid w:val="0"/>
        <w:spacing w:before="156" w:beforeLines="50" w:line="360" w:lineRule="auto"/>
        <w:outlineLvl w:val="2"/>
        <w:rPr>
          <w:b/>
          <w:color w:val="auto"/>
          <w:sz w:val="24"/>
        </w:rPr>
      </w:pPr>
      <w:r>
        <w:rPr>
          <w:rFonts w:hint="eastAsia"/>
          <w:b/>
          <w:color w:val="auto"/>
          <w:sz w:val="24"/>
        </w:rPr>
        <w:t>3.1.3非正常工况污染源强分析</w:t>
      </w:r>
    </w:p>
    <w:p>
      <w:pPr>
        <w:spacing w:line="360" w:lineRule="auto"/>
        <w:ind w:firstLine="480"/>
        <w:rPr>
          <w:rFonts w:hint="eastAsia"/>
          <w:color w:val="auto"/>
          <w:sz w:val="24"/>
        </w:rPr>
      </w:pPr>
      <w:r>
        <w:rPr>
          <w:rFonts w:hint="eastAsia"/>
          <w:color w:val="auto"/>
        </w:rPr>
        <w:t>本</w:t>
      </w:r>
      <w:r>
        <w:rPr>
          <w:rFonts w:hint="eastAsia"/>
          <w:color w:val="auto"/>
          <w:sz w:val="24"/>
        </w:rPr>
        <w:t>项目非正常工况讨论在</w:t>
      </w:r>
      <w:bookmarkStart w:id="56" w:name="OLE_LINK3"/>
      <w:r>
        <w:rPr>
          <w:rFonts w:hint="eastAsia"/>
          <w:color w:val="auto"/>
          <w:sz w:val="24"/>
        </w:rPr>
        <w:t>环保设施失灵的</w:t>
      </w:r>
      <w:bookmarkEnd w:id="56"/>
      <w:r>
        <w:rPr>
          <w:rFonts w:hint="eastAsia"/>
          <w:color w:val="auto"/>
          <w:sz w:val="24"/>
        </w:rPr>
        <w:t xml:space="preserve">情况下，废气中污染物以直排的方式进入大气中。事故状态下污染物产生情况详见下表3.1-5。 </w:t>
      </w:r>
    </w:p>
    <w:p>
      <w:pPr>
        <w:pStyle w:val="12"/>
        <w:spacing w:before="156" w:beforeLines="50" w:after="0"/>
        <w:jc w:val="center"/>
        <w:rPr>
          <w:b/>
          <w:color w:val="auto"/>
        </w:rPr>
      </w:pPr>
      <w:r>
        <w:rPr>
          <w:rFonts w:hint="eastAsia"/>
          <w:b/>
          <w:color w:val="auto"/>
          <w:lang w:val="en-US" w:eastAsia="zh-CN"/>
        </w:rPr>
        <w:t xml:space="preserve"> </w:t>
      </w:r>
      <w:r>
        <w:rPr>
          <w:rFonts w:hint="eastAsia"/>
          <w:b/>
          <w:color w:val="auto"/>
        </w:rPr>
        <w:t>表3.1-5   大气污染物产排放情况一览表</w:t>
      </w:r>
    </w:p>
    <w:tbl>
      <w:tblPr>
        <w:tblStyle w:val="23"/>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25"/>
        <w:gridCol w:w="1560"/>
        <w:gridCol w:w="1287"/>
        <w:gridCol w:w="1444"/>
        <w:gridCol w:w="1444"/>
        <w:gridCol w:w="1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19" w:type="dxa"/>
            <w:tcBorders>
              <w:tl2br w:val="nil"/>
              <w:tr2bl w:val="nil"/>
            </w:tcBorders>
            <w:vAlign w:val="center"/>
          </w:tcPr>
          <w:p>
            <w:pPr>
              <w:pStyle w:val="12"/>
              <w:jc w:val="center"/>
              <w:rPr>
                <w:color w:val="auto"/>
                <w:sz w:val="21"/>
                <w:szCs w:val="21"/>
              </w:rPr>
            </w:pPr>
            <w:r>
              <w:rPr>
                <w:rFonts w:hint="eastAsia"/>
                <w:color w:val="auto"/>
                <w:sz w:val="21"/>
                <w:szCs w:val="21"/>
              </w:rPr>
              <w:t>污染物</w:t>
            </w:r>
          </w:p>
        </w:tc>
        <w:tc>
          <w:tcPr>
            <w:tcW w:w="1125" w:type="dxa"/>
            <w:tcBorders>
              <w:tl2br w:val="nil"/>
              <w:tr2bl w:val="nil"/>
            </w:tcBorders>
            <w:vAlign w:val="center"/>
          </w:tcPr>
          <w:p>
            <w:pPr>
              <w:pStyle w:val="12"/>
              <w:jc w:val="center"/>
              <w:rPr>
                <w:color w:val="auto"/>
                <w:sz w:val="21"/>
                <w:szCs w:val="21"/>
              </w:rPr>
            </w:pPr>
            <w:r>
              <w:rPr>
                <w:rFonts w:hint="eastAsia"/>
                <w:color w:val="auto"/>
                <w:sz w:val="21"/>
                <w:szCs w:val="21"/>
              </w:rPr>
              <w:t>运行时间h</w:t>
            </w:r>
          </w:p>
        </w:tc>
        <w:tc>
          <w:tcPr>
            <w:tcW w:w="1560" w:type="dxa"/>
            <w:tcBorders>
              <w:tl2br w:val="nil"/>
              <w:tr2bl w:val="nil"/>
            </w:tcBorders>
            <w:vAlign w:val="center"/>
          </w:tcPr>
          <w:p>
            <w:pPr>
              <w:pStyle w:val="12"/>
              <w:jc w:val="center"/>
              <w:rPr>
                <w:color w:val="auto"/>
                <w:sz w:val="21"/>
                <w:szCs w:val="21"/>
              </w:rPr>
            </w:pPr>
            <w:r>
              <w:rPr>
                <w:rFonts w:hint="eastAsia"/>
                <w:color w:val="auto"/>
                <w:sz w:val="21"/>
                <w:szCs w:val="21"/>
              </w:rPr>
              <w:t>产生速率kg/h</w:t>
            </w:r>
          </w:p>
        </w:tc>
        <w:tc>
          <w:tcPr>
            <w:tcW w:w="1287" w:type="dxa"/>
            <w:tcBorders>
              <w:tl2br w:val="nil"/>
              <w:tr2bl w:val="nil"/>
            </w:tcBorders>
            <w:vAlign w:val="center"/>
          </w:tcPr>
          <w:p>
            <w:pPr>
              <w:pStyle w:val="12"/>
              <w:jc w:val="center"/>
              <w:rPr>
                <w:color w:val="auto"/>
                <w:sz w:val="21"/>
                <w:szCs w:val="21"/>
              </w:rPr>
            </w:pPr>
            <w:r>
              <w:rPr>
                <w:rFonts w:hint="eastAsia"/>
                <w:color w:val="auto"/>
                <w:sz w:val="21"/>
                <w:szCs w:val="21"/>
              </w:rPr>
              <w:t>产生量t/a</w:t>
            </w:r>
          </w:p>
        </w:tc>
        <w:tc>
          <w:tcPr>
            <w:tcW w:w="1444" w:type="dxa"/>
            <w:tcBorders>
              <w:tl2br w:val="nil"/>
              <w:tr2bl w:val="nil"/>
            </w:tcBorders>
            <w:vAlign w:val="center"/>
          </w:tcPr>
          <w:p>
            <w:pPr>
              <w:pStyle w:val="12"/>
              <w:jc w:val="center"/>
              <w:rPr>
                <w:color w:val="auto"/>
                <w:sz w:val="21"/>
                <w:szCs w:val="21"/>
              </w:rPr>
            </w:pPr>
            <w:r>
              <w:rPr>
                <w:rFonts w:hint="eastAsia"/>
                <w:color w:val="auto"/>
                <w:sz w:val="21"/>
                <w:szCs w:val="21"/>
              </w:rPr>
              <w:t>处理措施</w:t>
            </w:r>
          </w:p>
        </w:tc>
        <w:tc>
          <w:tcPr>
            <w:tcW w:w="1444" w:type="dxa"/>
            <w:tcBorders>
              <w:tl2br w:val="nil"/>
              <w:tr2bl w:val="nil"/>
            </w:tcBorders>
            <w:vAlign w:val="center"/>
          </w:tcPr>
          <w:p>
            <w:pPr>
              <w:pStyle w:val="12"/>
              <w:jc w:val="center"/>
              <w:rPr>
                <w:color w:val="auto"/>
                <w:sz w:val="21"/>
                <w:szCs w:val="21"/>
              </w:rPr>
            </w:pPr>
            <w:r>
              <w:rPr>
                <w:rFonts w:hint="eastAsia"/>
                <w:color w:val="auto"/>
                <w:sz w:val="21"/>
                <w:szCs w:val="21"/>
              </w:rPr>
              <w:t>排放速率kg/hkg/h</w:t>
            </w:r>
          </w:p>
        </w:tc>
        <w:tc>
          <w:tcPr>
            <w:tcW w:w="1307" w:type="dxa"/>
            <w:tcBorders>
              <w:tl2br w:val="nil"/>
              <w:tr2bl w:val="nil"/>
            </w:tcBorders>
            <w:vAlign w:val="center"/>
          </w:tcPr>
          <w:p>
            <w:pPr>
              <w:pStyle w:val="12"/>
              <w:jc w:val="center"/>
              <w:rPr>
                <w:color w:val="auto"/>
                <w:sz w:val="21"/>
                <w:szCs w:val="21"/>
              </w:rPr>
            </w:pPr>
            <w:r>
              <w:rPr>
                <w:rFonts w:hint="eastAsia"/>
                <w:color w:val="auto"/>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19" w:type="dxa"/>
            <w:tcBorders>
              <w:tl2br w:val="nil"/>
              <w:tr2bl w:val="nil"/>
            </w:tcBorders>
            <w:vAlign w:val="center"/>
          </w:tcPr>
          <w:p>
            <w:pPr>
              <w:pStyle w:val="12"/>
              <w:jc w:val="center"/>
              <w:rPr>
                <w:color w:val="auto"/>
                <w:sz w:val="21"/>
                <w:szCs w:val="21"/>
              </w:rPr>
            </w:pPr>
            <w:r>
              <w:rPr>
                <w:rFonts w:hint="eastAsia"/>
                <w:color w:val="auto"/>
                <w:sz w:val="21"/>
                <w:szCs w:val="21"/>
              </w:rPr>
              <w:t>氯化氢</w:t>
            </w:r>
          </w:p>
        </w:tc>
        <w:tc>
          <w:tcPr>
            <w:tcW w:w="1125"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560" w:type="dxa"/>
            <w:tcBorders>
              <w:tl2br w:val="nil"/>
              <w:tr2bl w:val="nil"/>
            </w:tcBorders>
            <w:vAlign w:val="center"/>
          </w:tcPr>
          <w:p>
            <w:pPr>
              <w:widowControl/>
              <w:jc w:val="center"/>
              <w:textAlignment w:val="center"/>
              <w:rPr>
                <w:color w:val="auto"/>
                <w:szCs w:val="21"/>
              </w:rPr>
            </w:pPr>
            <w:r>
              <w:rPr>
                <w:color w:val="auto"/>
                <w:kern w:val="0"/>
                <w:szCs w:val="21"/>
                <w:lang w:bidi="ar"/>
              </w:rPr>
              <w:t>0.006875</w:t>
            </w:r>
          </w:p>
        </w:tc>
        <w:tc>
          <w:tcPr>
            <w:tcW w:w="128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0.0179 </w:t>
            </w:r>
          </w:p>
        </w:tc>
        <w:tc>
          <w:tcPr>
            <w:tcW w:w="1444" w:type="dxa"/>
            <w:vMerge w:val="restar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无处理</w:t>
            </w:r>
          </w:p>
        </w:tc>
        <w:tc>
          <w:tcPr>
            <w:tcW w:w="1444" w:type="dxa"/>
            <w:tcBorders>
              <w:tl2br w:val="nil"/>
              <w:tr2bl w:val="nil"/>
            </w:tcBorders>
            <w:vAlign w:val="center"/>
          </w:tcPr>
          <w:p>
            <w:pPr>
              <w:widowControl/>
              <w:jc w:val="center"/>
              <w:textAlignment w:val="center"/>
              <w:rPr>
                <w:color w:val="auto"/>
                <w:szCs w:val="21"/>
              </w:rPr>
            </w:pPr>
            <w:r>
              <w:rPr>
                <w:color w:val="auto"/>
                <w:kern w:val="0"/>
                <w:szCs w:val="21"/>
                <w:lang w:bidi="ar"/>
              </w:rPr>
              <w:t>0.006875</w:t>
            </w:r>
          </w:p>
        </w:tc>
        <w:tc>
          <w:tcPr>
            <w:tcW w:w="130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0.0179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19" w:type="dxa"/>
            <w:tcBorders>
              <w:tl2br w:val="nil"/>
              <w:tr2bl w:val="nil"/>
            </w:tcBorders>
            <w:vAlign w:val="center"/>
          </w:tcPr>
          <w:p>
            <w:pPr>
              <w:pStyle w:val="12"/>
              <w:jc w:val="center"/>
              <w:rPr>
                <w:color w:val="auto"/>
                <w:sz w:val="21"/>
                <w:szCs w:val="21"/>
              </w:rPr>
            </w:pPr>
            <w:r>
              <w:rPr>
                <w:rFonts w:hint="eastAsia"/>
                <w:color w:val="auto"/>
                <w:sz w:val="21"/>
                <w:szCs w:val="21"/>
              </w:rPr>
              <w:t>氟化物</w:t>
            </w:r>
          </w:p>
        </w:tc>
        <w:tc>
          <w:tcPr>
            <w:tcW w:w="1125"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560" w:type="dxa"/>
            <w:tcBorders>
              <w:tl2br w:val="nil"/>
              <w:tr2bl w:val="nil"/>
            </w:tcBorders>
            <w:vAlign w:val="center"/>
          </w:tcPr>
          <w:p>
            <w:pPr>
              <w:widowControl/>
              <w:jc w:val="center"/>
              <w:textAlignment w:val="center"/>
              <w:rPr>
                <w:color w:val="auto"/>
                <w:szCs w:val="21"/>
              </w:rPr>
            </w:pPr>
            <w:r>
              <w:rPr>
                <w:color w:val="auto"/>
                <w:kern w:val="0"/>
                <w:szCs w:val="21"/>
                <w:lang w:bidi="ar"/>
              </w:rPr>
              <w:t>0.014775</w:t>
            </w:r>
          </w:p>
        </w:tc>
        <w:tc>
          <w:tcPr>
            <w:tcW w:w="128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0.0384 </w:t>
            </w:r>
          </w:p>
        </w:tc>
        <w:tc>
          <w:tcPr>
            <w:tcW w:w="1444" w:type="dxa"/>
            <w:vMerge w:val="continue"/>
            <w:tcBorders>
              <w:tl2br w:val="nil"/>
              <w:tr2bl w:val="nil"/>
            </w:tcBorders>
            <w:vAlign w:val="center"/>
          </w:tcPr>
          <w:p>
            <w:pPr>
              <w:widowControl/>
              <w:jc w:val="center"/>
              <w:textAlignment w:val="center"/>
              <w:rPr>
                <w:color w:val="auto"/>
                <w:kern w:val="0"/>
                <w:szCs w:val="21"/>
                <w:lang w:bidi="ar"/>
              </w:rPr>
            </w:pPr>
          </w:p>
        </w:tc>
        <w:tc>
          <w:tcPr>
            <w:tcW w:w="1444" w:type="dxa"/>
            <w:tcBorders>
              <w:tl2br w:val="nil"/>
              <w:tr2bl w:val="nil"/>
            </w:tcBorders>
            <w:vAlign w:val="center"/>
          </w:tcPr>
          <w:p>
            <w:pPr>
              <w:widowControl/>
              <w:jc w:val="center"/>
              <w:textAlignment w:val="center"/>
              <w:rPr>
                <w:color w:val="auto"/>
                <w:szCs w:val="21"/>
              </w:rPr>
            </w:pPr>
            <w:r>
              <w:rPr>
                <w:color w:val="auto"/>
                <w:kern w:val="0"/>
                <w:szCs w:val="21"/>
                <w:lang w:bidi="ar"/>
              </w:rPr>
              <w:t>0.014775</w:t>
            </w:r>
          </w:p>
        </w:tc>
        <w:tc>
          <w:tcPr>
            <w:tcW w:w="130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0.0384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19" w:type="dxa"/>
            <w:tcBorders>
              <w:tl2br w:val="nil"/>
              <w:tr2bl w:val="nil"/>
            </w:tcBorders>
            <w:vAlign w:val="center"/>
          </w:tcPr>
          <w:p>
            <w:pPr>
              <w:pStyle w:val="12"/>
              <w:jc w:val="center"/>
              <w:rPr>
                <w:color w:val="auto"/>
                <w:sz w:val="21"/>
                <w:szCs w:val="21"/>
              </w:rPr>
            </w:pPr>
            <w:r>
              <w:rPr>
                <w:rFonts w:hint="eastAsia"/>
                <w:color w:val="auto"/>
                <w:sz w:val="21"/>
                <w:szCs w:val="21"/>
              </w:rPr>
              <w:t>铬酸雾</w:t>
            </w:r>
          </w:p>
        </w:tc>
        <w:tc>
          <w:tcPr>
            <w:tcW w:w="1125"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560" w:type="dxa"/>
            <w:tcBorders>
              <w:tl2br w:val="nil"/>
              <w:tr2bl w:val="nil"/>
            </w:tcBorders>
            <w:vAlign w:val="center"/>
          </w:tcPr>
          <w:p>
            <w:pPr>
              <w:widowControl/>
              <w:jc w:val="center"/>
              <w:textAlignment w:val="center"/>
              <w:rPr>
                <w:color w:val="auto"/>
                <w:szCs w:val="21"/>
              </w:rPr>
            </w:pPr>
            <w:r>
              <w:rPr>
                <w:color w:val="auto"/>
                <w:kern w:val="0"/>
                <w:szCs w:val="21"/>
                <w:lang w:bidi="ar"/>
              </w:rPr>
              <w:t>0.000099</w:t>
            </w:r>
          </w:p>
        </w:tc>
        <w:tc>
          <w:tcPr>
            <w:tcW w:w="128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0.000257 </w:t>
            </w:r>
          </w:p>
        </w:tc>
        <w:tc>
          <w:tcPr>
            <w:tcW w:w="1444" w:type="dxa"/>
            <w:vMerge w:val="continue"/>
            <w:tcBorders>
              <w:tl2br w:val="nil"/>
              <w:tr2bl w:val="nil"/>
            </w:tcBorders>
            <w:vAlign w:val="center"/>
          </w:tcPr>
          <w:p>
            <w:pPr>
              <w:widowControl/>
              <w:jc w:val="center"/>
              <w:textAlignment w:val="center"/>
              <w:rPr>
                <w:color w:val="auto"/>
                <w:kern w:val="0"/>
                <w:szCs w:val="21"/>
                <w:lang w:bidi="ar"/>
              </w:rPr>
            </w:pPr>
          </w:p>
        </w:tc>
        <w:tc>
          <w:tcPr>
            <w:tcW w:w="1444" w:type="dxa"/>
            <w:tcBorders>
              <w:tl2br w:val="nil"/>
              <w:tr2bl w:val="nil"/>
            </w:tcBorders>
            <w:vAlign w:val="center"/>
          </w:tcPr>
          <w:p>
            <w:pPr>
              <w:widowControl/>
              <w:jc w:val="center"/>
              <w:textAlignment w:val="center"/>
              <w:rPr>
                <w:color w:val="auto"/>
                <w:szCs w:val="21"/>
              </w:rPr>
            </w:pPr>
            <w:r>
              <w:rPr>
                <w:color w:val="auto"/>
                <w:kern w:val="0"/>
                <w:szCs w:val="21"/>
                <w:lang w:bidi="ar"/>
              </w:rPr>
              <w:t>0.000099</w:t>
            </w:r>
          </w:p>
        </w:tc>
        <w:tc>
          <w:tcPr>
            <w:tcW w:w="130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0.000257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19" w:type="dxa"/>
            <w:tcBorders>
              <w:tl2br w:val="nil"/>
              <w:tr2bl w:val="nil"/>
            </w:tcBorders>
            <w:vAlign w:val="center"/>
          </w:tcPr>
          <w:p>
            <w:pPr>
              <w:pStyle w:val="12"/>
              <w:jc w:val="center"/>
              <w:rPr>
                <w:color w:val="auto"/>
                <w:sz w:val="21"/>
                <w:szCs w:val="21"/>
              </w:rPr>
            </w:pPr>
            <w:r>
              <w:rPr>
                <w:rFonts w:hint="eastAsia"/>
                <w:color w:val="auto"/>
                <w:sz w:val="21"/>
                <w:szCs w:val="21"/>
              </w:rPr>
              <w:t>硫酸雾</w:t>
            </w:r>
          </w:p>
        </w:tc>
        <w:tc>
          <w:tcPr>
            <w:tcW w:w="1125"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560"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0.000003 </w:t>
            </w:r>
          </w:p>
        </w:tc>
        <w:tc>
          <w:tcPr>
            <w:tcW w:w="1287" w:type="dxa"/>
            <w:tcBorders>
              <w:tl2br w:val="nil"/>
              <w:tr2bl w:val="nil"/>
            </w:tcBorders>
            <w:vAlign w:val="center"/>
          </w:tcPr>
          <w:p>
            <w:pPr>
              <w:widowControl/>
              <w:jc w:val="center"/>
              <w:textAlignment w:val="center"/>
              <w:rPr>
                <w:color w:val="auto"/>
                <w:szCs w:val="21"/>
              </w:rPr>
            </w:pPr>
            <w:r>
              <w:rPr>
                <w:color w:val="auto"/>
                <w:kern w:val="0"/>
                <w:szCs w:val="21"/>
                <w:lang w:bidi="ar"/>
              </w:rPr>
              <w:t>0.00000754</w:t>
            </w:r>
          </w:p>
        </w:tc>
        <w:tc>
          <w:tcPr>
            <w:tcW w:w="1444" w:type="dxa"/>
            <w:vMerge w:val="continue"/>
            <w:tcBorders>
              <w:tl2br w:val="nil"/>
              <w:tr2bl w:val="nil"/>
            </w:tcBorders>
            <w:vAlign w:val="center"/>
          </w:tcPr>
          <w:p>
            <w:pPr>
              <w:widowControl/>
              <w:jc w:val="center"/>
              <w:textAlignment w:val="center"/>
              <w:rPr>
                <w:color w:val="auto"/>
                <w:kern w:val="0"/>
                <w:szCs w:val="21"/>
                <w:lang w:bidi="ar"/>
              </w:rPr>
            </w:pPr>
          </w:p>
        </w:tc>
        <w:tc>
          <w:tcPr>
            <w:tcW w:w="1444"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0.000003 </w:t>
            </w:r>
          </w:p>
        </w:tc>
        <w:tc>
          <w:tcPr>
            <w:tcW w:w="1307" w:type="dxa"/>
            <w:tcBorders>
              <w:tl2br w:val="nil"/>
              <w:tr2bl w:val="nil"/>
            </w:tcBorders>
            <w:vAlign w:val="center"/>
          </w:tcPr>
          <w:p>
            <w:pPr>
              <w:widowControl/>
              <w:jc w:val="center"/>
              <w:textAlignment w:val="center"/>
              <w:rPr>
                <w:color w:val="auto"/>
                <w:szCs w:val="21"/>
              </w:rPr>
            </w:pPr>
            <w:r>
              <w:rPr>
                <w:color w:val="auto"/>
                <w:kern w:val="0"/>
                <w:szCs w:val="21"/>
                <w:lang w:bidi="ar"/>
              </w:rPr>
              <w:t>0.00000754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19" w:type="dxa"/>
            <w:tcBorders>
              <w:tl2br w:val="nil"/>
              <w:tr2bl w:val="nil"/>
            </w:tcBorders>
            <w:vAlign w:val="center"/>
          </w:tcPr>
          <w:p>
            <w:pPr>
              <w:pStyle w:val="12"/>
              <w:jc w:val="center"/>
              <w:rPr>
                <w:color w:val="auto"/>
                <w:sz w:val="21"/>
                <w:szCs w:val="21"/>
              </w:rPr>
            </w:pPr>
            <w:r>
              <w:rPr>
                <w:rFonts w:hint="eastAsia"/>
                <w:color w:val="auto"/>
                <w:sz w:val="21"/>
                <w:szCs w:val="21"/>
              </w:rPr>
              <w:t>氰化氢</w:t>
            </w:r>
          </w:p>
        </w:tc>
        <w:tc>
          <w:tcPr>
            <w:tcW w:w="1125" w:type="dxa"/>
            <w:tcBorders>
              <w:tl2br w:val="nil"/>
              <w:tr2bl w:val="nil"/>
            </w:tcBorders>
            <w:vAlign w:val="center"/>
          </w:tcPr>
          <w:p>
            <w:pPr>
              <w:pStyle w:val="12"/>
              <w:jc w:val="center"/>
              <w:rPr>
                <w:color w:val="auto"/>
                <w:sz w:val="21"/>
                <w:szCs w:val="21"/>
              </w:rPr>
            </w:pPr>
            <w:r>
              <w:rPr>
                <w:rFonts w:hint="eastAsia"/>
                <w:color w:val="auto"/>
                <w:sz w:val="21"/>
                <w:szCs w:val="21"/>
              </w:rPr>
              <w:t>2600</w:t>
            </w:r>
          </w:p>
        </w:tc>
        <w:tc>
          <w:tcPr>
            <w:tcW w:w="1560"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0.000109 </w:t>
            </w:r>
          </w:p>
        </w:tc>
        <w:tc>
          <w:tcPr>
            <w:tcW w:w="128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0.00028 </w:t>
            </w:r>
          </w:p>
        </w:tc>
        <w:tc>
          <w:tcPr>
            <w:tcW w:w="1444" w:type="dxa"/>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无处理</w:t>
            </w:r>
          </w:p>
        </w:tc>
        <w:tc>
          <w:tcPr>
            <w:tcW w:w="1444"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0.000109 </w:t>
            </w:r>
          </w:p>
        </w:tc>
        <w:tc>
          <w:tcPr>
            <w:tcW w:w="1307" w:type="dxa"/>
            <w:tcBorders>
              <w:tl2br w:val="nil"/>
              <w:tr2bl w:val="nil"/>
            </w:tcBorders>
            <w:vAlign w:val="center"/>
          </w:tcPr>
          <w:p>
            <w:pPr>
              <w:widowControl/>
              <w:jc w:val="center"/>
              <w:textAlignment w:val="center"/>
              <w:rPr>
                <w:color w:val="auto"/>
                <w:szCs w:val="21"/>
              </w:rPr>
            </w:pPr>
            <w:r>
              <w:rPr>
                <w:color w:val="auto"/>
                <w:kern w:val="0"/>
                <w:szCs w:val="21"/>
                <w:lang w:bidi="ar"/>
              </w:rPr>
              <w:t xml:space="preserve">0.00028 </w:t>
            </w:r>
          </w:p>
        </w:tc>
      </w:tr>
    </w:tbl>
    <w:p>
      <w:pPr>
        <w:pStyle w:val="5"/>
        <w:numPr>
          <w:ilvl w:val="1"/>
          <w:numId w:val="0"/>
        </w:numPr>
        <w:spacing w:before="156"/>
        <w:rPr>
          <w:bCs w:val="0"/>
          <w:color w:val="auto"/>
          <w:sz w:val="28"/>
          <w:szCs w:val="28"/>
          <w:highlight w:val="none"/>
        </w:rPr>
      </w:pPr>
      <w:r>
        <w:rPr>
          <w:rFonts w:hint="eastAsia"/>
          <w:bCs w:val="0"/>
          <w:color w:val="auto"/>
          <w:sz w:val="28"/>
          <w:szCs w:val="28"/>
          <w:highlight w:val="none"/>
        </w:rPr>
        <w:t>3.2大气污染物排放量核算</w:t>
      </w:r>
    </w:p>
    <w:p>
      <w:pPr>
        <w:adjustRightInd w:val="0"/>
        <w:snapToGrid w:val="0"/>
        <w:spacing w:line="360" w:lineRule="auto"/>
        <w:ind w:firstLine="480" w:firstLineChars="200"/>
        <w:rPr>
          <w:color w:val="auto"/>
          <w:sz w:val="24"/>
          <w:highlight w:val="none"/>
        </w:rPr>
      </w:pPr>
      <w:r>
        <w:rPr>
          <w:rFonts w:hint="eastAsia"/>
          <w:color w:val="auto"/>
          <w:sz w:val="24"/>
          <w:highlight w:val="none"/>
        </w:rPr>
        <w:t>根据前文分析可知，本项目大气环境影响评价等级为二级，因此，只对污染物排放量进行核算。</w:t>
      </w:r>
    </w:p>
    <w:p>
      <w:pPr>
        <w:adjustRightInd w:val="0"/>
        <w:snapToGrid w:val="0"/>
        <w:spacing w:line="360" w:lineRule="auto"/>
        <w:outlineLvl w:val="2"/>
        <w:rPr>
          <w:b/>
          <w:color w:val="auto"/>
          <w:sz w:val="24"/>
          <w:highlight w:val="none"/>
        </w:rPr>
      </w:pPr>
      <w:r>
        <w:rPr>
          <w:rFonts w:hint="eastAsia"/>
          <w:b/>
          <w:color w:val="auto"/>
          <w:sz w:val="24"/>
          <w:highlight w:val="none"/>
        </w:rPr>
        <w:t>3.2.1有组织排放量核算</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本项目有组织大气污染物排放量核算情况如下：</w:t>
      </w:r>
    </w:p>
    <w:p>
      <w:pPr>
        <w:pStyle w:val="40"/>
        <w:spacing w:before="156" w:after="156"/>
        <w:rPr>
          <w:color w:val="auto"/>
          <w:highlight w:val="none"/>
        </w:rPr>
      </w:pPr>
      <w:r>
        <w:rPr>
          <w:rFonts w:hint="eastAsia"/>
          <w:color w:val="auto"/>
          <w:highlight w:val="none"/>
        </w:rPr>
        <w:t>表3.2-1 有组织排放量核算一览表</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95"/>
        <w:gridCol w:w="900"/>
        <w:gridCol w:w="2291"/>
        <w:gridCol w:w="2087"/>
        <w:gridCol w:w="2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82" w:type="dxa"/>
            <w:vAlign w:val="center"/>
          </w:tcPr>
          <w:p>
            <w:pPr>
              <w:pStyle w:val="41"/>
              <w:rPr>
                <w:color w:val="auto"/>
                <w:highlight w:val="none"/>
              </w:rPr>
            </w:pPr>
            <w:r>
              <w:rPr>
                <w:rFonts w:hint="eastAsia"/>
                <w:color w:val="auto"/>
                <w:highlight w:val="none"/>
              </w:rPr>
              <w:t>序号</w:t>
            </w:r>
          </w:p>
        </w:tc>
        <w:tc>
          <w:tcPr>
            <w:tcW w:w="1295" w:type="dxa"/>
            <w:vAlign w:val="center"/>
          </w:tcPr>
          <w:p>
            <w:pPr>
              <w:pStyle w:val="41"/>
              <w:rPr>
                <w:color w:val="auto"/>
                <w:highlight w:val="none"/>
              </w:rPr>
            </w:pPr>
            <w:r>
              <w:rPr>
                <w:rFonts w:hint="eastAsia"/>
                <w:color w:val="auto"/>
                <w:highlight w:val="none"/>
              </w:rPr>
              <w:t>排放口编号</w:t>
            </w:r>
          </w:p>
        </w:tc>
        <w:tc>
          <w:tcPr>
            <w:tcW w:w="900" w:type="dxa"/>
            <w:vAlign w:val="center"/>
          </w:tcPr>
          <w:p>
            <w:pPr>
              <w:pStyle w:val="41"/>
              <w:rPr>
                <w:color w:val="auto"/>
                <w:highlight w:val="none"/>
              </w:rPr>
            </w:pPr>
            <w:r>
              <w:rPr>
                <w:rFonts w:hint="eastAsia"/>
                <w:color w:val="auto"/>
                <w:highlight w:val="none"/>
              </w:rPr>
              <w:t>污染物</w:t>
            </w:r>
          </w:p>
        </w:tc>
        <w:tc>
          <w:tcPr>
            <w:tcW w:w="2291" w:type="dxa"/>
            <w:vAlign w:val="center"/>
          </w:tcPr>
          <w:p>
            <w:pPr>
              <w:pStyle w:val="41"/>
              <w:rPr>
                <w:color w:val="auto"/>
                <w:highlight w:val="none"/>
              </w:rPr>
            </w:pPr>
            <w:r>
              <w:rPr>
                <w:rFonts w:hint="eastAsia"/>
                <w:color w:val="auto"/>
                <w:highlight w:val="none"/>
              </w:rPr>
              <w:t>核算排放浓度(mg/m</w:t>
            </w:r>
            <w:r>
              <w:rPr>
                <w:rFonts w:hint="eastAsia"/>
                <w:color w:val="auto"/>
                <w:highlight w:val="none"/>
                <w:vertAlign w:val="superscript"/>
              </w:rPr>
              <w:t>3</w:t>
            </w:r>
            <w:r>
              <w:rPr>
                <w:rFonts w:hint="eastAsia"/>
                <w:color w:val="auto"/>
                <w:highlight w:val="none"/>
              </w:rPr>
              <w:t>)</w:t>
            </w:r>
          </w:p>
        </w:tc>
        <w:tc>
          <w:tcPr>
            <w:tcW w:w="2087" w:type="dxa"/>
            <w:vAlign w:val="center"/>
          </w:tcPr>
          <w:p>
            <w:pPr>
              <w:pStyle w:val="41"/>
              <w:rPr>
                <w:color w:val="auto"/>
                <w:highlight w:val="none"/>
              </w:rPr>
            </w:pPr>
            <w:r>
              <w:rPr>
                <w:rFonts w:hint="eastAsia"/>
                <w:color w:val="auto"/>
                <w:highlight w:val="none"/>
              </w:rPr>
              <w:t>核算排放速率(kg/h)</w:t>
            </w:r>
          </w:p>
        </w:tc>
        <w:tc>
          <w:tcPr>
            <w:tcW w:w="2031" w:type="dxa"/>
            <w:vAlign w:val="center"/>
          </w:tcPr>
          <w:p>
            <w:pPr>
              <w:pStyle w:val="41"/>
              <w:rPr>
                <w:color w:val="auto"/>
                <w:highlight w:val="none"/>
              </w:rPr>
            </w:pPr>
            <w:r>
              <w:rPr>
                <w:rFonts w:hint="eastAsia"/>
                <w:color w:val="auto"/>
                <w:highlight w:val="none"/>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pStyle w:val="41"/>
              <w:rPr>
                <w:color w:val="auto"/>
                <w:highlight w:val="none"/>
              </w:rPr>
            </w:pPr>
            <w:r>
              <w:rPr>
                <w:rFonts w:hint="eastAsia"/>
                <w:color w:val="auto"/>
                <w:highlight w:val="none"/>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2" w:type="dxa"/>
            <w:vMerge w:val="restart"/>
            <w:vAlign w:val="center"/>
          </w:tcPr>
          <w:p>
            <w:pPr>
              <w:pStyle w:val="41"/>
              <w:rPr>
                <w:rFonts w:hint="eastAsia" w:eastAsia="宋体"/>
                <w:color w:val="auto"/>
                <w:highlight w:val="none"/>
                <w:lang w:val="en-US" w:eastAsia="zh-CN"/>
              </w:rPr>
            </w:pPr>
            <w:r>
              <w:rPr>
                <w:rFonts w:hint="eastAsia"/>
                <w:color w:val="auto"/>
                <w:highlight w:val="none"/>
                <w:lang w:val="en-US" w:eastAsia="zh-CN"/>
              </w:rPr>
              <w:t>1</w:t>
            </w:r>
          </w:p>
        </w:tc>
        <w:tc>
          <w:tcPr>
            <w:tcW w:w="1295" w:type="dxa"/>
            <w:vMerge w:val="restart"/>
            <w:vAlign w:val="center"/>
          </w:tcPr>
          <w:p>
            <w:pPr>
              <w:jc w:val="center"/>
              <w:rPr>
                <w:color w:val="auto"/>
                <w:highlight w:val="none"/>
              </w:rPr>
            </w:pPr>
            <w:r>
              <w:rPr>
                <w:color w:val="auto"/>
                <w:szCs w:val="21"/>
                <w:highlight w:val="none"/>
              </w:rPr>
              <w:t>排气筒1#</w:t>
            </w:r>
          </w:p>
        </w:tc>
        <w:tc>
          <w:tcPr>
            <w:tcW w:w="900" w:type="dxa"/>
            <w:vAlign w:val="center"/>
          </w:tcPr>
          <w:p>
            <w:pPr>
              <w:jc w:val="center"/>
              <w:rPr>
                <w:color w:val="auto"/>
                <w:highlight w:val="none"/>
              </w:rPr>
            </w:pPr>
            <w:r>
              <w:rPr>
                <w:color w:val="auto"/>
                <w:szCs w:val="21"/>
                <w:highlight w:val="none"/>
              </w:rPr>
              <w:t>硫酸雾</w:t>
            </w:r>
          </w:p>
        </w:tc>
        <w:tc>
          <w:tcPr>
            <w:tcW w:w="2291" w:type="dxa"/>
            <w:vAlign w:val="center"/>
          </w:tcPr>
          <w:p>
            <w:pPr>
              <w:widowControl/>
              <w:jc w:val="center"/>
              <w:textAlignment w:val="center"/>
              <w:rPr>
                <w:color w:val="auto"/>
                <w:highlight w:val="none"/>
              </w:rPr>
            </w:pPr>
            <w:r>
              <w:rPr>
                <w:rFonts w:hint="eastAsia"/>
                <w:color w:val="auto"/>
                <w:kern w:val="0"/>
                <w:sz w:val="18"/>
                <w:szCs w:val="18"/>
                <w:highlight w:val="none"/>
                <w:lang w:bidi="ar"/>
              </w:rPr>
              <w:t>1.29</w:t>
            </w:r>
          </w:p>
        </w:tc>
        <w:tc>
          <w:tcPr>
            <w:tcW w:w="2087" w:type="dxa"/>
            <w:vAlign w:val="center"/>
          </w:tcPr>
          <w:p>
            <w:pPr>
              <w:widowControl/>
              <w:jc w:val="center"/>
              <w:textAlignment w:val="center"/>
              <w:rPr>
                <w:color w:val="auto"/>
                <w:highlight w:val="none"/>
              </w:rPr>
            </w:pPr>
            <w:r>
              <w:rPr>
                <w:color w:val="auto"/>
                <w:kern w:val="0"/>
                <w:sz w:val="18"/>
                <w:szCs w:val="18"/>
                <w:highlight w:val="none"/>
                <w:lang w:bidi="ar"/>
              </w:rPr>
              <w:t xml:space="preserve">0.0000024 </w:t>
            </w:r>
          </w:p>
        </w:tc>
        <w:tc>
          <w:tcPr>
            <w:tcW w:w="2031" w:type="dxa"/>
            <w:vAlign w:val="center"/>
          </w:tcPr>
          <w:p>
            <w:pPr>
              <w:widowControl/>
              <w:jc w:val="center"/>
              <w:textAlignment w:val="center"/>
              <w:rPr>
                <w:color w:val="auto"/>
                <w:highlight w:val="none"/>
              </w:rPr>
            </w:pPr>
            <w:r>
              <w:rPr>
                <w:color w:val="auto"/>
                <w:kern w:val="0"/>
                <w:sz w:val="18"/>
                <w:szCs w:val="18"/>
                <w:highlight w:val="none"/>
                <w:lang w:bidi="ar"/>
              </w:rPr>
              <w:t xml:space="preserve">0.00000632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2" w:type="dxa"/>
            <w:vMerge w:val="continue"/>
            <w:vAlign w:val="center"/>
          </w:tcPr>
          <w:p>
            <w:pPr>
              <w:pStyle w:val="41"/>
              <w:rPr>
                <w:rFonts w:hint="eastAsia"/>
                <w:color w:val="auto"/>
                <w:highlight w:val="none"/>
              </w:rPr>
            </w:pPr>
          </w:p>
        </w:tc>
        <w:tc>
          <w:tcPr>
            <w:tcW w:w="1295" w:type="dxa"/>
            <w:vMerge w:val="continue"/>
            <w:vAlign w:val="center"/>
          </w:tcPr>
          <w:p>
            <w:pPr>
              <w:widowControl/>
              <w:jc w:val="center"/>
              <w:rPr>
                <w:rFonts w:hint="eastAsia"/>
                <w:color w:val="auto"/>
                <w:highlight w:val="none"/>
              </w:rPr>
            </w:pPr>
          </w:p>
        </w:tc>
        <w:tc>
          <w:tcPr>
            <w:tcW w:w="900" w:type="dxa"/>
            <w:vAlign w:val="center"/>
          </w:tcPr>
          <w:p>
            <w:pPr>
              <w:pStyle w:val="33"/>
              <w:spacing w:line="240" w:lineRule="auto"/>
              <w:rPr>
                <w:rFonts w:hint="eastAsia"/>
                <w:color w:val="auto"/>
                <w:highlight w:val="none"/>
              </w:rPr>
            </w:pPr>
            <w:r>
              <w:rPr>
                <w:rFonts w:hint="eastAsia" w:ascii="Times New Roman" w:hAnsi="Times New Roman" w:cs="Times New Roman"/>
                <w:color w:val="auto"/>
                <w:spacing w:val="-10"/>
                <w:sz w:val="21"/>
                <w:szCs w:val="21"/>
                <w:highlight w:val="none"/>
              </w:rPr>
              <w:t>氯化氢</w:t>
            </w:r>
          </w:p>
        </w:tc>
        <w:tc>
          <w:tcPr>
            <w:tcW w:w="2291" w:type="dxa"/>
            <w:vAlign w:val="center"/>
          </w:tcPr>
          <w:p>
            <w:pPr>
              <w:widowControl/>
              <w:jc w:val="center"/>
              <w:textAlignment w:val="center"/>
              <w:rPr>
                <w:rFonts w:hint="eastAsia"/>
                <w:color w:val="auto"/>
                <w:highlight w:val="none"/>
              </w:rPr>
            </w:pPr>
            <w:r>
              <w:rPr>
                <w:rFonts w:hint="eastAsia"/>
                <w:color w:val="auto"/>
                <w:kern w:val="0"/>
                <w:sz w:val="18"/>
                <w:szCs w:val="18"/>
                <w:highlight w:val="none"/>
                <w:lang w:bidi="ar"/>
              </w:rPr>
              <w:t>0.9</w:t>
            </w:r>
          </w:p>
        </w:tc>
        <w:tc>
          <w:tcPr>
            <w:tcW w:w="2087" w:type="dxa"/>
            <w:vAlign w:val="center"/>
          </w:tcPr>
          <w:p>
            <w:pPr>
              <w:widowControl/>
              <w:jc w:val="center"/>
              <w:textAlignment w:val="center"/>
              <w:rPr>
                <w:rFonts w:hint="eastAsia"/>
                <w:color w:val="auto"/>
                <w:highlight w:val="none"/>
              </w:rPr>
            </w:pPr>
            <w:r>
              <w:rPr>
                <w:color w:val="auto"/>
                <w:kern w:val="0"/>
                <w:sz w:val="18"/>
                <w:szCs w:val="18"/>
                <w:highlight w:val="none"/>
                <w:lang w:bidi="ar"/>
              </w:rPr>
              <w:t>0.006</w:t>
            </w:r>
          </w:p>
        </w:tc>
        <w:tc>
          <w:tcPr>
            <w:tcW w:w="2031" w:type="dxa"/>
            <w:vAlign w:val="center"/>
          </w:tcPr>
          <w:p>
            <w:pPr>
              <w:widowControl/>
              <w:jc w:val="center"/>
              <w:textAlignment w:val="center"/>
              <w:rPr>
                <w:rFonts w:hint="eastAsia"/>
                <w:color w:val="auto"/>
                <w:highlight w:val="none"/>
              </w:rPr>
            </w:pPr>
            <w:r>
              <w:rPr>
                <w:color w:val="auto"/>
                <w:kern w:val="0"/>
                <w:sz w:val="18"/>
                <w:szCs w:val="18"/>
                <w:highlight w:val="none"/>
                <w:lang w:bidi="ar"/>
              </w:rPr>
              <w:t>0.0156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2" w:type="dxa"/>
            <w:vMerge w:val="continue"/>
            <w:vAlign w:val="center"/>
          </w:tcPr>
          <w:p>
            <w:pPr>
              <w:pStyle w:val="41"/>
              <w:rPr>
                <w:rFonts w:hint="eastAsia"/>
                <w:color w:val="auto"/>
                <w:highlight w:val="none"/>
              </w:rPr>
            </w:pPr>
          </w:p>
        </w:tc>
        <w:tc>
          <w:tcPr>
            <w:tcW w:w="1295" w:type="dxa"/>
            <w:vMerge w:val="continue"/>
            <w:vAlign w:val="center"/>
          </w:tcPr>
          <w:p>
            <w:pPr>
              <w:widowControl/>
              <w:jc w:val="center"/>
              <w:rPr>
                <w:rFonts w:hint="eastAsia"/>
                <w:color w:val="auto"/>
                <w:highlight w:val="none"/>
              </w:rPr>
            </w:pPr>
          </w:p>
        </w:tc>
        <w:tc>
          <w:tcPr>
            <w:tcW w:w="900" w:type="dxa"/>
            <w:vAlign w:val="center"/>
          </w:tcPr>
          <w:p>
            <w:pPr>
              <w:pStyle w:val="33"/>
              <w:spacing w:line="240" w:lineRule="auto"/>
              <w:rPr>
                <w:rFonts w:hint="eastAsia"/>
                <w:color w:val="auto"/>
                <w:highlight w:val="none"/>
              </w:rPr>
            </w:pPr>
            <w:r>
              <w:rPr>
                <w:rFonts w:hint="eastAsia" w:ascii="Times New Roman" w:hAnsi="Times New Roman" w:cs="Times New Roman"/>
                <w:color w:val="auto"/>
                <w:spacing w:val="-10"/>
                <w:sz w:val="21"/>
                <w:szCs w:val="21"/>
                <w:highlight w:val="none"/>
              </w:rPr>
              <w:t>氟化物</w:t>
            </w:r>
          </w:p>
        </w:tc>
        <w:tc>
          <w:tcPr>
            <w:tcW w:w="2291" w:type="dxa"/>
            <w:vAlign w:val="center"/>
          </w:tcPr>
          <w:p>
            <w:pPr>
              <w:widowControl/>
              <w:jc w:val="center"/>
              <w:textAlignment w:val="center"/>
              <w:rPr>
                <w:rFonts w:hint="eastAsia"/>
                <w:color w:val="auto"/>
                <w:highlight w:val="none"/>
              </w:rPr>
            </w:pPr>
            <w:r>
              <w:rPr>
                <w:rFonts w:hint="eastAsia"/>
                <w:color w:val="auto"/>
                <w:kern w:val="0"/>
                <w:sz w:val="18"/>
                <w:szCs w:val="18"/>
                <w:highlight w:val="none"/>
                <w:lang w:bidi="ar"/>
              </w:rPr>
              <w:t>0.46</w:t>
            </w:r>
          </w:p>
        </w:tc>
        <w:tc>
          <w:tcPr>
            <w:tcW w:w="2087" w:type="dxa"/>
            <w:vAlign w:val="center"/>
          </w:tcPr>
          <w:p>
            <w:pPr>
              <w:widowControl/>
              <w:jc w:val="center"/>
              <w:textAlignment w:val="center"/>
              <w:rPr>
                <w:rFonts w:hint="eastAsia"/>
                <w:color w:val="auto"/>
                <w:highlight w:val="none"/>
              </w:rPr>
            </w:pPr>
            <w:r>
              <w:rPr>
                <w:color w:val="auto"/>
                <w:kern w:val="0"/>
                <w:sz w:val="18"/>
                <w:szCs w:val="18"/>
                <w:highlight w:val="none"/>
                <w:lang w:bidi="ar"/>
              </w:rPr>
              <w:t>0.001975</w:t>
            </w:r>
          </w:p>
        </w:tc>
        <w:tc>
          <w:tcPr>
            <w:tcW w:w="2031" w:type="dxa"/>
            <w:vAlign w:val="center"/>
          </w:tcPr>
          <w:p>
            <w:pPr>
              <w:widowControl/>
              <w:jc w:val="center"/>
              <w:textAlignment w:val="center"/>
              <w:rPr>
                <w:rFonts w:hint="eastAsia"/>
                <w:color w:val="auto"/>
                <w:highlight w:val="none"/>
              </w:rPr>
            </w:pPr>
            <w:r>
              <w:rPr>
                <w:color w:val="auto"/>
                <w:kern w:val="0"/>
                <w:sz w:val="18"/>
                <w:szCs w:val="18"/>
                <w:highlight w:val="none"/>
                <w:lang w:bidi="ar"/>
              </w:rPr>
              <w:t xml:space="preserve">0.00514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2" w:type="dxa"/>
            <w:vAlign w:val="center"/>
          </w:tcPr>
          <w:p>
            <w:pPr>
              <w:pStyle w:val="41"/>
              <w:rPr>
                <w:rFonts w:hint="eastAsia" w:eastAsia="宋体"/>
                <w:color w:val="auto"/>
                <w:highlight w:val="none"/>
                <w:lang w:val="en-US" w:eastAsia="zh-CN"/>
              </w:rPr>
            </w:pPr>
            <w:r>
              <w:rPr>
                <w:rFonts w:hint="eastAsia"/>
                <w:color w:val="auto"/>
                <w:highlight w:val="none"/>
                <w:lang w:val="en-US" w:eastAsia="zh-CN"/>
              </w:rPr>
              <w:t>2</w:t>
            </w:r>
          </w:p>
        </w:tc>
        <w:tc>
          <w:tcPr>
            <w:tcW w:w="1295" w:type="dxa"/>
            <w:vAlign w:val="center"/>
          </w:tcPr>
          <w:p>
            <w:pPr>
              <w:widowControl/>
              <w:jc w:val="center"/>
              <w:rPr>
                <w:rFonts w:hint="eastAsia"/>
                <w:color w:val="auto"/>
                <w:highlight w:val="none"/>
              </w:rPr>
            </w:pPr>
            <w:r>
              <w:rPr>
                <w:color w:val="auto"/>
                <w:szCs w:val="21"/>
                <w:highlight w:val="none"/>
              </w:rPr>
              <w:t>排气筒</w:t>
            </w:r>
            <w:r>
              <w:rPr>
                <w:rFonts w:hint="eastAsia"/>
                <w:color w:val="auto"/>
                <w:szCs w:val="21"/>
                <w:highlight w:val="none"/>
              </w:rPr>
              <w:t>2</w:t>
            </w:r>
            <w:r>
              <w:rPr>
                <w:color w:val="auto"/>
                <w:szCs w:val="21"/>
                <w:highlight w:val="none"/>
              </w:rPr>
              <w:t>#</w:t>
            </w:r>
          </w:p>
        </w:tc>
        <w:tc>
          <w:tcPr>
            <w:tcW w:w="900" w:type="dxa"/>
            <w:vAlign w:val="center"/>
          </w:tcPr>
          <w:p>
            <w:pPr>
              <w:pStyle w:val="33"/>
              <w:spacing w:line="240" w:lineRule="auto"/>
              <w:rPr>
                <w:rFonts w:hint="eastAsia"/>
                <w:color w:val="auto"/>
                <w:highlight w:val="none"/>
              </w:rPr>
            </w:pPr>
            <w:r>
              <w:rPr>
                <w:rFonts w:hint="eastAsia" w:ascii="Times New Roman" w:hAnsi="Times New Roman" w:cs="Times New Roman"/>
                <w:color w:val="auto"/>
                <w:spacing w:val="-10"/>
                <w:sz w:val="21"/>
                <w:szCs w:val="21"/>
                <w:highlight w:val="none"/>
              </w:rPr>
              <w:t>铬酸雾</w:t>
            </w:r>
          </w:p>
        </w:tc>
        <w:tc>
          <w:tcPr>
            <w:tcW w:w="2291" w:type="dxa"/>
            <w:vAlign w:val="center"/>
          </w:tcPr>
          <w:p>
            <w:pPr>
              <w:widowControl/>
              <w:jc w:val="center"/>
              <w:textAlignment w:val="center"/>
              <w:rPr>
                <w:rFonts w:hint="eastAsia"/>
                <w:color w:val="auto"/>
                <w:highlight w:val="none"/>
              </w:rPr>
            </w:pPr>
            <w:r>
              <w:rPr>
                <w:rFonts w:hint="eastAsia"/>
                <w:color w:val="auto"/>
                <w:kern w:val="0"/>
                <w:sz w:val="18"/>
                <w:szCs w:val="18"/>
                <w:highlight w:val="none"/>
                <w:lang w:bidi="ar"/>
              </w:rPr>
              <w:t>0.005</w:t>
            </w:r>
          </w:p>
        </w:tc>
        <w:tc>
          <w:tcPr>
            <w:tcW w:w="2087" w:type="dxa"/>
            <w:vAlign w:val="center"/>
          </w:tcPr>
          <w:p>
            <w:pPr>
              <w:widowControl/>
              <w:jc w:val="center"/>
              <w:textAlignment w:val="center"/>
              <w:rPr>
                <w:rFonts w:hint="eastAsia"/>
                <w:color w:val="auto"/>
                <w:highlight w:val="none"/>
              </w:rPr>
            </w:pPr>
            <w:r>
              <w:rPr>
                <w:color w:val="auto"/>
                <w:kern w:val="0"/>
                <w:sz w:val="18"/>
                <w:szCs w:val="18"/>
                <w:highlight w:val="none"/>
                <w:lang w:bidi="ar"/>
              </w:rPr>
              <w:t>0.00003</w:t>
            </w:r>
          </w:p>
        </w:tc>
        <w:tc>
          <w:tcPr>
            <w:tcW w:w="2031" w:type="dxa"/>
            <w:vAlign w:val="center"/>
          </w:tcPr>
          <w:p>
            <w:pPr>
              <w:widowControl/>
              <w:jc w:val="center"/>
              <w:textAlignment w:val="center"/>
              <w:rPr>
                <w:rFonts w:hint="eastAsia"/>
                <w:color w:val="auto"/>
                <w:highlight w:val="none"/>
              </w:rPr>
            </w:pPr>
            <w:r>
              <w:rPr>
                <w:color w:val="auto"/>
                <w:kern w:val="0"/>
                <w:sz w:val="18"/>
                <w:szCs w:val="18"/>
                <w:highlight w:val="none"/>
                <w:lang w:bidi="ar"/>
              </w:rPr>
              <w:t>0.000078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2" w:type="dxa"/>
            <w:vAlign w:val="center"/>
          </w:tcPr>
          <w:p>
            <w:pPr>
              <w:pStyle w:val="41"/>
              <w:rPr>
                <w:rFonts w:hint="eastAsia" w:eastAsia="宋体"/>
                <w:color w:val="auto"/>
                <w:highlight w:val="none"/>
                <w:lang w:val="en-US" w:eastAsia="zh-CN"/>
              </w:rPr>
            </w:pPr>
            <w:r>
              <w:rPr>
                <w:rFonts w:hint="eastAsia"/>
                <w:color w:val="auto"/>
                <w:highlight w:val="none"/>
                <w:lang w:val="en-US" w:eastAsia="zh-CN"/>
              </w:rPr>
              <w:t>3</w:t>
            </w:r>
          </w:p>
        </w:tc>
        <w:tc>
          <w:tcPr>
            <w:tcW w:w="1295" w:type="dxa"/>
            <w:vAlign w:val="center"/>
          </w:tcPr>
          <w:p>
            <w:pPr>
              <w:widowControl/>
              <w:jc w:val="center"/>
              <w:rPr>
                <w:rFonts w:hint="eastAsia"/>
                <w:color w:val="auto"/>
                <w:highlight w:val="none"/>
              </w:rPr>
            </w:pPr>
            <w:r>
              <w:rPr>
                <w:color w:val="auto"/>
                <w:szCs w:val="21"/>
                <w:highlight w:val="none"/>
              </w:rPr>
              <w:t>排气筒</w:t>
            </w:r>
            <w:r>
              <w:rPr>
                <w:rFonts w:hint="eastAsia"/>
                <w:color w:val="auto"/>
                <w:szCs w:val="21"/>
                <w:highlight w:val="none"/>
              </w:rPr>
              <w:t>3</w:t>
            </w:r>
            <w:r>
              <w:rPr>
                <w:color w:val="auto"/>
                <w:szCs w:val="21"/>
                <w:highlight w:val="none"/>
              </w:rPr>
              <w:t>#</w:t>
            </w:r>
          </w:p>
        </w:tc>
        <w:tc>
          <w:tcPr>
            <w:tcW w:w="900" w:type="dxa"/>
            <w:vAlign w:val="center"/>
          </w:tcPr>
          <w:p>
            <w:pPr>
              <w:pStyle w:val="33"/>
              <w:spacing w:line="240" w:lineRule="auto"/>
              <w:rPr>
                <w:rFonts w:hint="eastAsia"/>
                <w:color w:val="auto"/>
                <w:highlight w:val="none"/>
              </w:rPr>
            </w:pPr>
            <w:r>
              <w:rPr>
                <w:rFonts w:hint="eastAsia" w:ascii="Times New Roman" w:hAnsi="Times New Roman" w:cs="Times New Roman"/>
                <w:color w:val="auto"/>
                <w:spacing w:val="-10"/>
                <w:sz w:val="21"/>
                <w:szCs w:val="21"/>
                <w:highlight w:val="none"/>
              </w:rPr>
              <w:t>氰化氢</w:t>
            </w:r>
          </w:p>
        </w:tc>
        <w:tc>
          <w:tcPr>
            <w:tcW w:w="2291" w:type="dxa"/>
            <w:vAlign w:val="center"/>
          </w:tcPr>
          <w:p>
            <w:pPr>
              <w:widowControl/>
              <w:jc w:val="center"/>
              <w:textAlignment w:val="center"/>
              <w:rPr>
                <w:rFonts w:hint="eastAsia"/>
                <w:color w:val="auto"/>
                <w:highlight w:val="none"/>
              </w:rPr>
            </w:pPr>
            <w:r>
              <w:rPr>
                <w:rFonts w:hint="eastAsia"/>
                <w:color w:val="auto"/>
                <w:kern w:val="0"/>
                <w:sz w:val="18"/>
                <w:szCs w:val="18"/>
                <w:highlight w:val="none"/>
                <w:lang w:val="en-US" w:eastAsia="zh-CN" w:bidi="ar"/>
              </w:rPr>
              <w:t>0.09</w:t>
            </w:r>
          </w:p>
        </w:tc>
        <w:tc>
          <w:tcPr>
            <w:tcW w:w="2087" w:type="dxa"/>
            <w:vAlign w:val="center"/>
          </w:tcPr>
          <w:p>
            <w:pPr>
              <w:widowControl/>
              <w:jc w:val="center"/>
              <w:textAlignment w:val="center"/>
              <w:rPr>
                <w:rFonts w:hint="eastAsia"/>
                <w:color w:val="auto"/>
                <w:highlight w:val="none"/>
              </w:rPr>
            </w:pPr>
            <w:r>
              <w:rPr>
                <w:rFonts w:hint="eastAsia" w:ascii="Times New Roman" w:hAnsi="Times New Roman" w:cs="Times New Roman"/>
                <w:color w:val="auto"/>
                <w:kern w:val="0"/>
                <w:sz w:val="18"/>
                <w:szCs w:val="18"/>
                <w:highlight w:val="none"/>
                <w:lang w:val="en-US" w:eastAsia="zh-CN" w:bidi="ar"/>
              </w:rPr>
              <w:t>0.0001</w:t>
            </w:r>
          </w:p>
        </w:tc>
        <w:tc>
          <w:tcPr>
            <w:tcW w:w="2031" w:type="dxa"/>
            <w:vAlign w:val="center"/>
          </w:tcPr>
          <w:p>
            <w:pPr>
              <w:widowControl/>
              <w:jc w:val="center"/>
              <w:textAlignment w:val="center"/>
              <w:rPr>
                <w:rFonts w:hint="eastAsia"/>
                <w:color w:val="auto"/>
                <w:highlight w:val="none"/>
              </w:rPr>
            </w:pPr>
            <w:r>
              <w:rPr>
                <w:rFonts w:hint="eastAsia" w:ascii="Times New Roman" w:hAnsi="Times New Roman" w:cs="Times New Roman"/>
                <w:color w:val="auto"/>
                <w:kern w:val="0"/>
                <w:sz w:val="18"/>
                <w:szCs w:val="18"/>
                <w:highlight w:val="none"/>
                <w:lang w:val="en-US" w:eastAsia="zh-CN" w:bidi="ar"/>
              </w:rPr>
              <w:t>0.00026</w:t>
            </w:r>
          </w:p>
        </w:tc>
      </w:tr>
    </w:tbl>
    <w:p>
      <w:pPr>
        <w:adjustRightInd w:val="0"/>
        <w:snapToGrid w:val="0"/>
        <w:spacing w:line="360" w:lineRule="auto"/>
        <w:outlineLvl w:val="2"/>
        <w:rPr>
          <w:rFonts w:hint="eastAsia"/>
          <w:b/>
          <w:color w:val="auto"/>
          <w:sz w:val="24"/>
          <w:highlight w:val="none"/>
        </w:rPr>
      </w:pPr>
    </w:p>
    <w:p>
      <w:pPr>
        <w:adjustRightInd w:val="0"/>
        <w:snapToGrid w:val="0"/>
        <w:spacing w:line="360" w:lineRule="auto"/>
        <w:outlineLvl w:val="2"/>
        <w:rPr>
          <w:b/>
          <w:color w:val="auto"/>
          <w:sz w:val="24"/>
          <w:highlight w:val="none"/>
        </w:rPr>
      </w:pPr>
      <w:r>
        <w:rPr>
          <w:rFonts w:hint="eastAsia"/>
          <w:b/>
          <w:color w:val="auto"/>
          <w:sz w:val="24"/>
          <w:highlight w:val="none"/>
        </w:rPr>
        <w:t>3.2.2无组织排放量核算</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本项目无组织大气污染物排放量核算情况如下：</w:t>
      </w:r>
    </w:p>
    <w:p>
      <w:pPr>
        <w:pStyle w:val="40"/>
        <w:spacing w:before="156" w:after="156"/>
        <w:rPr>
          <w:color w:val="auto"/>
          <w:highlight w:val="none"/>
        </w:rPr>
      </w:pPr>
      <w:r>
        <w:rPr>
          <w:rFonts w:hint="eastAsia"/>
          <w:color w:val="auto"/>
          <w:highlight w:val="none"/>
        </w:rPr>
        <w:t>表3.2-2 无组织排放量核算一览表</w:t>
      </w:r>
    </w:p>
    <w:tbl>
      <w:tblPr>
        <w:tblStyle w:val="22"/>
        <w:tblW w:w="92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643"/>
        <w:gridCol w:w="1068"/>
        <w:gridCol w:w="1282"/>
        <w:gridCol w:w="2311"/>
        <w:gridCol w:w="1282"/>
        <w:gridCol w:w="1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Merge w:val="restart"/>
            <w:vAlign w:val="center"/>
          </w:tcPr>
          <w:p>
            <w:pPr>
              <w:pStyle w:val="41"/>
              <w:jc w:val="center"/>
              <w:rPr>
                <w:color w:val="auto"/>
                <w:highlight w:val="none"/>
              </w:rPr>
            </w:pPr>
            <w:r>
              <w:rPr>
                <w:rFonts w:hint="eastAsia"/>
                <w:color w:val="auto"/>
                <w:highlight w:val="none"/>
              </w:rPr>
              <w:t>序号</w:t>
            </w:r>
          </w:p>
        </w:tc>
        <w:tc>
          <w:tcPr>
            <w:tcW w:w="1643" w:type="dxa"/>
            <w:vMerge w:val="restart"/>
            <w:vAlign w:val="center"/>
          </w:tcPr>
          <w:p>
            <w:pPr>
              <w:pStyle w:val="41"/>
              <w:jc w:val="center"/>
              <w:rPr>
                <w:rFonts w:hint="eastAsia" w:eastAsia="宋体"/>
                <w:color w:val="auto"/>
                <w:highlight w:val="none"/>
                <w:lang w:eastAsia="zh-CN"/>
              </w:rPr>
            </w:pPr>
            <w:r>
              <w:rPr>
                <w:rFonts w:hint="eastAsia"/>
                <w:color w:val="auto"/>
                <w:highlight w:val="none"/>
              </w:rPr>
              <w:t>产污</w:t>
            </w:r>
            <w:r>
              <w:rPr>
                <w:rFonts w:hint="eastAsia"/>
                <w:color w:val="auto"/>
                <w:highlight w:val="none"/>
                <w:lang w:eastAsia="zh-CN"/>
              </w:rPr>
              <w:t>位置</w:t>
            </w:r>
          </w:p>
        </w:tc>
        <w:tc>
          <w:tcPr>
            <w:tcW w:w="1068" w:type="dxa"/>
            <w:vMerge w:val="restart"/>
            <w:vAlign w:val="center"/>
          </w:tcPr>
          <w:p>
            <w:pPr>
              <w:pStyle w:val="41"/>
              <w:jc w:val="center"/>
              <w:rPr>
                <w:color w:val="auto"/>
                <w:highlight w:val="none"/>
              </w:rPr>
            </w:pPr>
            <w:r>
              <w:rPr>
                <w:rFonts w:hint="eastAsia"/>
                <w:color w:val="auto"/>
                <w:highlight w:val="none"/>
              </w:rPr>
              <w:t>污染物</w:t>
            </w:r>
          </w:p>
        </w:tc>
        <w:tc>
          <w:tcPr>
            <w:tcW w:w="1282" w:type="dxa"/>
            <w:vMerge w:val="restart"/>
            <w:vAlign w:val="center"/>
          </w:tcPr>
          <w:p>
            <w:pPr>
              <w:pStyle w:val="41"/>
              <w:jc w:val="center"/>
              <w:rPr>
                <w:color w:val="auto"/>
                <w:highlight w:val="none"/>
              </w:rPr>
            </w:pPr>
            <w:r>
              <w:rPr>
                <w:rFonts w:hint="eastAsia"/>
                <w:color w:val="auto"/>
                <w:highlight w:val="none"/>
              </w:rPr>
              <w:t>主要污染防治措施</w:t>
            </w:r>
          </w:p>
        </w:tc>
        <w:tc>
          <w:tcPr>
            <w:tcW w:w="3593" w:type="dxa"/>
            <w:gridSpan w:val="2"/>
            <w:vAlign w:val="center"/>
          </w:tcPr>
          <w:p>
            <w:pPr>
              <w:pStyle w:val="41"/>
              <w:jc w:val="center"/>
              <w:rPr>
                <w:color w:val="auto"/>
                <w:highlight w:val="none"/>
              </w:rPr>
            </w:pPr>
            <w:r>
              <w:rPr>
                <w:rFonts w:hint="eastAsia"/>
                <w:color w:val="auto"/>
                <w:highlight w:val="none"/>
              </w:rPr>
              <w:t>国家或地方污染物排放标准</w:t>
            </w:r>
          </w:p>
        </w:tc>
        <w:tc>
          <w:tcPr>
            <w:tcW w:w="1275" w:type="dxa"/>
            <w:vMerge w:val="restart"/>
            <w:vAlign w:val="center"/>
          </w:tcPr>
          <w:p>
            <w:pPr>
              <w:pStyle w:val="41"/>
              <w:jc w:val="center"/>
              <w:rPr>
                <w:color w:val="auto"/>
                <w:highlight w:val="none"/>
              </w:rPr>
            </w:pPr>
            <w:r>
              <w:rPr>
                <w:rFonts w:hint="eastAsia"/>
                <w:color w:val="auto"/>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Merge w:val="continue"/>
            <w:vAlign w:val="center"/>
          </w:tcPr>
          <w:p>
            <w:pPr>
              <w:pStyle w:val="41"/>
              <w:jc w:val="center"/>
              <w:rPr>
                <w:color w:val="auto"/>
                <w:highlight w:val="none"/>
              </w:rPr>
            </w:pPr>
          </w:p>
        </w:tc>
        <w:tc>
          <w:tcPr>
            <w:tcW w:w="1643" w:type="dxa"/>
            <w:vMerge w:val="continue"/>
            <w:vAlign w:val="center"/>
          </w:tcPr>
          <w:p>
            <w:pPr>
              <w:pStyle w:val="41"/>
              <w:jc w:val="center"/>
              <w:rPr>
                <w:color w:val="auto"/>
                <w:highlight w:val="none"/>
              </w:rPr>
            </w:pPr>
          </w:p>
        </w:tc>
        <w:tc>
          <w:tcPr>
            <w:tcW w:w="1068" w:type="dxa"/>
            <w:vMerge w:val="continue"/>
            <w:vAlign w:val="center"/>
          </w:tcPr>
          <w:p>
            <w:pPr>
              <w:pStyle w:val="41"/>
              <w:jc w:val="center"/>
              <w:rPr>
                <w:color w:val="auto"/>
                <w:highlight w:val="none"/>
              </w:rPr>
            </w:pPr>
          </w:p>
        </w:tc>
        <w:tc>
          <w:tcPr>
            <w:tcW w:w="1282" w:type="dxa"/>
            <w:vMerge w:val="continue"/>
            <w:vAlign w:val="center"/>
          </w:tcPr>
          <w:p>
            <w:pPr>
              <w:pStyle w:val="41"/>
              <w:jc w:val="center"/>
              <w:rPr>
                <w:color w:val="auto"/>
                <w:highlight w:val="none"/>
              </w:rPr>
            </w:pPr>
          </w:p>
        </w:tc>
        <w:tc>
          <w:tcPr>
            <w:tcW w:w="2311" w:type="dxa"/>
            <w:vAlign w:val="center"/>
          </w:tcPr>
          <w:p>
            <w:pPr>
              <w:pStyle w:val="41"/>
              <w:jc w:val="center"/>
              <w:rPr>
                <w:color w:val="auto"/>
                <w:highlight w:val="none"/>
              </w:rPr>
            </w:pPr>
            <w:r>
              <w:rPr>
                <w:rFonts w:hint="eastAsia"/>
                <w:color w:val="auto"/>
                <w:highlight w:val="none"/>
              </w:rPr>
              <w:t>标准名称</w:t>
            </w:r>
          </w:p>
        </w:tc>
        <w:tc>
          <w:tcPr>
            <w:tcW w:w="1282" w:type="dxa"/>
            <w:vAlign w:val="center"/>
          </w:tcPr>
          <w:p>
            <w:pPr>
              <w:pStyle w:val="41"/>
              <w:jc w:val="center"/>
              <w:rPr>
                <w:color w:val="auto"/>
                <w:highlight w:val="none"/>
              </w:rPr>
            </w:pPr>
            <w:r>
              <w:rPr>
                <w:rFonts w:hint="eastAsia"/>
                <w:color w:val="auto"/>
                <w:highlight w:val="none"/>
              </w:rPr>
              <w:t>浓度限值（mg/m</w:t>
            </w:r>
            <w:r>
              <w:rPr>
                <w:rFonts w:hint="eastAsia"/>
                <w:color w:val="auto"/>
                <w:highlight w:val="none"/>
                <w:vertAlign w:val="superscript"/>
              </w:rPr>
              <w:t>3</w:t>
            </w:r>
            <w:r>
              <w:rPr>
                <w:rFonts w:hint="eastAsia"/>
                <w:color w:val="auto"/>
                <w:highlight w:val="none"/>
              </w:rPr>
              <w:t>）</w:t>
            </w:r>
          </w:p>
        </w:tc>
        <w:tc>
          <w:tcPr>
            <w:tcW w:w="1275" w:type="dxa"/>
            <w:vMerge w:val="continue"/>
            <w:vAlign w:val="center"/>
          </w:tcPr>
          <w:p>
            <w:pPr>
              <w:pStyle w:val="41"/>
              <w:jc w:val="center"/>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Align w:val="center"/>
          </w:tcPr>
          <w:p>
            <w:pPr>
              <w:pStyle w:val="41"/>
              <w:jc w:val="center"/>
              <w:rPr>
                <w:rFonts w:hint="eastAsia" w:eastAsia="宋体"/>
                <w:color w:val="auto"/>
                <w:highlight w:val="none"/>
                <w:lang w:val="en-US" w:eastAsia="zh-CN"/>
              </w:rPr>
            </w:pPr>
            <w:r>
              <w:rPr>
                <w:rFonts w:hint="eastAsia"/>
                <w:color w:val="auto"/>
                <w:highlight w:val="none"/>
                <w:lang w:val="en-US" w:eastAsia="zh-CN"/>
              </w:rPr>
              <w:t>1</w:t>
            </w:r>
          </w:p>
        </w:tc>
        <w:tc>
          <w:tcPr>
            <w:tcW w:w="1643" w:type="dxa"/>
            <w:vAlign w:val="center"/>
          </w:tcPr>
          <w:p>
            <w:pPr>
              <w:pStyle w:val="41"/>
              <w:jc w:val="center"/>
              <w:rPr>
                <w:rFonts w:hint="eastAsia" w:eastAsia="宋体"/>
                <w:color w:val="auto"/>
                <w:highlight w:val="none"/>
                <w:lang w:eastAsia="zh-CN"/>
              </w:rPr>
            </w:pPr>
            <w:r>
              <w:rPr>
                <w:rFonts w:hint="eastAsia"/>
                <w:color w:val="auto"/>
                <w:highlight w:val="none"/>
                <w:lang w:eastAsia="zh-CN"/>
              </w:rPr>
              <w:t>生产车间</w:t>
            </w:r>
          </w:p>
        </w:tc>
        <w:tc>
          <w:tcPr>
            <w:tcW w:w="1068" w:type="dxa"/>
            <w:vAlign w:val="center"/>
          </w:tcPr>
          <w:p>
            <w:pPr>
              <w:widowControl/>
              <w:jc w:val="center"/>
              <w:textAlignment w:val="center"/>
              <w:rPr>
                <w:color w:val="auto"/>
                <w:highlight w:val="none"/>
              </w:rPr>
            </w:pPr>
            <w:r>
              <w:rPr>
                <w:color w:val="auto"/>
                <w:kern w:val="0"/>
                <w:szCs w:val="21"/>
                <w:highlight w:val="none"/>
                <w:lang w:bidi="ar"/>
              </w:rPr>
              <w:t>硫酸雾</w:t>
            </w:r>
          </w:p>
        </w:tc>
        <w:tc>
          <w:tcPr>
            <w:tcW w:w="1282" w:type="dxa"/>
            <w:vAlign w:val="center"/>
          </w:tcPr>
          <w:p>
            <w:pPr>
              <w:pStyle w:val="41"/>
              <w:jc w:val="center"/>
              <w:rPr>
                <w:rFonts w:hint="eastAsia" w:eastAsia="宋体"/>
                <w:color w:val="auto"/>
                <w:highlight w:val="none"/>
                <w:lang w:eastAsia="zh-CN"/>
              </w:rPr>
            </w:pPr>
            <w:r>
              <w:rPr>
                <w:rFonts w:hint="eastAsia"/>
                <w:color w:val="auto"/>
                <w:highlight w:val="none"/>
                <w:lang w:eastAsia="zh-CN"/>
              </w:rPr>
              <w:t>无</w:t>
            </w:r>
          </w:p>
        </w:tc>
        <w:tc>
          <w:tcPr>
            <w:tcW w:w="2311" w:type="dxa"/>
            <w:vMerge w:val="restart"/>
            <w:vAlign w:val="center"/>
          </w:tcPr>
          <w:p>
            <w:pPr>
              <w:pStyle w:val="41"/>
              <w:jc w:val="center"/>
              <w:rPr>
                <w:color w:val="auto"/>
                <w:highlight w:val="none"/>
              </w:rPr>
            </w:pPr>
            <w:r>
              <w:rPr>
                <w:color w:val="auto"/>
                <w:highlight w:val="none"/>
              </w:rPr>
              <w:t>GB16297-1996《大气污染物综合排放标准》中表2标准</w:t>
            </w:r>
          </w:p>
        </w:tc>
        <w:tc>
          <w:tcPr>
            <w:tcW w:w="1282" w:type="dxa"/>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1.2</w:t>
            </w:r>
          </w:p>
        </w:tc>
        <w:tc>
          <w:tcPr>
            <w:tcW w:w="1275" w:type="dxa"/>
            <w:vAlign w:val="center"/>
          </w:tcPr>
          <w:p>
            <w:pPr>
              <w:widowControl/>
              <w:jc w:val="center"/>
              <w:textAlignment w:val="center"/>
              <w:rPr>
                <w:color w:val="auto"/>
                <w:highlight w:val="none"/>
              </w:rPr>
            </w:pPr>
            <w:r>
              <w:rPr>
                <w:color w:val="auto"/>
                <w:kern w:val="0"/>
                <w:szCs w:val="21"/>
                <w:highlight w:val="none"/>
                <w:lang w:bidi="ar"/>
              </w:rPr>
              <w:t>0.0000011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Align w:val="center"/>
          </w:tcPr>
          <w:p>
            <w:pPr>
              <w:pStyle w:val="41"/>
              <w:jc w:val="center"/>
              <w:rPr>
                <w:rFonts w:hint="eastAsia" w:eastAsia="宋体"/>
                <w:color w:val="auto"/>
                <w:highlight w:val="none"/>
                <w:lang w:val="en-US" w:eastAsia="zh-CN"/>
              </w:rPr>
            </w:pPr>
            <w:r>
              <w:rPr>
                <w:rFonts w:hint="eastAsia"/>
                <w:color w:val="auto"/>
                <w:highlight w:val="none"/>
                <w:lang w:val="en-US" w:eastAsia="zh-CN"/>
              </w:rPr>
              <w:t>2</w:t>
            </w:r>
          </w:p>
        </w:tc>
        <w:tc>
          <w:tcPr>
            <w:tcW w:w="1643" w:type="dxa"/>
            <w:vAlign w:val="center"/>
          </w:tcPr>
          <w:p>
            <w:pPr>
              <w:jc w:val="center"/>
              <w:rPr>
                <w:rFonts w:hint="eastAsia"/>
                <w:color w:val="auto"/>
                <w:highlight w:val="none"/>
              </w:rPr>
            </w:pPr>
            <w:r>
              <w:rPr>
                <w:rFonts w:hint="eastAsia"/>
                <w:color w:val="auto"/>
                <w:highlight w:val="none"/>
                <w:lang w:eastAsia="zh-CN"/>
              </w:rPr>
              <w:t>生产车间</w:t>
            </w:r>
          </w:p>
        </w:tc>
        <w:tc>
          <w:tcPr>
            <w:tcW w:w="1068" w:type="dxa"/>
            <w:vAlign w:val="center"/>
          </w:tcPr>
          <w:p>
            <w:pPr>
              <w:widowControl/>
              <w:jc w:val="center"/>
              <w:textAlignment w:val="center"/>
              <w:rPr>
                <w:rFonts w:hint="eastAsia"/>
                <w:color w:val="auto"/>
                <w:highlight w:val="none"/>
              </w:rPr>
            </w:pPr>
            <w:r>
              <w:rPr>
                <w:color w:val="auto"/>
                <w:kern w:val="0"/>
                <w:szCs w:val="21"/>
                <w:highlight w:val="none"/>
                <w:lang w:bidi="ar"/>
              </w:rPr>
              <w:t>氯化氢</w:t>
            </w:r>
          </w:p>
        </w:tc>
        <w:tc>
          <w:tcPr>
            <w:tcW w:w="1282" w:type="dxa"/>
            <w:vAlign w:val="center"/>
          </w:tcPr>
          <w:p>
            <w:pPr>
              <w:jc w:val="center"/>
              <w:rPr>
                <w:rFonts w:hint="eastAsia"/>
                <w:color w:val="auto"/>
                <w:highlight w:val="none"/>
              </w:rPr>
            </w:pPr>
            <w:r>
              <w:rPr>
                <w:rFonts w:hint="eastAsia"/>
                <w:color w:val="auto"/>
                <w:highlight w:val="none"/>
                <w:lang w:eastAsia="zh-CN"/>
              </w:rPr>
              <w:t>无</w:t>
            </w:r>
          </w:p>
        </w:tc>
        <w:tc>
          <w:tcPr>
            <w:tcW w:w="2311" w:type="dxa"/>
            <w:vMerge w:val="continue"/>
            <w:vAlign w:val="center"/>
          </w:tcPr>
          <w:p>
            <w:pPr>
              <w:pStyle w:val="41"/>
              <w:jc w:val="center"/>
              <w:rPr>
                <w:color w:val="auto"/>
                <w:highlight w:val="none"/>
              </w:rPr>
            </w:pPr>
          </w:p>
        </w:tc>
        <w:tc>
          <w:tcPr>
            <w:tcW w:w="1282" w:type="dxa"/>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0.2</w:t>
            </w:r>
          </w:p>
        </w:tc>
        <w:tc>
          <w:tcPr>
            <w:tcW w:w="1275" w:type="dxa"/>
            <w:vAlign w:val="center"/>
          </w:tcPr>
          <w:p>
            <w:pPr>
              <w:widowControl/>
              <w:jc w:val="center"/>
              <w:textAlignment w:val="center"/>
              <w:rPr>
                <w:rFonts w:hint="eastAsia"/>
                <w:color w:val="auto"/>
                <w:highlight w:val="none"/>
              </w:rPr>
            </w:pPr>
            <w:r>
              <w:rPr>
                <w:color w:val="auto"/>
                <w:kern w:val="0"/>
                <w:szCs w:val="21"/>
                <w:highlight w:val="none"/>
                <w:lang w:bidi="ar"/>
              </w:rPr>
              <w:t>0.0028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Align w:val="center"/>
          </w:tcPr>
          <w:p>
            <w:pPr>
              <w:pStyle w:val="41"/>
              <w:jc w:val="center"/>
              <w:rPr>
                <w:rFonts w:hint="eastAsia" w:eastAsia="宋体"/>
                <w:color w:val="auto"/>
                <w:highlight w:val="none"/>
                <w:lang w:val="en-US" w:eastAsia="zh-CN"/>
              </w:rPr>
            </w:pPr>
            <w:r>
              <w:rPr>
                <w:rFonts w:hint="eastAsia"/>
                <w:color w:val="auto"/>
                <w:highlight w:val="none"/>
                <w:lang w:val="en-US" w:eastAsia="zh-CN"/>
              </w:rPr>
              <w:t>3</w:t>
            </w:r>
          </w:p>
        </w:tc>
        <w:tc>
          <w:tcPr>
            <w:tcW w:w="1643" w:type="dxa"/>
            <w:vAlign w:val="center"/>
          </w:tcPr>
          <w:p>
            <w:pPr>
              <w:jc w:val="center"/>
              <w:rPr>
                <w:rFonts w:hint="eastAsia"/>
                <w:color w:val="auto"/>
                <w:highlight w:val="none"/>
              </w:rPr>
            </w:pPr>
            <w:r>
              <w:rPr>
                <w:rFonts w:hint="eastAsia"/>
                <w:color w:val="auto"/>
                <w:highlight w:val="none"/>
                <w:lang w:eastAsia="zh-CN"/>
              </w:rPr>
              <w:t>生产车间</w:t>
            </w:r>
          </w:p>
        </w:tc>
        <w:tc>
          <w:tcPr>
            <w:tcW w:w="1068" w:type="dxa"/>
            <w:vAlign w:val="center"/>
          </w:tcPr>
          <w:p>
            <w:pPr>
              <w:widowControl/>
              <w:jc w:val="center"/>
              <w:textAlignment w:val="center"/>
              <w:rPr>
                <w:rFonts w:hint="eastAsia"/>
                <w:color w:val="auto"/>
                <w:highlight w:val="none"/>
              </w:rPr>
            </w:pPr>
            <w:r>
              <w:rPr>
                <w:color w:val="auto"/>
                <w:kern w:val="0"/>
                <w:szCs w:val="21"/>
                <w:highlight w:val="none"/>
                <w:lang w:bidi="ar"/>
              </w:rPr>
              <w:t>氟化物</w:t>
            </w:r>
          </w:p>
        </w:tc>
        <w:tc>
          <w:tcPr>
            <w:tcW w:w="1282" w:type="dxa"/>
            <w:vAlign w:val="center"/>
          </w:tcPr>
          <w:p>
            <w:pPr>
              <w:jc w:val="center"/>
              <w:rPr>
                <w:rFonts w:hint="eastAsia"/>
                <w:color w:val="auto"/>
                <w:highlight w:val="none"/>
              </w:rPr>
            </w:pPr>
            <w:r>
              <w:rPr>
                <w:rFonts w:hint="eastAsia"/>
                <w:color w:val="auto"/>
                <w:highlight w:val="none"/>
                <w:lang w:eastAsia="zh-CN"/>
              </w:rPr>
              <w:t>无</w:t>
            </w:r>
          </w:p>
        </w:tc>
        <w:tc>
          <w:tcPr>
            <w:tcW w:w="2311" w:type="dxa"/>
            <w:vMerge w:val="continue"/>
            <w:vAlign w:val="center"/>
          </w:tcPr>
          <w:p>
            <w:pPr>
              <w:pStyle w:val="41"/>
              <w:jc w:val="center"/>
              <w:rPr>
                <w:color w:val="auto"/>
                <w:highlight w:val="none"/>
              </w:rPr>
            </w:pPr>
          </w:p>
        </w:tc>
        <w:tc>
          <w:tcPr>
            <w:tcW w:w="1282" w:type="dxa"/>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0.02</w:t>
            </w:r>
          </w:p>
        </w:tc>
        <w:tc>
          <w:tcPr>
            <w:tcW w:w="1275" w:type="dxa"/>
            <w:vAlign w:val="center"/>
          </w:tcPr>
          <w:p>
            <w:pPr>
              <w:widowControl/>
              <w:jc w:val="center"/>
              <w:textAlignment w:val="center"/>
              <w:rPr>
                <w:rFonts w:hint="eastAsia"/>
                <w:color w:val="auto"/>
                <w:highlight w:val="none"/>
              </w:rPr>
            </w:pPr>
            <w:r>
              <w:rPr>
                <w:color w:val="auto"/>
                <w:kern w:val="0"/>
                <w:szCs w:val="21"/>
                <w:highlight w:val="none"/>
                <w:lang w:bidi="ar"/>
              </w:rPr>
              <w:t>0.00091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Align w:val="center"/>
          </w:tcPr>
          <w:p>
            <w:pPr>
              <w:pStyle w:val="41"/>
              <w:jc w:val="center"/>
              <w:rPr>
                <w:rFonts w:hint="eastAsia" w:eastAsia="宋体"/>
                <w:color w:val="auto"/>
                <w:highlight w:val="none"/>
                <w:lang w:val="en-US" w:eastAsia="zh-CN"/>
              </w:rPr>
            </w:pPr>
            <w:r>
              <w:rPr>
                <w:rFonts w:hint="eastAsia"/>
                <w:color w:val="auto"/>
                <w:highlight w:val="none"/>
                <w:lang w:val="en-US" w:eastAsia="zh-CN"/>
              </w:rPr>
              <w:t>4</w:t>
            </w:r>
          </w:p>
        </w:tc>
        <w:tc>
          <w:tcPr>
            <w:tcW w:w="1643" w:type="dxa"/>
            <w:vAlign w:val="center"/>
          </w:tcPr>
          <w:p>
            <w:pPr>
              <w:jc w:val="center"/>
              <w:rPr>
                <w:rFonts w:hint="eastAsia"/>
                <w:color w:val="auto"/>
                <w:highlight w:val="none"/>
              </w:rPr>
            </w:pPr>
            <w:r>
              <w:rPr>
                <w:rFonts w:hint="eastAsia"/>
                <w:color w:val="auto"/>
                <w:highlight w:val="none"/>
                <w:lang w:eastAsia="zh-CN"/>
              </w:rPr>
              <w:t>生产车间</w:t>
            </w:r>
          </w:p>
        </w:tc>
        <w:tc>
          <w:tcPr>
            <w:tcW w:w="1068" w:type="dxa"/>
            <w:vAlign w:val="center"/>
          </w:tcPr>
          <w:p>
            <w:pPr>
              <w:widowControl/>
              <w:jc w:val="center"/>
              <w:textAlignment w:val="center"/>
              <w:rPr>
                <w:rFonts w:hint="eastAsia"/>
                <w:color w:val="auto"/>
                <w:highlight w:val="none"/>
              </w:rPr>
            </w:pPr>
            <w:r>
              <w:rPr>
                <w:color w:val="auto"/>
                <w:kern w:val="0"/>
                <w:szCs w:val="21"/>
                <w:highlight w:val="none"/>
                <w:lang w:bidi="ar"/>
              </w:rPr>
              <w:t>铬酸雾</w:t>
            </w:r>
          </w:p>
        </w:tc>
        <w:tc>
          <w:tcPr>
            <w:tcW w:w="1282" w:type="dxa"/>
            <w:vAlign w:val="center"/>
          </w:tcPr>
          <w:p>
            <w:pPr>
              <w:jc w:val="center"/>
              <w:rPr>
                <w:rFonts w:hint="eastAsia"/>
                <w:color w:val="auto"/>
                <w:highlight w:val="none"/>
              </w:rPr>
            </w:pPr>
            <w:r>
              <w:rPr>
                <w:rFonts w:hint="eastAsia"/>
                <w:color w:val="auto"/>
                <w:highlight w:val="none"/>
                <w:lang w:eastAsia="zh-CN"/>
              </w:rPr>
              <w:t>无</w:t>
            </w:r>
          </w:p>
        </w:tc>
        <w:tc>
          <w:tcPr>
            <w:tcW w:w="2311" w:type="dxa"/>
            <w:vMerge w:val="continue"/>
            <w:vAlign w:val="center"/>
          </w:tcPr>
          <w:p>
            <w:pPr>
              <w:pStyle w:val="41"/>
              <w:jc w:val="center"/>
              <w:rPr>
                <w:color w:val="auto"/>
                <w:highlight w:val="none"/>
              </w:rPr>
            </w:pPr>
          </w:p>
        </w:tc>
        <w:tc>
          <w:tcPr>
            <w:tcW w:w="1282" w:type="dxa"/>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0.006</w:t>
            </w:r>
          </w:p>
        </w:tc>
        <w:tc>
          <w:tcPr>
            <w:tcW w:w="1275" w:type="dxa"/>
            <w:vAlign w:val="center"/>
          </w:tcPr>
          <w:p>
            <w:pPr>
              <w:widowControl/>
              <w:jc w:val="center"/>
              <w:textAlignment w:val="center"/>
              <w:rPr>
                <w:rFonts w:hint="eastAsia"/>
                <w:color w:val="auto"/>
                <w:highlight w:val="none"/>
              </w:rPr>
            </w:pPr>
            <w:r>
              <w:rPr>
                <w:color w:val="auto"/>
                <w:kern w:val="0"/>
                <w:szCs w:val="21"/>
                <w:highlight w:val="none"/>
                <w:lang w:bidi="ar"/>
              </w:rPr>
              <w:t>0.000013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5" w:type="dxa"/>
            <w:vAlign w:val="center"/>
          </w:tcPr>
          <w:p>
            <w:pPr>
              <w:pStyle w:val="41"/>
              <w:jc w:val="center"/>
              <w:rPr>
                <w:rFonts w:hint="eastAsia" w:eastAsia="宋体"/>
                <w:color w:val="auto"/>
                <w:highlight w:val="none"/>
                <w:lang w:val="en-US" w:eastAsia="zh-CN"/>
              </w:rPr>
            </w:pPr>
            <w:r>
              <w:rPr>
                <w:rFonts w:hint="eastAsia"/>
                <w:color w:val="auto"/>
                <w:highlight w:val="none"/>
                <w:lang w:val="en-US" w:eastAsia="zh-CN"/>
              </w:rPr>
              <w:t>5</w:t>
            </w:r>
          </w:p>
        </w:tc>
        <w:tc>
          <w:tcPr>
            <w:tcW w:w="1643" w:type="dxa"/>
            <w:vAlign w:val="center"/>
          </w:tcPr>
          <w:p>
            <w:pPr>
              <w:jc w:val="center"/>
              <w:rPr>
                <w:rFonts w:hint="eastAsia"/>
                <w:color w:val="auto"/>
                <w:highlight w:val="none"/>
              </w:rPr>
            </w:pPr>
            <w:r>
              <w:rPr>
                <w:rFonts w:hint="eastAsia"/>
                <w:color w:val="auto"/>
                <w:highlight w:val="none"/>
                <w:lang w:eastAsia="zh-CN"/>
              </w:rPr>
              <w:t>生产车间</w:t>
            </w:r>
          </w:p>
        </w:tc>
        <w:tc>
          <w:tcPr>
            <w:tcW w:w="1068" w:type="dxa"/>
            <w:vAlign w:val="center"/>
          </w:tcPr>
          <w:p>
            <w:pPr>
              <w:widowControl/>
              <w:jc w:val="center"/>
              <w:textAlignment w:val="center"/>
              <w:rPr>
                <w:rFonts w:hint="eastAsia"/>
                <w:color w:val="auto"/>
                <w:highlight w:val="none"/>
              </w:rPr>
            </w:pPr>
            <w:r>
              <w:rPr>
                <w:color w:val="auto"/>
                <w:kern w:val="0"/>
                <w:szCs w:val="21"/>
                <w:highlight w:val="none"/>
                <w:lang w:bidi="ar"/>
              </w:rPr>
              <w:t>氰化氢</w:t>
            </w:r>
          </w:p>
        </w:tc>
        <w:tc>
          <w:tcPr>
            <w:tcW w:w="1282" w:type="dxa"/>
            <w:vAlign w:val="center"/>
          </w:tcPr>
          <w:p>
            <w:pPr>
              <w:jc w:val="center"/>
              <w:rPr>
                <w:rFonts w:hint="eastAsia"/>
                <w:color w:val="auto"/>
                <w:highlight w:val="none"/>
              </w:rPr>
            </w:pPr>
            <w:r>
              <w:rPr>
                <w:rFonts w:hint="eastAsia"/>
                <w:color w:val="auto"/>
                <w:highlight w:val="none"/>
                <w:lang w:eastAsia="zh-CN"/>
              </w:rPr>
              <w:t>无</w:t>
            </w:r>
          </w:p>
        </w:tc>
        <w:tc>
          <w:tcPr>
            <w:tcW w:w="2311" w:type="dxa"/>
            <w:vMerge w:val="continue"/>
            <w:vAlign w:val="center"/>
          </w:tcPr>
          <w:p>
            <w:pPr>
              <w:pStyle w:val="41"/>
              <w:jc w:val="center"/>
              <w:rPr>
                <w:color w:val="auto"/>
                <w:highlight w:val="none"/>
              </w:rPr>
            </w:pPr>
          </w:p>
        </w:tc>
        <w:tc>
          <w:tcPr>
            <w:tcW w:w="1282" w:type="dxa"/>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0.024</w:t>
            </w:r>
          </w:p>
        </w:tc>
        <w:tc>
          <w:tcPr>
            <w:tcW w:w="1275" w:type="dxa"/>
            <w:vAlign w:val="center"/>
          </w:tcPr>
          <w:p>
            <w:pPr>
              <w:widowControl/>
              <w:jc w:val="center"/>
              <w:textAlignment w:val="center"/>
              <w:rPr>
                <w:rFonts w:hint="eastAsia"/>
                <w:color w:val="auto"/>
                <w:highlight w:val="none"/>
              </w:rPr>
            </w:pPr>
            <w:r>
              <w:rPr>
                <w:color w:val="auto"/>
                <w:kern w:val="0"/>
                <w:szCs w:val="21"/>
                <w:highlight w:val="none"/>
                <w:lang w:bidi="ar"/>
              </w:rPr>
              <w:t>0.000047</w:t>
            </w:r>
          </w:p>
        </w:tc>
      </w:tr>
    </w:tbl>
    <w:p>
      <w:pPr>
        <w:adjustRightInd w:val="0"/>
        <w:snapToGrid w:val="0"/>
        <w:spacing w:line="360" w:lineRule="auto"/>
        <w:outlineLvl w:val="2"/>
        <w:rPr>
          <w:b/>
          <w:color w:val="auto"/>
          <w:sz w:val="24"/>
          <w:highlight w:val="none"/>
        </w:rPr>
      </w:pPr>
      <w:r>
        <w:rPr>
          <w:rFonts w:hint="eastAsia"/>
          <w:b/>
          <w:color w:val="auto"/>
          <w:sz w:val="24"/>
          <w:highlight w:val="none"/>
        </w:rPr>
        <w:t>3.2.3项目大气污染物年排放量核算</w:t>
      </w:r>
    </w:p>
    <w:p>
      <w:pPr>
        <w:adjustRightInd w:val="0"/>
        <w:snapToGrid w:val="0"/>
        <w:spacing w:line="360" w:lineRule="auto"/>
        <w:ind w:firstLine="480" w:firstLineChars="200"/>
        <w:rPr>
          <w:color w:val="auto"/>
          <w:sz w:val="24"/>
          <w:highlight w:val="none"/>
        </w:rPr>
      </w:pPr>
      <w:r>
        <w:rPr>
          <w:rFonts w:hint="eastAsia"/>
          <w:color w:val="auto"/>
          <w:sz w:val="24"/>
          <w:highlight w:val="none"/>
        </w:rPr>
        <w:t>大气污染物年排放量核算如下表所示：</w:t>
      </w:r>
    </w:p>
    <w:p>
      <w:pPr>
        <w:pStyle w:val="40"/>
        <w:spacing w:before="156" w:after="156"/>
        <w:rPr>
          <w:color w:val="auto"/>
          <w:highlight w:val="none"/>
        </w:rPr>
      </w:pPr>
      <w:r>
        <w:rPr>
          <w:rFonts w:hint="eastAsia"/>
          <w:color w:val="auto"/>
          <w:highlight w:val="none"/>
        </w:rPr>
        <w:t>表3.2-3 大气污染物年排放量核算一览表</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926"/>
        <w:gridCol w:w="2127"/>
        <w:gridCol w:w="2127"/>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979" w:type="dxa"/>
            <w:vAlign w:val="top"/>
          </w:tcPr>
          <w:p>
            <w:pPr>
              <w:pStyle w:val="4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926" w:type="dxa"/>
            <w:vAlign w:val="top"/>
          </w:tcPr>
          <w:p>
            <w:pPr>
              <w:pStyle w:val="4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127" w:type="dxa"/>
            <w:vAlign w:val="top"/>
          </w:tcPr>
          <w:p>
            <w:pPr>
              <w:pStyle w:val="41"/>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有组织排放量</w:t>
            </w:r>
            <w:r>
              <w:rPr>
                <w:rFonts w:hint="default" w:ascii="Times New Roman" w:hAnsi="Times New Roman" w:eastAsia="宋体" w:cs="Times New Roman"/>
                <w:color w:val="auto"/>
                <w:sz w:val="21"/>
                <w:szCs w:val="21"/>
                <w:highlight w:val="none"/>
              </w:rPr>
              <w:t>（t/a）</w:t>
            </w:r>
          </w:p>
        </w:tc>
        <w:tc>
          <w:tcPr>
            <w:tcW w:w="2127" w:type="dxa"/>
            <w:vAlign w:val="top"/>
          </w:tcPr>
          <w:p>
            <w:pPr>
              <w:pStyle w:val="41"/>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无组织排放量</w:t>
            </w:r>
            <w:r>
              <w:rPr>
                <w:rFonts w:hint="default" w:ascii="Times New Roman" w:hAnsi="Times New Roman" w:eastAsia="宋体" w:cs="Times New Roman"/>
                <w:color w:val="auto"/>
                <w:sz w:val="21"/>
                <w:szCs w:val="21"/>
                <w:highlight w:val="none"/>
              </w:rPr>
              <w:t>（t/a）</w:t>
            </w:r>
          </w:p>
        </w:tc>
        <w:tc>
          <w:tcPr>
            <w:tcW w:w="2127" w:type="dxa"/>
            <w:vAlign w:val="top"/>
          </w:tcPr>
          <w:p>
            <w:pPr>
              <w:pStyle w:val="4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9" w:type="dxa"/>
          </w:tcPr>
          <w:p>
            <w:pPr>
              <w:pStyle w:val="4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26"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硫酸雾</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 xml:space="preserve">0.00000632 </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0.0000011</w:t>
            </w:r>
          </w:p>
        </w:tc>
        <w:tc>
          <w:tcPr>
            <w:tcW w:w="21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0.00000742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9" w:type="dxa"/>
          </w:tcPr>
          <w:p>
            <w:pPr>
              <w:pStyle w:val="4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926"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氯化氢</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0.0156</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0.0028</w:t>
            </w:r>
          </w:p>
        </w:tc>
        <w:tc>
          <w:tcPr>
            <w:tcW w:w="21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9" w:type="dxa"/>
          </w:tcPr>
          <w:p>
            <w:pPr>
              <w:pStyle w:val="4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926"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氟化物</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 xml:space="preserve">0.00514 </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0.00091</w:t>
            </w:r>
          </w:p>
        </w:tc>
        <w:tc>
          <w:tcPr>
            <w:tcW w:w="21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0.00605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9" w:type="dxa"/>
          </w:tcPr>
          <w:p>
            <w:pPr>
              <w:pStyle w:val="4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926"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铬酸雾</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0.000078</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0.000013</w:t>
            </w:r>
          </w:p>
        </w:tc>
        <w:tc>
          <w:tcPr>
            <w:tcW w:w="21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0.000091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9" w:type="dxa"/>
          </w:tcPr>
          <w:p>
            <w:pPr>
              <w:pStyle w:val="41"/>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1926"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氰化氢</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0.00026</w:t>
            </w:r>
          </w:p>
        </w:tc>
        <w:tc>
          <w:tcPr>
            <w:tcW w:w="2127" w:type="dxa"/>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0.000047</w:t>
            </w:r>
          </w:p>
        </w:tc>
        <w:tc>
          <w:tcPr>
            <w:tcW w:w="21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0.000307</w:t>
            </w:r>
          </w:p>
        </w:tc>
      </w:tr>
    </w:tbl>
    <w:p>
      <w:pPr>
        <w:adjustRightInd w:val="0"/>
        <w:snapToGrid w:val="0"/>
        <w:spacing w:line="360" w:lineRule="auto"/>
        <w:outlineLvl w:val="2"/>
        <w:rPr>
          <w:b/>
          <w:color w:val="auto"/>
          <w:sz w:val="24"/>
          <w:highlight w:val="none"/>
        </w:rPr>
      </w:pPr>
      <w:r>
        <w:rPr>
          <w:rFonts w:hint="eastAsia"/>
          <w:b/>
          <w:color w:val="auto"/>
          <w:sz w:val="24"/>
          <w:highlight w:val="none"/>
        </w:rPr>
        <w:t>3.2.4非正常排放量核算</w:t>
      </w:r>
    </w:p>
    <w:p>
      <w:pPr>
        <w:adjustRightInd w:val="0"/>
        <w:snapToGrid w:val="0"/>
        <w:spacing w:line="360" w:lineRule="auto"/>
        <w:ind w:firstLine="480" w:firstLineChars="200"/>
        <w:rPr>
          <w:color w:val="auto"/>
          <w:sz w:val="24"/>
          <w:highlight w:val="none"/>
        </w:rPr>
      </w:pPr>
      <w:r>
        <w:rPr>
          <w:rFonts w:hint="eastAsia"/>
          <w:color w:val="auto"/>
          <w:sz w:val="24"/>
          <w:highlight w:val="none"/>
        </w:rPr>
        <w:t>大气污染物非正常排放量核算如下表所示：</w:t>
      </w:r>
    </w:p>
    <w:p>
      <w:pPr>
        <w:pStyle w:val="40"/>
        <w:spacing w:before="156" w:after="156"/>
        <w:rPr>
          <w:color w:val="auto"/>
          <w:highlight w:val="none"/>
        </w:rPr>
      </w:pPr>
      <w:r>
        <w:rPr>
          <w:rFonts w:hint="eastAsia"/>
          <w:color w:val="auto"/>
          <w:highlight w:val="none"/>
        </w:rPr>
        <w:t>表3.2-4 污染源非正常排放量核算一览表</w:t>
      </w:r>
    </w:p>
    <w:tbl>
      <w:tblPr>
        <w:tblStyle w:val="2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948"/>
        <w:gridCol w:w="1097"/>
        <w:gridCol w:w="1009"/>
        <w:gridCol w:w="1473"/>
        <w:gridCol w:w="1377"/>
        <w:gridCol w:w="1078"/>
        <w:gridCol w:w="968"/>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序号</w:t>
            </w:r>
          </w:p>
        </w:tc>
        <w:tc>
          <w:tcPr>
            <w:tcW w:w="94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污染源</w:t>
            </w:r>
          </w:p>
        </w:tc>
        <w:tc>
          <w:tcPr>
            <w:tcW w:w="1097"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非正常排放原因</w:t>
            </w:r>
          </w:p>
        </w:tc>
        <w:tc>
          <w:tcPr>
            <w:tcW w:w="1009"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污染物</w:t>
            </w:r>
          </w:p>
        </w:tc>
        <w:tc>
          <w:tcPr>
            <w:tcW w:w="1473"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非正常排放</w:t>
            </w:r>
          </w:p>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浓度（mg/m</w:t>
            </w:r>
            <w:r>
              <w:rPr>
                <w:rFonts w:hint="eastAsia"/>
                <w:color w:val="auto"/>
                <w:highlight w:val="none"/>
                <w:vertAlign w:val="superscript"/>
              </w:rPr>
              <w:t>3</w:t>
            </w:r>
            <w:r>
              <w:rPr>
                <w:rFonts w:hint="eastAsia"/>
                <w:color w:val="auto"/>
                <w:highlight w:val="none"/>
              </w:rPr>
              <w:t>）</w:t>
            </w:r>
          </w:p>
        </w:tc>
        <w:tc>
          <w:tcPr>
            <w:tcW w:w="1377"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非正常排放速率（kg/h）</w:t>
            </w:r>
          </w:p>
        </w:tc>
        <w:tc>
          <w:tcPr>
            <w:tcW w:w="107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单次持续时间/h</w:t>
            </w:r>
          </w:p>
        </w:tc>
        <w:tc>
          <w:tcPr>
            <w:tcW w:w="96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年发生频次/次</w:t>
            </w:r>
          </w:p>
        </w:tc>
        <w:tc>
          <w:tcPr>
            <w:tcW w:w="743"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应对</w:t>
            </w:r>
          </w:p>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1</w:t>
            </w:r>
          </w:p>
        </w:tc>
        <w:tc>
          <w:tcPr>
            <w:tcW w:w="948" w:type="dxa"/>
            <w:vMerge w:val="restart"/>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排气筒1#</w:t>
            </w:r>
          </w:p>
        </w:tc>
        <w:tc>
          <w:tcPr>
            <w:tcW w:w="1097" w:type="dxa"/>
            <w:vMerge w:val="restart"/>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环保设施失效</w:t>
            </w:r>
          </w:p>
        </w:tc>
        <w:tc>
          <w:tcPr>
            <w:tcW w:w="1009" w:type="dxa"/>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硫酸雾</w:t>
            </w:r>
          </w:p>
        </w:tc>
        <w:tc>
          <w:tcPr>
            <w:tcW w:w="1473" w:type="dxa"/>
            <w:vAlign w:val="center"/>
          </w:tcPr>
          <w:p>
            <w:pPr>
              <w:pStyle w:val="12"/>
              <w:keepNext w:val="0"/>
              <w:keepLines w:val="0"/>
              <w:pageBreakBefore w:val="0"/>
              <w:kinsoku/>
              <w:wordWrap/>
              <w:overflowPunct/>
              <w:topLinePunct w:val="0"/>
              <w:autoSpaceDE/>
              <w:autoSpaceDN/>
              <w:bidi w:val="0"/>
              <w:adjustRightInd/>
              <w:snapToGrid/>
              <w:spacing w:after="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0.9</w:t>
            </w:r>
          </w:p>
        </w:tc>
        <w:tc>
          <w:tcPr>
            <w:tcW w:w="137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0.006875</w:t>
            </w:r>
          </w:p>
        </w:tc>
        <w:tc>
          <w:tcPr>
            <w:tcW w:w="1078" w:type="dxa"/>
            <w:vMerge w:val="restart"/>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24</w:t>
            </w:r>
          </w:p>
        </w:tc>
        <w:tc>
          <w:tcPr>
            <w:tcW w:w="968" w:type="dxa"/>
            <w:vMerge w:val="restart"/>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1</w:t>
            </w:r>
          </w:p>
        </w:tc>
        <w:tc>
          <w:tcPr>
            <w:tcW w:w="743" w:type="dxa"/>
            <w:vMerge w:val="restart"/>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停产</w:t>
            </w:r>
          </w:p>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2</w:t>
            </w:r>
          </w:p>
        </w:tc>
        <w:tc>
          <w:tcPr>
            <w:tcW w:w="948" w:type="dxa"/>
            <w:vMerge w:val="continue"/>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p>
        </w:tc>
        <w:tc>
          <w:tcPr>
            <w:tcW w:w="1097" w:type="dxa"/>
            <w:vMerge w:val="continue"/>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p>
        </w:tc>
        <w:tc>
          <w:tcPr>
            <w:tcW w:w="1009" w:type="dxa"/>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氯化氢</w:t>
            </w:r>
          </w:p>
        </w:tc>
        <w:tc>
          <w:tcPr>
            <w:tcW w:w="1473" w:type="dxa"/>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1.99</w:t>
            </w:r>
          </w:p>
        </w:tc>
        <w:tc>
          <w:tcPr>
            <w:tcW w:w="1377" w:type="dxa"/>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0.014775</w:t>
            </w:r>
          </w:p>
        </w:tc>
        <w:tc>
          <w:tcPr>
            <w:tcW w:w="1078"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c>
          <w:tcPr>
            <w:tcW w:w="968"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c>
          <w:tcPr>
            <w:tcW w:w="743"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3</w:t>
            </w:r>
          </w:p>
        </w:tc>
        <w:tc>
          <w:tcPr>
            <w:tcW w:w="948" w:type="dxa"/>
            <w:vMerge w:val="continue"/>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p>
        </w:tc>
        <w:tc>
          <w:tcPr>
            <w:tcW w:w="1097" w:type="dxa"/>
            <w:vMerge w:val="continue"/>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p>
        </w:tc>
        <w:tc>
          <w:tcPr>
            <w:tcW w:w="1009" w:type="dxa"/>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氟化物</w:t>
            </w:r>
          </w:p>
        </w:tc>
        <w:tc>
          <w:tcPr>
            <w:tcW w:w="1473" w:type="dxa"/>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0.015</w:t>
            </w:r>
          </w:p>
        </w:tc>
        <w:tc>
          <w:tcPr>
            <w:tcW w:w="1377" w:type="dxa"/>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0.000099</w:t>
            </w:r>
          </w:p>
        </w:tc>
        <w:tc>
          <w:tcPr>
            <w:tcW w:w="1078"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c>
          <w:tcPr>
            <w:tcW w:w="968"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c>
          <w:tcPr>
            <w:tcW w:w="743"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 w:type="dxa"/>
            <w:vAlign w:val="center"/>
          </w:tcPr>
          <w:p>
            <w:pPr>
              <w:pStyle w:val="41"/>
              <w:keepNext w:val="0"/>
              <w:keepLines w:val="0"/>
              <w:pageBreakBefore w:val="0"/>
              <w:kinsoku/>
              <w:wordWrap/>
              <w:overflowPunct/>
              <w:topLinePunct w:val="0"/>
              <w:autoSpaceDE/>
              <w:autoSpaceDN/>
              <w:bidi w:val="0"/>
              <w:adjustRightInd/>
              <w:snapToGrid/>
              <w:rPr>
                <w:rFonts w:hint="eastAsia" w:eastAsia="宋体"/>
                <w:color w:val="auto"/>
                <w:highlight w:val="none"/>
                <w:lang w:val="en-US" w:eastAsia="zh-CN"/>
              </w:rPr>
            </w:pPr>
            <w:r>
              <w:rPr>
                <w:rFonts w:hint="eastAsia"/>
                <w:color w:val="auto"/>
                <w:highlight w:val="none"/>
                <w:lang w:val="en-US" w:eastAsia="zh-CN"/>
              </w:rPr>
              <w:t>4</w:t>
            </w:r>
          </w:p>
        </w:tc>
        <w:tc>
          <w:tcPr>
            <w:tcW w:w="948" w:type="dxa"/>
            <w:vAlign w:val="center"/>
          </w:tcPr>
          <w:p>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排气筒2#</w:t>
            </w:r>
          </w:p>
        </w:tc>
        <w:tc>
          <w:tcPr>
            <w:tcW w:w="1097" w:type="dxa"/>
            <w:vMerge w:val="continue"/>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p>
        </w:tc>
        <w:tc>
          <w:tcPr>
            <w:tcW w:w="1009" w:type="dxa"/>
            <w:vAlign w:val="center"/>
          </w:tcPr>
          <w:p>
            <w:pPr>
              <w:pStyle w:val="33"/>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铬酸雾</w:t>
            </w:r>
          </w:p>
        </w:tc>
        <w:tc>
          <w:tcPr>
            <w:tcW w:w="1473" w:type="dxa"/>
            <w:vAlign w:val="center"/>
          </w:tcPr>
          <w:p>
            <w:pPr>
              <w:pStyle w:val="12"/>
              <w:keepNext w:val="0"/>
              <w:keepLines w:val="0"/>
              <w:pageBreakBefore w:val="0"/>
              <w:kinsoku/>
              <w:wordWrap/>
              <w:overflowPunct/>
              <w:topLinePunct w:val="0"/>
              <w:autoSpaceDE/>
              <w:autoSpaceDN/>
              <w:bidi w:val="0"/>
              <w:adjustRightInd/>
              <w:snapToGrid/>
              <w:spacing w:after="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2.14</w:t>
            </w:r>
          </w:p>
        </w:tc>
        <w:tc>
          <w:tcPr>
            <w:tcW w:w="137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 xml:space="preserve">0.000003 </w:t>
            </w:r>
          </w:p>
        </w:tc>
        <w:tc>
          <w:tcPr>
            <w:tcW w:w="107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24</w:t>
            </w:r>
          </w:p>
        </w:tc>
        <w:tc>
          <w:tcPr>
            <w:tcW w:w="96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1</w:t>
            </w:r>
          </w:p>
        </w:tc>
        <w:tc>
          <w:tcPr>
            <w:tcW w:w="743"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93" w:type="dxa"/>
            <w:vAlign w:val="center"/>
          </w:tcPr>
          <w:p>
            <w:pPr>
              <w:pStyle w:val="41"/>
              <w:keepNext w:val="0"/>
              <w:keepLines w:val="0"/>
              <w:pageBreakBefore w:val="0"/>
              <w:kinsoku/>
              <w:wordWrap/>
              <w:overflowPunct/>
              <w:topLinePunct w:val="0"/>
              <w:autoSpaceDE/>
              <w:autoSpaceDN/>
              <w:bidi w:val="0"/>
              <w:adjustRightInd/>
              <w:snapToGrid/>
              <w:rPr>
                <w:rFonts w:hint="eastAsia" w:eastAsia="宋体"/>
                <w:color w:val="auto"/>
                <w:highlight w:val="none"/>
                <w:lang w:eastAsia="zh-CN"/>
              </w:rPr>
            </w:pPr>
            <w:r>
              <w:rPr>
                <w:rFonts w:hint="eastAsia"/>
                <w:color w:val="auto"/>
                <w:highlight w:val="none"/>
                <w:lang w:val="en-US" w:eastAsia="zh-CN"/>
              </w:rPr>
              <w:t>5</w:t>
            </w:r>
          </w:p>
        </w:tc>
        <w:tc>
          <w:tcPr>
            <w:tcW w:w="948" w:type="dxa"/>
            <w:vAlign w:val="center"/>
          </w:tcPr>
          <w:p>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排气筒3#</w:t>
            </w:r>
          </w:p>
        </w:tc>
        <w:tc>
          <w:tcPr>
            <w:tcW w:w="1097" w:type="dxa"/>
            <w:vMerge w:val="continue"/>
            <w:vAlign w:val="center"/>
          </w:tcPr>
          <w:p>
            <w:pPr>
              <w:pStyle w:val="41"/>
              <w:keepNext w:val="0"/>
              <w:keepLines w:val="0"/>
              <w:pageBreakBefore w:val="0"/>
              <w:kinsoku/>
              <w:wordWrap/>
              <w:overflowPunct/>
              <w:topLinePunct w:val="0"/>
              <w:autoSpaceDE/>
              <w:autoSpaceDN/>
              <w:bidi w:val="0"/>
              <w:adjustRightInd/>
              <w:snapToGrid/>
              <w:rPr>
                <w:rFonts w:hint="eastAsia" w:ascii="Times New Roman" w:hAnsi="Times New Roman" w:eastAsia="宋体" w:cs="Times New Roman"/>
                <w:color w:val="auto"/>
                <w:kern w:val="2"/>
                <w:sz w:val="21"/>
                <w:szCs w:val="24"/>
                <w:highlight w:val="none"/>
                <w:lang w:val="en-US" w:eastAsia="zh-CN" w:bidi="ar-SA"/>
              </w:rPr>
            </w:pPr>
          </w:p>
        </w:tc>
        <w:tc>
          <w:tcPr>
            <w:tcW w:w="1009" w:type="dxa"/>
            <w:vAlign w:val="center"/>
          </w:tcPr>
          <w:p>
            <w:pPr>
              <w:pStyle w:val="33"/>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氰化氢</w:t>
            </w:r>
          </w:p>
        </w:tc>
        <w:tc>
          <w:tcPr>
            <w:tcW w:w="1473" w:type="dxa"/>
            <w:vAlign w:val="center"/>
          </w:tcPr>
          <w:p>
            <w:pPr>
              <w:pStyle w:val="12"/>
              <w:keepNext w:val="0"/>
              <w:keepLines w:val="0"/>
              <w:pageBreakBefore w:val="0"/>
              <w:kinsoku/>
              <w:wordWrap/>
              <w:overflowPunct/>
              <w:topLinePunct w:val="0"/>
              <w:autoSpaceDE/>
              <w:autoSpaceDN/>
              <w:bidi w:val="0"/>
              <w:adjustRightInd/>
              <w:snapToGrid/>
              <w:spacing w:after="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0.12</w:t>
            </w:r>
          </w:p>
        </w:tc>
        <w:tc>
          <w:tcPr>
            <w:tcW w:w="1377"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 xml:space="preserve">0.000109 </w:t>
            </w:r>
          </w:p>
        </w:tc>
        <w:tc>
          <w:tcPr>
            <w:tcW w:w="107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24</w:t>
            </w:r>
          </w:p>
        </w:tc>
        <w:tc>
          <w:tcPr>
            <w:tcW w:w="968" w:type="dxa"/>
            <w:vAlign w:val="center"/>
          </w:tcPr>
          <w:p>
            <w:pPr>
              <w:pStyle w:val="41"/>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1</w:t>
            </w:r>
          </w:p>
        </w:tc>
        <w:tc>
          <w:tcPr>
            <w:tcW w:w="743" w:type="dxa"/>
            <w:vMerge w:val="continue"/>
            <w:vAlign w:val="center"/>
          </w:tcPr>
          <w:p>
            <w:pPr>
              <w:pStyle w:val="41"/>
              <w:keepNext w:val="0"/>
              <w:keepLines w:val="0"/>
              <w:pageBreakBefore w:val="0"/>
              <w:kinsoku/>
              <w:wordWrap/>
              <w:overflowPunct/>
              <w:topLinePunct w:val="0"/>
              <w:autoSpaceDE/>
              <w:autoSpaceDN/>
              <w:bidi w:val="0"/>
              <w:adjustRightInd/>
              <w:snapToGrid/>
              <w:rPr>
                <w:color w:val="auto"/>
                <w:highlight w:val="none"/>
              </w:rPr>
            </w:pPr>
          </w:p>
        </w:tc>
      </w:tr>
    </w:tbl>
    <w:p>
      <w:pPr>
        <w:pStyle w:val="5"/>
        <w:numPr>
          <w:ilvl w:val="1"/>
          <w:numId w:val="0"/>
        </w:numPr>
        <w:spacing w:before="156"/>
        <w:rPr>
          <w:bCs w:val="0"/>
          <w:color w:val="auto"/>
          <w:sz w:val="28"/>
          <w:szCs w:val="28"/>
        </w:rPr>
      </w:pPr>
      <w:r>
        <w:rPr>
          <w:rFonts w:hint="eastAsia"/>
          <w:bCs w:val="0"/>
          <w:color w:val="auto"/>
          <w:sz w:val="28"/>
          <w:szCs w:val="28"/>
        </w:rPr>
        <w:t>3.3大气污染防治措施及可行性分析</w:t>
      </w:r>
    </w:p>
    <w:p>
      <w:pPr>
        <w:adjustRightInd w:val="0"/>
        <w:snapToGrid w:val="0"/>
        <w:spacing w:line="360" w:lineRule="auto"/>
        <w:outlineLvl w:val="2"/>
        <w:rPr>
          <w:b/>
          <w:color w:val="auto"/>
          <w:sz w:val="24"/>
        </w:rPr>
      </w:pPr>
      <w:r>
        <w:rPr>
          <w:rFonts w:hint="eastAsia"/>
          <w:b/>
          <w:color w:val="auto"/>
          <w:sz w:val="24"/>
        </w:rPr>
        <w:t>3.3.1废气收集措施</w:t>
      </w:r>
    </w:p>
    <w:p>
      <w:pPr>
        <w:spacing w:line="360" w:lineRule="auto"/>
        <w:ind w:firstLine="482"/>
        <w:rPr>
          <w:color w:val="auto"/>
          <w:sz w:val="24"/>
          <w:highlight w:val="yellow"/>
        </w:rPr>
      </w:pPr>
      <w:r>
        <w:rPr>
          <w:color w:val="auto"/>
          <w:sz w:val="24"/>
        </w:rPr>
        <w:t>本项目车间内建设完善的废气收集管网，镀槽废气收集采用上方顶棚集气罩+侧帘阻挡集气方式对镀槽废气进行收集。集气罩集气效率不低于85%。集气罩安装尽量降低至镀槽中液面高度，在满足工艺条件的前提下，尽量</w:t>
      </w:r>
      <w:r>
        <w:rPr>
          <w:rFonts w:hint="eastAsia"/>
          <w:color w:val="auto"/>
          <w:sz w:val="24"/>
        </w:rPr>
        <w:t>降低集气罩高度，</w:t>
      </w:r>
      <w:r>
        <w:rPr>
          <w:color w:val="auto"/>
          <w:sz w:val="24"/>
        </w:rPr>
        <w:t>提高集气罩</w:t>
      </w:r>
      <w:r>
        <w:rPr>
          <w:rFonts w:hint="eastAsia"/>
          <w:color w:val="auto"/>
          <w:sz w:val="24"/>
        </w:rPr>
        <w:t>收集效率</w:t>
      </w:r>
      <w:r>
        <w:rPr>
          <w:color w:val="auto"/>
          <w:sz w:val="24"/>
        </w:rPr>
        <w:t>。</w:t>
      </w:r>
    </w:p>
    <w:p>
      <w:pPr>
        <w:adjustRightInd w:val="0"/>
        <w:snapToGrid w:val="0"/>
        <w:spacing w:line="360" w:lineRule="auto"/>
        <w:outlineLvl w:val="2"/>
        <w:rPr>
          <w:b/>
          <w:color w:val="auto"/>
          <w:sz w:val="24"/>
        </w:rPr>
      </w:pPr>
      <w:r>
        <w:rPr>
          <w:rFonts w:hint="eastAsia"/>
          <w:b/>
          <w:color w:val="auto"/>
          <w:sz w:val="24"/>
        </w:rPr>
        <w:t>3.3.2有组织废气处理措施及其可行性</w:t>
      </w:r>
    </w:p>
    <w:p>
      <w:pPr>
        <w:pStyle w:val="2"/>
        <w:numPr>
          <w:ilvl w:val="0"/>
          <w:numId w:val="21"/>
        </w:numPr>
        <w:spacing w:after="0"/>
        <w:rPr>
          <w:color w:val="auto"/>
          <w:kern w:val="2"/>
          <w:szCs w:val="21"/>
        </w:rPr>
      </w:pPr>
      <w:r>
        <w:rPr>
          <w:rFonts w:hint="eastAsia"/>
          <w:color w:val="auto"/>
          <w:kern w:val="2"/>
          <w:szCs w:val="21"/>
        </w:rPr>
        <w:t>碱液喷淋塔</w:t>
      </w:r>
    </w:p>
    <w:p>
      <w:pPr>
        <w:pStyle w:val="2"/>
        <w:spacing w:after="0"/>
        <w:ind w:left="360" w:firstLine="240" w:firstLineChars="100"/>
        <w:rPr>
          <w:color w:val="auto"/>
          <w:kern w:val="2"/>
          <w:szCs w:val="21"/>
        </w:rPr>
      </w:pPr>
      <w:r>
        <w:rPr>
          <w:rFonts w:hint="eastAsia" w:ascii="宋体" w:hAnsi="宋体" w:cs="宋体"/>
          <w:color w:val="auto"/>
          <w:kern w:val="2"/>
          <w:szCs w:val="21"/>
        </w:rPr>
        <w:t>①</w:t>
      </w:r>
      <w:r>
        <w:rPr>
          <w:rFonts w:hint="eastAsia"/>
          <w:color w:val="auto"/>
          <w:kern w:val="2"/>
          <w:szCs w:val="21"/>
        </w:rPr>
        <w:t>处理措施</w:t>
      </w:r>
    </w:p>
    <w:p>
      <w:pPr>
        <w:spacing w:line="360" w:lineRule="auto"/>
        <w:ind w:firstLine="482"/>
        <w:rPr>
          <w:color w:val="auto"/>
          <w:sz w:val="24"/>
          <w:szCs w:val="21"/>
        </w:rPr>
      </w:pPr>
      <w:r>
        <w:rPr>
          <w:rFonts w:hint="eastAsia"/>
          <w:color w:val="auto"/>
          <w:sz w:val="24"/>
          <w:szCs w:val="21"/>
        </w:rPr>
        <w:t>经</w:t>
      </w:r>
      <w:r>
        <w:rPr>
          <w:color w:val="auto"/>
          <w:sz w:val="24"/>
          <w:szCs w:val="21"/>
        </w:rPr>
        <w:t>收集的</w:t>
      </w:r>
      <w:r>
        <w:rPr>
          <w:rFonts w:hint="eastAsia"/>
          <w:color w:val="auto"/>
          <w:sz w:val="24"/>
          <w:szCs w:val="21"/>
        </w:rPr>
        <w:t>氯化氢、硫酸雾、氟化氢</w:t>
      </w:r>
      <w:r>
        <w:rPr>
          <w:color w:val="auto"/>
          <w:sz w:val="24"/>
          <w:szCs w:val="21"/>
        </w:rPr>
        <w:t>废气通过引风机引至填料塔，经过填料层，废气与吸收液进行气液两相充分接触、吸收、中和反应，再经脱水板除雾后排入大气。吸收液在塔底经水泵增压后，在塔顶喷淋而下，最后回流至塔底循环使用。本项目采用碱液作为喷淋吸收物质，碱液可与酸雾发生中和反应，从而起到对气体净化的作用。当吸收液pH值达到一定值，补充或更换吸收液，更换的废吸收液排入污水处理站处理。废气采用“碱液喷淋净化塔”处理达标后通过15m高的排气筒排放。处理工艺如下：</w:t>
      </w:r>
    </w:p>
    <w:p>
      <w:pPr>
        <w:spacing w:line="360" w:lineRule="auto"/>
        <w:ind w:firstLine="422" w:firstLineChars="200"/>
        <w:jc w:val="center"/>
        <w:rPr>
          <w:rFonts w:hint="eastAsia"/>
          <w:b/>
          <w:bCs/>
          <w:color w:val="auto"/>
          <w:szCs w:val="21"/>
        </w:rPr>
      </w:pPr>
      <w:r>
        <w:rPr>
          <w:rFonts w:hint="eastAsia"/>
          <w:b/>
          <w:bCs/>
          <w:color w:val="auto"/>
          <w:szCs w:val="21"/>
        </w:rPr>
        <w:t>废气</w:t>
      </w:r>
      <w:r>
        <w:rPr>
          <w:b/>
          <w:bCs/>
          <w:color w:val="auto"/>
          <w:szCs w:val="21"/>
        </w:rPr>
        <w:t xml:space="preserve"> → </w:t>
      </w:r>
      <w:r>
        <w:rPr>
          <w:rFonts w:hint="eastAsia"/>
          <w:b/>
          <w:bCs/>
          <w:color w:val="auto"/>
          <w:szCs w:val="21"/>
          <w:bdr w:val="single" w:color="auto" w:sz="4" w:space="0"/>
        </w:rPr>
        <w:t>集气装置</w:t>
      </w:r>
      <w:r>
        <w:rPr>
          <w:b/>
          <w:bCs/>
          <w:color w:val="auto"/>
          <w:szCs w:val="21"/>
        </w:rPr>
        <w:t xml:space="preserve"> →</w:t>
      </w:r>
      <w:r>
        <w:rPr>
          <w:rFonts w:hint="eastAsia"/>
          <w:b/>
          <w:bCs/>
          <w:color w:val="auto"/>
          <w:szCs w:val="21"/>
          <w:bdr w:val="single" w:color="auto" w:sz="4" w:space="0"/>
        </w:rPr>
        <w:t>碱液喷淋净化塔</w:t>
      </w:r>
      <w:r>
        <w:rPr>
          <w:b/>
          <w:bCs/>
          <w:color w:val="auto"/>
          <w:szCs w:val="21"/>
        </w:rPr>
        <w:t xml:space="preserve">→ </w:t>
      </w:r>
      <w:r>
        <w:rPr>
          <w:rFonts w:hint="eastAsia"/>
          <w:b/>
          <w:bCs/>
          <w:color w:val="auto"/>
          <w:szCs w:val="21"/>
          <w:bdr w:val="single" w:color="auto" w:sz="4" w:space="0"/>
        </w:rPr>
        <w:t>风机</w:t>
      </w:r>
      <w:r>
        <w:rPr>
          <w:b/>
          <w:bCs/>
          <w:color w:val="auto"/>
          <w:szCs w:val="21"/>
        </w:rPr>
        <w:t xml:space="preserve"> → </w:t>
      </w:r>
      <w:r>
        <w:rPr>
          <w:rFonts w:hint="eastAsia"/>
          <w:b/>
          <w:bCs/>
          <w:color w:val="auto"/>
          <w:szCs w:val="21"/>
        </w:rPr>
        <w:t>净化气排放</w:t>
      </w:r>
    </w:p>
    <w:p>
      <w:pPr>
        <w:pStyle w:val="47"/>
        <w:ind w:left="0" w:leftChars="0" w:firstLine="0" w:firstLineChars="0"/>
        <w:jc w:val="center"/>
        <w:rPr>
          <w:rFonts w:ascii="Times New Roman" w:hAnsi="Times New Roman"/>
          <w:color w:val="auto"/>
        </w:rPr>
      </w:pPr>
      <w:r>
        <w:rPr>
          <w:rFonts w:hint="eastAsia"/>
          <w:b/>
          <w:bCs/>
          <w:color w:val="auto"/>
          <w:szCs w:val="21"/>
          <w:lang w:eastAsia="zh-CN"/>
        </w:rPr>
        <w:t>图</w:t>
      </w:r>
      <w:r>
        <w:rPr>
          <w:rFonts w:hint="eastAsia"/>
          <w:b/>
          <w:bCs/>
          <w:color w:val="auto"/>
          <w:szCs w:val="21"/>
          <w:lang w:val="en-US" w:eastAsia="zh-CN"/>
        </w:rPr>
        <w:t xml:space="preserve">3.3-1  </w:t>
      </w:r>
      <w:r>
        <w:rPr>
          <w:rFonts w:hint="eastAsia"/>
          <w:b/>
          <w:color w:val="auto"/>
        </w:rPr>
        <w:t>酸雾治理措施工艺流程图</w:t>
      </w:r>
    </w:p>
    <w:p>
      <w:pPr>
        <w:spacing w:line="360" w:lineRule="auto"/>
        <w:ind w:firstLine="482"/>
        <w:rPr>
          <w:color w:val="auto"/>
          <w:sz w:val="24"/>
          <w:szCs w:val="21"/>
        </w:rPr>
      </w:pPr>
      <w:r>
        <w:rPr>
          <w:rFonts w:hint="eastAsia" w:ascii="宋体" w:hAnsi="宋体" w:cs="宋体"/>
          <w:color w:val="auto"/>
          <w:sz w:val="24"/>
          <w:szCs w:val="21"/>
        </w:rPr>
        <w:t>②</w:t>
      </w:r>
      <w:r>
        <w:rPr>
          <w:rFonts w:hint="eastAsia"/>
          <w:color w:val="auto"/>
          <w:sz w:val="24"/>
          <w:szCs w:val="21"/>
        </w:rPr>
        <w:t>工艺可行性分析</w:t>
      </w:r>
    </w:p>
    <w:p>
      <w:pPr>
        <w:spacing w:line="360" w:lineRule="auto"/>
        <w:ind w:firstLine="482"/>
        <w:rPr>
          <w:color w:val="auto"/>
          <w:sz w:val="24"/>
        </w:rPr>
      </w:pPr>
      <w:r>
        <w:rPr>
          <w:color w:val="auto"/>
          <w:sz w:val="24"/>
          <w:szCs w:val="21"/>
        </w:rPr>
        <w:t>“</w:t>
      </w:r>
      <w:r>
        <w:rPr>
          <w:rFonts w:hint="eastAsia"/>
          <w:color w:val="auto"/>
          <w:sz w:val="24"/>
          <w:szCs w:val="21"/>
        </w:rPr>
        <w:t>碱液喷淋净化塔</w:t>
      </w:r>
      <w:r>
        <w:rPr>
          <w:color w:val="auto"/>
          <w:sz w:val="24"/>
          <w:szCs w:val="21"/>
        </w:rPr>
        <w:t>”</w:t>
      </w:r>
      <w:r>
        <w:rPr>
          <w:rFonts w:hint="eastAsia"/>
          <w:color w:val="auto"/>
          <w:sz w:val="24"/>
          <w:szCs w:val="21"/>
        </w:rPr>
        <w:t>工作原理主要是利用酸雾易溶于氢氧化钠溶液的原理，采用碱液吸收法处理酸雾经济、方便，为工程上普遍采用的废气治理工艺，</w:t>
      </w:r>
      <w:r>
        <w:rPr>
          <w:rFonts w:hint="eastAsia"/>
          <w:color w:val="auto"/>
          <w:sz w:val="24"/>
        </w:rPr>
        <w:t>根据《污染源强核算技术指南</w:t>
      </w:r>
      <w:r>
        <w:rPr>
          <w:color w:val="auto"/>
          <w:sz w:val="24"/>
        </w:rPr>
        <w:t xml:space="preserve"> </w:t>
      </w:r>
      <w:r>
        <w:rPr>
          <w:rFonts w:hint="eastAsia"/>
          <w:color w:val="auto"/>
          <w:sz w:val="24"/>
        </w:rPr>
        <w:t>电镀》</w:t>
      </w:r>
      <w:r>
        <w:rPr>
          <w:color w:val="auto"/>
          <w:sz w:val="24"/>
        </w:rPr>
        <w:t xml:space="preserve">HJ984-2018 </w:t>
      </w:r>
      <w:r>
        <w:rPr>
          <w:rFonts w:hint="eastAsia"/>
          <w:color w:val="auto"/>
          <w:sz w:val="24"/>
        </w:rPr>
        <w:t>附录</w:t>
      </w:r>
      <w:r>
        <w:rPr>
          <w:color w:val="auto"/>
          <w:sz w:val="24"/>
        </w:rPr>
        <w:t>F</w:t>
      </w:r>
      <w:r>
        <w:rPr>
          <w:rFonts w:hint="eastAsia"/>
          <w:color w:val="auto"/>
          <w:sz w:val="24"/>
        </w:rPr>
        <w:t>，表</w:t>
      </w:r>
      <w:r>
        <w:rPr>
          <w:color w:val="auto"/>
          <w:sz w:val="24"/>
        </w:rPr>
        <w:t>F.1</w:t>
      </w:r>
      <w:r>
        <w:rPr>
          <w:rFonts w:hint="eastAsia"/>
          <w:color w:val="auto"/>
          <w:sz w:val="24"/>
        </w:rPr>
        <w:t>，硫酸雾去除率可达到</w:t>
      </w:r>
      <w:r>
        <w:rPr>
          <w:color w:val="auto"/>
          <w:sz w:val="24"/>
        </w:rPr>
        <w:t>90%</w:t>
      </w:r>
      <w:r>
        <w:rPr>
          <w:rFonts w:hint="eastAsia"/>
          <w:color w:val="auto"/>
          <w:sz w:val="24"/>
        </w:rPr>
        <w:t>。另根据原有工程实际运行情况，采用碱液喷淋塔处理后的酸雾废气均能达标排放，该处理措施可行。</w:t>
      </w:r>
    </w:p>
    <w:p>
      <w:pPr>
        <w:pStyle w:val="47"/>
        <w:numPr>
          <w:ilvl w:val="0"/>
          <w:numId w:val="0"/>
        </w:numPr>
        <w:ind w:leftChars="200"/>
        <w:rPr>
          <w:rFonts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hint="eastAsia" w:ascii="Times New Roman" w:hAnsi="Times New Roman"/>
          <w:color w:val="auto"/>
          <w:lang w:eastAsia="zh-CN"/>
        </w:rPr>
        <w:t>）</w:t>
      </w:r>
      <w:r>
        <w:rPr>
          <w:rFonts w:hint="eastAsia" w:ascii="Times New Roman" w:hAnsi="Times New Roman"/>
          <w:color w:val="auto"/>
        </w:rPr>
        <w:t>氰净化塔</w:t>
      </w:r>
    </w:p>
    <w:p>
      <w:pPr>
        <w:pStyle w:val="2"/>
        <w:spacing w:after="0"/>
        <w:ind w:left="360" w:firstLine="240" w:firstLineChars="100"/>
        <w:rPr>
          <w:color w:val="auto"/>
          <w:kern w:val="2"/>
          <w:szCs w:val="21"/>
        </w:rPr>
      </w:pPr>
      <w:r>
        <w:rPr>
          <w:rFonts w:hint="eastAsia" w:ascii="宋体" w:hAnsi="宋体" w:cs="宋体"/>
          <w:color w:val="auto"/>
          <w:kern w:val="2"/>
          <w:szCs w:val="21"/>
        </w:rPr>
        <w:t>①</w:t>
      </w:r>
      <w:r>
        <w:rPr>
          <w:rFonts w:hint="eastAsia"/>
          <w:color w:val="auto"/>
          <w:kern w:val="2"/>
          <w:szCs w:val="21"/>
        </w:rPr>
        <w:t>处理措施</w:t>
      </w:r>
    </w:p>
    <w:p>
      <w:pPr>
        <w:spacing w:line="360" w:lineRule="auto"/>
        <w:ind w:firstLine="482"/>
        <w:rPr>
          <w:color w:val="auto"/>
          <w:sz w:val="24"/>
          <w:szCs w:val="21"/>
        </w:rPr>
      </w:pPr>
      <w:r>
        <w:rPr>
          <w:color w:val="auto"/>
          <w:sz w:val="24"/>
          <w:szCs w:val="21"/>
        </w:rPr>
        <w:t>项目</w:t>
      </w:r>
      <w:r>
        <w:rPr>
          <w:rFonts w:hint="eastAsia"/>
          <w:color w:val="auto"/>
          <w:sz w:val="24"/>
          <w:szCs w:val="21"/>
        </w:rPr>
        <w:t>对产生氰化氢废气的各工艺点均安装集气罩，收集的废气</w:t>
      </w:r>
      <w:r>
        <w:rPr>
          <w:color w:val="auto"/>
          <w:sz w:val="24"/>
          <w:szCs w:val="21"/>
        </w:rPr>
        <w:t>通过引风机引至填料塔，经过填料层，废气与吸收液进行气液两相充分接触、吸收、中和反应，再经脱水板除雾后排入大气。吸收液在塔底经水泵增压后，在塔顶喷淋而下，最后回流至塔底循环使用。本项目采用</w:t>
      </w:r>
      <w:r>
        <w:rPr>
          <w:rFonts w:hint="eastAsia"/>
          <w:color w:val="auto"/>
          <w:sz w:val="24"/>
          <w:szCs w:val="21"/>
        </w:rPr>
        <w:t>次氯酸钠</w:t>
      </w:r>
      <w:r>
        <w:rPr>
          <w:color w:val="auto"/>
          <w:sz w:val="24"/>
          <w:szCs w:val="21"/>
        </w:rPr>
        <w:t>作为喷淋吸收物质，碱液可与</w:t>
      </w:r>
      <w:r>
        <w:rPr>
          <w:rFonts w:hint="eastAsia"/>
          <w:color w:val="auto"/>
          <w:sz w:val="24"/>
          <w:szCs w:val="21"/>
        </w:rPr>
        <w:t>氰化氢</w:t>
      </w:r>
      <w:r>
        <w:rPr>
          <w:color w:val="auto"/>
          <w:sz w:val="24"/>
          <w:szCs w:val="21"/>
        </w:rPr>
        <w:t>发生反应，从而起到对气体净化的作用。</w:t>
      </w:r>
      <w:r>
        <w:rPr>
          <w:rFonts w:hint="eastAsia"/>
          <w:color w:val="auto"/>
          <w:sz w:val="24"/>
          <w:szCs w:val="21"/>
        </w:rPr>
        <w:t>废气采用“氰净化塔”处理达标后通过15m高的排气筒排放，符合集控中要求。氰化氢</w:t>
      </w:r>
      <w:r>
        <w:rPr>
          <w:color w:val="auto"/>
          <w:sz w:val="24"/>
          <w:szCs w:val="21"/>
        </w:rPr>
        <w:t>废气处理工艺流程如下：</w:t>
      </w:r>
      <w:r>
        <w:rPr>
          <w:rFonts w:hint="eastAsia"/>
          <w:color w:val="auto"/>
          <w:sz w:val="24"/>
          <w:szCs w:val="21"/>
        </w:rPr>
        <w:t xml:space="preserve"> </w:t>
      </w:r>
    </w:p>
    <w:p>
      <w:pPr>
        <w:spacing w:line="360" w:lineRule="auto"/>
        <w:ind w:firstLine="482"/>
        <w:rPr>
          <w:color w:val="auto"/>
        </w:rPr>
      </w:pPr>
      <w:r>
        <w:rPr>
          <w:color w:val="auto"/>
        </w:rPr>
        <w:object>
          <v:shape id="_x0000_i1037" o:spt="75" type="#_x0000_t75" style="height:36pt;width:415.5pt;" o:ole="t" filled="f" o:preferrelative="t" stroked="f" coordsize="21600,21600">
            <v:path/>
            <v:fill on="f" focussize="0,0"/>
            <v:stroke on="f"/>
            <v:imagedata r:id="rId53" o:title=""/>
            <o:lock v:ext="edit" aspectratio="t"/>
            <w10:wrap type="none"/>
            <w10:anchorlock/>
          </v:shape>
          <o:OLEObject Type="Embed" ProgID="Visio.Drawing.11" ShapeID="_x0000_i1037" DrawAspect="Content" ObjectID="_1468075737" r:id="rId52">
            <o:LockedField>false</o:LockedField>
          </o:OLEObject>
        </w:object>
      </w:r>
    </w:p>
    <w:p>
      <w:pPr>
        <w:pStyle w:val="47"/>
        <w:ind w:left="0" w:leftChars="0" w:firstLine="0" w:firstLineChars="0"/>
        <w:jc w:val="center"/>
        <w:rPr>
          <w:rFonts w:ascii="Times New Roman" w:hAnsi="Times New Roman"/>
          <w:color w:val="auto"/>
        </w:rPr>
      </w:pPr>
      <w:r>
        <w:rPr>
          <w:rFonts w:hint="eastAsia"/>
          <w:b/>
          <w:bCs/>
          <w:color w:val="auto"/>
          <w:szCs w:val="21"/>
          <w:lang w:eastAsia="zh-CN"/>
        </w:rPr>
        <w:t>图</w:t>
      </w:r>
      <w:r>
        <w:rPr>
          <w:rFonts w:hint="eastAsia"/>
          <w:b/>
          <w:bCs/>
          <w:color w:val="auto"/>
          <w:szCs w:val="21"/>
          <w:lang w:val="en-US" w:eastAsia="zh-CN"/>
        </w:rPr>
        <w:t xml:space="preserve">3.3-2  </w:t>
      </w:r>
      <w:r>
        <w:rPr>
          <w:rFonts w:hint="eastAsia"/>
          <w:b/>
          <w:color w:val="auto"/>
          <w:lang w:eastAsia="zh-CN"/>
        </w:rPr>
        <w:t>氰化氢</w:t>
      </w:r>
      <w:r>
        <w:rPr>
          <w:rFonts w:hint="eastAsia"/>
          <w:b/>
          <w:color w:val="auto"/>
        </w:rPr>
        <w:t>治理措施工艺流程图</w:t>
      </w:r>
    </w:p>
    <w:p>
      <w:pPr>
        <w:spacing w:line="360" w:lineRule="auto"/>
        <w:ind w:firstLine="482"/>
        <w:rPr>
          <w:color w:val="auto"/>
          <w:sz w:val="24"/>
          <w:szCs w:val="21"/>
        </w:rPr>
      </w:pPr>
      <w:r>
        <w:rPr>
          <w:rFonts w:hint="eastAsia" w:ascii="宋体" w:hAnsi="宋体" w:cs="宋体"/>
          <w:color w:val="auto"/>
          <w:sz w:val="24"/>
          <w:szCs w:val="21"/>
        </w:rPr>
        <w:t>②</w:t>
      </w:r>
      <w:r>
        <w:rPr>
          <w:rFonts w:hint="eastAsia"/>
          <w:color w:val="auto"/>
          <w:sz w:val="24"/>
          <w:szCs w:val="21"/>
        </w:rPr>
        <w:t>工艺可行性分析</w:t>
      </w:r>
    </w:p>
    <w:p>
      <w:pPr>
        <w:spacing w:line="360" w:lineRule="auto"/>
        <w:ind w:firstLine="482"/>
        <w:rPr>
          <w:color w:val="auto"/>
          <w:sz w:val="24"/>
          <w:szCs w:val="21"/>
        </w:rPr>
      </w:pPr>
      <w:r>
        <w:rPr>
          <w:rFonts w:hint="eastAsia"/>
          <w:color w:val="auto"/>
          <w:sz w:val="24"/>
          <w:szCs w:val="21"/>
        </w:rPr>
        <w:t>本项目氰化氢废气采用次氯酸钠吸收，其反应原理如下：</w:t>
      </w:r>
    </w:p>
    <w:p>
      <w:pPr>
        <w:spacing w:line="360" w:lineRule="auto"/>
        <w:ind w:firstLine="482"/>
        <w:rPr>
          <w:color w:val="auto"/>
          <w:sz w:val="24"/>
          <w:szCs w:val="21"/>
        </w:rPr>
      </w:pPr>
      <w:r>
        <w:rPr>
          <w:rFonts w:hint="eastAsia"/>
          <w:color w:val="auto"/>
          <w:sz w:val="24"/>
          <w:szCs w:val="21"/>
        </w:rPr>
        <w:t>2NaClO + CN- → CO</w:t>
      </w:r>
      <w:r>
        <w:rPr>
          <w:rFonts w:hint="eastAsia"/>
          <w:color w:val="auto"/>
          <w:sz w:val="24"/>
          <w:szCs w:val="21"/>
          <w:vertAlign w:val="subscript"/>
        </w:rPr>
        <w:t>2</w:t>
      </w:r>
      <w:r>
        <w:rPr>
          <w:rFonts w:hint="eastAsia"/>
          <w:color w:val="auto"/>
          <w:sz w:val="24"/>
          <w:szCs w:val="21"/>
        </w:rPr>
        <w:t xml:space="preserve"> + N</w:t>
      </w:r>
      <w:r>
        <w:rPr>
          <w:rFonts w:hint="eastAsia"/>
          <w:color w:val="auto"/>
          <w:sz w:val="24"/>
          <w:szCs w:val="21"/>
          <w:vertAlign w:val="subscript"/>
        </w:rPr>
        <w:t>2</w:t>
      </w:r>
      <w:r>
        <w:rPr>
          <w:rFonts w:hint="eastAsia"/>
          <w:color w:val="auto"/>
          <w:sz w:val="24"/>
          <w:szCs w:val="21"/>
        </w:rPr>
        <w:t xml:space="preserve"> + 2NaCl</w:t>
      </w:r>
    </w:p>
    <w:p>
      <w:pPr>
        <w:spacing w:line="360" w:lineRule="auto"/>
        <w:ind w:firstLine="482"/>
        <w:rPr>
          <w:color w:val="auto"/>
          <w:sz w:val="24"/>
          <w:szCs w:val="21"/>
        </w:rPr>
      </w:pPr>
      <w:r>
        <w:rPr>
          <w:rFonts w:hint="eastAsia"/>
          <w:color w:val="auto"/>
          <w:sz w:val="24"/>
          <w:szCs w:val="21"/>
        </w:rPr>
        <w:t>根据原有工程运行情况，采用氰净化塔处理后的含氰废气能够稳定达标排放，该处理措施可行。</w:t>
      </w:r>
    </w:p>
    <w:p>
      <w:pPr>
        <w:pStyle w:val="47"/>
        <w:numPr>
          <w:ilvl w:val="0"/>
          <w:numId w:val="0"/>
        </w:numPr>
        <w:ind w:leftChars="200"/>
        <w:rPr>
          <w:rFonts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hint="eastAsia" w:ascii="Times New Roman" w:hAnsi="Times New Roman"/>
          <w:color w:val="auto"/>
          <w:lang w:eastAsia="zh-CN"/>
        </w:rPr>
        <w:t>）</w:t>
      </w:r>
      <w:r>
        <w:rPr>
          <w:rFonts w:hint="eastAsia" w:ascii="Times New Roman" w:hAnsi="Times New Roman"/>
          <w:color w:val="auto"/>
        </w:rPr>
        <w:t>网格净化器</w:t>
      </w:r>
    </w:p>
    <w:p>
      <w:pPr>
        <w:pStyle w:val="2"/>
        <w:spacing w:after="0"/>
        <w:ind w:firstLine="600" w:firstLineChars="250"/>
        <w:rPr>
          <w:rFonts w:ascii="宋体" w:hAnsi="宋体" w:cs="宋体"/>
          <w:color w:val="auto"/>
          <w:kern w:val="2"/>
          <w:szCs w:val="21"/>
        </w:rPr>
      </w:pPr>
      <w:r>
        <w:rPr>
          <w:rFonts w:hint="eastAsia" w:ascii="宋体" w:hAnsi="宋体" w:cs="宋体"/>
          <w:color w:val="auto"/>
          <w:kern w:val="2"/>
          <w:szCs w:val="21"/>
        </w:rPr>
        <w:t>本项目原有工程将铬酸雾混入其他酸雾废气通入碱液喷淋塔处理，并未对铬酸雾单独收集处理。鉴于铬酸雾毒性较大，建议企业将半自动滚镀铜、镍生产线钝化工艺以及手工锌合金钝化工艺产生的铬酸雾单独收集后经网格净化器处理后排放。</w:t>
      </w:r>
    </w:p>
    <w:p>
      <w:pPr>
        <w:pStyle w:val="2"/>
        <w:spacing w:after="0"/>
        <w:ind w:left="360" w:firstLine="240" w:firstLineChars="100"/>
        <w:rPr>
          <w:color w:val="auto"/>
          <w:kern w:val="2"/>
          <w:szCs w:val="21"/>
        </w:rPr>
      </w:pPr>
      <w:r>
        <w:rPr>
          <w:rFonts w:hint="eastAsia" w:ascii="宋体" w:hAnsi="宋体" w:cs="宋体"/>
          <w:color w:val="auto"/>
          <w:kern w:val="2"/>
          <w:szCs w:val="21"/>
        </w:rPr>
        <w:t>①</w:t>
      </w:r>
      <w:r>
        <w:rPr>
          <w:rFonts w:hint="eastAsia"/>
          <w:color w:val="auto"/>
          <w:kern w:val="2"/>
          <w:szCs w:val="21"/>
        </w:rPr>
        <w:t>处理措施</w:t>
      </w:r>
    </w:p>
    <w:p>
      <w:pPr>
        <w:spacing w:line="360" w:lineRule="auto"/>
        <w:ind w:firstLine="480" w:firstLineChars="200"/>
        <w:rPr>
          <w:color w:val="auto"/>
          <w:sz w:val="24"/>
          <w:szCs w:val="21"/>
        </w:rPr>
      </w:pPr>
      <w:r>
        <w:rPr>
          <w:color w:val="auto"/>
          <w:sz w:val="24"/>
        </w:rPr>
        <w:t>铬酸雾</w:t>
      </w:r>
      <w:r>
        <w:rPr>
          <w:color w:val="auto"/>
          <w:sz w:val="24"/>
          <w:szCs w:val="21"/>
        </w:rPr>
        <w:t>经槽边吸风罩捕集后，通过引风机引至</w:t>
      </w:r>
      <w:r>
        <w:rPr>
          <w:rFonts w:hint="eastAsia"/>
          <w:color w:val="auto"/>
          <w:sz w:val="24"/>
          <w:szCs w:val="21"/>
        </w:rPr>
        <w:t>“</w:t>
      </w:r>
      <w:r>
        <w:rPr>
          <w:color w:val="auto"/>
          <w:sz w:val="24"/>
          <w:szCs w:val="21"/>
        </w:rPr>
        <w:t>网格式净化器</w:t>
      </w:r>
      <w:r>
        <w:rPr>
          <w:rFonts w:hint="eastAsia"/>
          <w:color w:val="auto"/>
          <w:sz w:val="24"/>
          <w:szCs w:val="21"/>
        </w:rPr>
        <w:t>”回收净化后</w:t>
      </w:r>
      <w:r>
        <w:rPr>
          <w:rFonts w:cs="宋体"/>
          <w:color w:val="auto"/>
          <w:sz w:val="24"/>
        </w:rPr>
        <w:t>通过铬酸雾</w:t>
      </w:r>
      <w:r>
        <w:rPr>
          <w:rFonts w:hint="eastAsia" w:cs="宋体"/>
          <w:color w:val="auto"/>
          <w:sz w:val="24"/>
        </w:rPr>
        <w:t>的</w:t>
      </w:r>
      <w:r>
        <w:rPr>
          <w:rFonts w:cs="宋体"/>
          <w:color w:val="auto"/>
          <w:sz w:val="24"/>
        </w:rPr>
        <w:t>排气筒</w:t>
      </w:r>
      <w:r>
        <w:rPr>
          <w:rFonts w:hint="eastAsia" w:cs="宋体"/>
          <w:color w:val="auto"/>
          <w:sz w:val="24"/>
        </w:rPr>
        <w:t>（≥15m）</w:t>
      </w:r>
      <w:r>
        <w:rPr>
          <w:rFonts w:cs="宋体"/>
          <w:color w:val="auto"/>
          <w:sz w:val="24"/>
        </w:rPr>
        <w:t>排放</w:t>
      </w:r>
      <w:r>
        <w:rPr>
          <w:rFonts w:hint="eastAsia" w:cs="宋体"/>
          <w:color w:val="auto"/>
          <w:sz w:val="24"/>
        </w:rPr>
        <w:t>。根据已经入园企业的同类处理设施的监测数据可知，该</w:t>
      </w:r>
      <w:r>
        <w:rPr>
          <w:color w:val="auto"/>
          <w:sz w:val="24"/>
          <w:szCs w:val="21"/>
        </w:rPr>
        <w:t>网格式净化器净化铬酸雾效率可达</w:t>
      </w:r>
      <w:r>
        <w:rPr>
          <w:rFonts w:hint="eastAsia"/>
          <w:color w:val="auto"/>
          <w:sz w:val="24"/>
          <w:szCs w:val="21"/>
        </w:rPr>
        <w:t>70</w:t>
      </w:r>
      <w:r>
        <w:rPr>
          <w:color w:val="auto"/>
          <w:sz w:val="24"/>
          <w:szCs w:val="21"/>
        </w:rPr>
        <w:t>%。</w:t>
      </w:r>
    </w:p>
    <w:p>
      <w:pPr>
        <w:spacing w:line="360" w:lineRule="auto"/>
        <w:ind w:firstLine="480" w:firstLineChars="200"/>
        <w:rPr>
          <w:color w:val="auto"/>
          <w:sz w:val="24"/>
          <w:szCs w:val="21"/>
        </w:rPr>
      </w:pPr>
      <w:r>
        <w:rPr>
          <w:color w:val="auto"/>
          <w:sz w:val="24"/>
          <w:szCs w:val="21"/>
        </w:rPr>
        <w:t>铬酸雾废气处理工艺流程如下：</w:t>
      </w:r>
    </w:p>
    <w:p>
      <w:pPr>
        <w:spacing w:line="360" w:lineRule="auto"/>
        <w:ind w:firstLine="420" w:firstLineChars="200"/>
        <w:rPr>
          <w:color w:val="auto"/>
        </w:rPr>
      </w:pPr>
      <w:r>
        <w:rPr>
          <w:color w:val="auto"/>
        </w:rPr>
        <w:object>
          <v:shape id="_x0000_i1038" o:spt="75" type="#_x0000_t75" style="height:73.5pt;width:393pt;" o:ole="t" filled="f" o:preferrelative="t" stroked="f" coordsize="21600,21600">
            <v:path/>
            <v:fill on="f" focussize="0,0"/>
            <v:stroke on="f" joinstyle="miter"/>
            <v:imagedata r:id="rId55" o:title=""/>
            <o:lock v:ext="edit" aspectratio="t"/>
            <w10:wrap type="none"/>
            <w10:anchorlock/>
          </v:shape>
          <o:OLEObject Type="Embed" ProgID="Visio.Drawing.11" ShapeID="_x0000_i1038" DrawAspect="Content" ObjectID="_1468075738" r:id="rId54">
            <o:LockedField>false</o:LockedField>
          </o:OLEObject>
        </w:object>
      </w:r>
    </w:p>
    <w:p>
      <w:pPr>
        <w:pStyle w:val="47"/>
        <w:ind w:left="0" w:leftChars="0" w:firstLine="0" w:firstLineChars="0"/>
        <w:jc w:val="center"/>
        <w:rPr>
          <w:rFonts w:ascii="Times New Roman" w:hAnsi="Times New Roman"/>
          <w:color w:val="auto"/>
        </w:rPr>
      </w:pPr>
      <w:r>
        <w:rPr>
          <w:rFonts w:hint="eastAsia"/>
          <w:b/>
          <w:bCs/>
          <w:color w:val="auto"/>
          <w:szCs w:val="21"/>
          <w:lang w:eastAsia="zh-CN"/>
        </w:rPr>
        <w:t>图</w:t>
      </w:r>
      <w:r>
        <w:rPr>
          <w:rFonts w:hint="eastAsia"/>
          <w:b/>
          <w:bCs/>
          <w:color w:val="auto"/>
          <w:szCs w:val="21"/>
          <w:lang w:val="en-US" w:eastAsia="zh-CN"/>
        </w:rPr>
        <w:t xml:space="preserve">3.3-2  </w:t>
      </w:r>
      <w:r>
        <w:rPr>
          <w:rFonts w:hint="eastAsia"/>
          <w:b/>
          <w:color w:val="auto"/>
          <w:lang w:eastAsia="zh-CN"/>
        </w:rPr>
        <w:t>铬酸雾</w:t>
      </w:r>
      <w:r>
        <w:rPr>
          <w:rFonts w:hint="eastAsia"/>
          <w:b/>
          <w:color w:val="auto"/>
        </w:rPr>
        <w:t>治理措施工艺流程图</w:t>
      </w:r>
    </w:p>
    <w:p>
      <w:pPr>
        <w:spacing w:line="360" w:lineRule="auto"/>
        <w:ind w:firstLine="482"/>
        <w:rPr>
          <w:color w:val="auto"/>
          <w:sz w:val="24"/>
          <w:szCs w:val="21"/>
        </w:rPr>
      </w:pPr>
      <w:r>
        <w:rPr>
          <w:rFonts w:hint="eastAsia" w:ascii="宋体" w:hAnsi="宋体" w:cs="宋体"/>
          <w:color w:val="auto"/>
          <w:sz w:val="24"/>
          <w:szCs w:val="21"/>
        </w:rPr>
        <w:t>②</w:t>
      </w:r>
      <w:r>
        <w:rPr>
          <w:rFonts w:hint="eastAsia"/>
          <w:color w:val="auto"/>
          <w:sz w:val="24"/>
          <w:szCs w:val="21"/>
        </w:rPr>
        <w:t>工艺可行性分析</w:t>
      </w:r>
    </w:p>
    <w:p>
      <w:pPr>
        <w:spacing w:line="360" w:lineRule="auto"/>
        <w:ind w:firstLine="482"/>
        <w:rPr>
          <w:color w:val="auto"/>
          <w:sz w:val="24"/>
          <w:szCs w:val="21"/>
        </w:rPr>
      </w:pPr>
      <w:r>
        <w:rPr>
          <w:rFonts w:hint="eastAsia"/>
          <w:color w:val="auto"/>
          <w:sz w:val="24"/>
          <w:szCs w:val="21"/>
        </w:rPr>
        <w:t>根据《三废处理工程手册 废气卷》所介绍的铬酸雾的净化措施，推荐采用“网格式净化回收塔”，根据入园其他已经生产企业的现状生产情况，</w:t>
      </w:r>
      <w:r>
        <w:rPr>
          <w:color w:val="auto"/>
          <w:sz w:val="24"/>
          <w:szCs w:val="21"/>
        </w:rPr>
        <w:t>采用</w:t>
      </w:r>
      <w:r>
        <w:rPr>
          <w:rFonts w:hint="eastAsia"/>
          <w:color w:val="auto"/>
          <w:sz w:val="24"/>
          <w:szCs w:val="21"/>
        </w:rPr>
        <w:t>“网格式净化回收塔”</w:t>
      </w:r>
      <w:r>
        <w:rPr>
          <w:color w:val="auto"/>
          <w:sz w:val="24"/>
          <w:szCs w:val="21"/>
        </w:rPr>
        <w:t>处理铬酸雾废气是可行的。</w:t>
      </w:r>
    </w:p>
    <w:p>
      <w:pPr>
        <w:pStyle w:val="31"/>
        <w:rPr>
          <w:color w:val="auto"/>
        </w:rPr>
      </w:pPr>
      <w:r>
        <w:rPr>
          <w:rFonts w:hint="eastAsia"/>
          <w:color w:val="auto"/>
        </w:rPr>
        <w:t>4、结论</w:t>
      </w:r>
    </w:p>
    <w:p>
      <w:pPr>
        <w:pStyle w:val="47"/>
        <w:ind w:firstLine="420" w:firstLineChars="0"/>
        <w:rPr>
          <w:rFonts w:ascii="Times New Roman" w:hAnsi="Times New Roman"/>
          <w:color w:val="auto"/>
        </w:rPr>
      </w:pPr>
      <w:r>
        <w:rPr>
          <w:rFonts w:hint="eastAsia" w:ascii="Times New Roman" w:hAnsi="Times New Roman"/>
          <w:color w:val="auto"/>
        </w:rPr>
        <w:t>综上所述，建设项目在大气污染防治方面采用的各项环保措施后，各污染物均可实现达标排放，总体上对区域大气环境影响较小，本评价认为，从环保角度来讲，建设项目在拟建地建设是可行的。</w:t>
      </w:r>
    </w:p>
    <w:p>
      <w:pPr>
        <w:pStyle w:val="49"/>
        <w:adjustRightInd/>
        <w:ind w:firstLine="482" w:firstLineChars="200"/>
        <w:rPr>
          <w:rFonts w:eastAsia="宋体"/>
          <w:b/>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
        <w:numPr>
          <w:ilvl w:val="0"/>
          <w:numId w:val="0"/>
        </w:numPr>
        <w:spacing w:before="0" w:after="0"/>
        <w:ind w:leftChars="0"/>
        <w:jc w:val="center"/>
        <w:rPr>
          <w:rFonts w:hint="eastAsia" w:eastAsia="宋体"/>
          <w:color w:val="auto"/>
          <w:sz w:val="24"/>
          <w:szCs w:val="24"/>
          <w:lang w:val="en-US" w:eastAsia="zh-CN"/>
        </w:rPr>
      </w:pPr>
      <w:bookmarkStart w:id="57" w:name="_Toc30756"/>
      <w:r>
        <w:rPr>
          <w:color w:val="auto"/>
          <w:sz w:val="24"/>
          <w:szCs w:val="24"/>
        </w:rPr>
        <w:t>附表  建设项目大气环境影响评价自查表</w:t>
      </w:r>
      <w:bookmarkEnd w:id="57"/>
    </w:p>
    <w:tbl>
      <w:tblPr>
        <w:tblStyle w:val="22"/>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781"/>
        <w:gridCol w:w="1032"/>
        <w:gridCol w:w="450"/>
        <w:gridCol w:w="525"/>
        <w:gridCol w:w="581"/>
        <w:gridCol w:w="300"/>
        <w:gridCol w:w="244"/>
        <w:gridCol w:w="693"/>
        <w:gridCol w:w="361"/>
        <w:gridCol w:w="408"/>
        <w:gridCol w:w="102"/>
        <w:gridCol w:w="274"/>
        <w:gridCol w:w="671"/>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43" w:type="dxa"/>
            <w:gridSpan w:val="2"/>
            <w:noWrap w:val="0"/>
            <w:vAlign w:val="center"/>
          </w:tcPr>
          <w:p>
            <w:pPr>
              <w:pStyle w:val="28"/>
              <w:rPr>
                <w:color w:val="auto"/>
                <w:sz w:val="18"/>
                <w:szCs w:val="18"/>
              </w:rPr>
            </w:pPr>
            <w:r>
              <w:rPr>
                <w:rFonts w:hint="eastAsia"/>
                <w:color w:val="auto"/>
                <w:sz w:val="18"/>
                <w:szCs w:val="18"/>
              </w:rPr>
              <w:t>工作内容</w:t>
            </w:r>
          </w:p>
        </w:tc>
        <w:tc>
          <w:tcPr>
            <w:tcW w:w="6446" w:type="dxa"/>
            <w:gridSpan w:val="13"/>
            <w:noWrap w:val="0"/>
            <w:vAlign w:val="center"/>
          </w:tcPr>
          <w:p>
            <w:pPr>
              <w:pStyle w:val="28"/>
              <w:rPr>
                <w:color w:val="auto"/>
                <w:sz w:val="18"/>
                <w:szCs w:val="18"/>
              </w:rPr>
            </w:pPr>
            <w:r>
              <w:rPr>
                <w:rFonts w:hint="eastAsia"/>
                <w:color w:val="auto"/>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restart"/>
            <w:noWrap w:val="0"/>
            <w:vAlign w:val="center"/>
          </w:tcPr>
          <w:p>
            <w:pPr>
              <w:pStyle w:val="28"/>
              <w:rPr>
                <w:color w:val="auto"/>
                <w:sz w:val="18"/>
                <w:szCs w:val="18"/>
              </w:rPr>
            </w:pPr>
            <w:r>
              <w:rPr>
                <w:rFonts w:hint="eastAsia"/>
                <w:color w:val="auto"/>
                <w:sz w:val="18"/>
                <w:szCs w:val="18"/>
              </w:rPr>
              <w:t>评价等级与范围</w:t>
            </w:r>
          </w:p>
        </w:tc>
        <w:tc>
          <w:tcPr>
            <w:tcW w:w="1781" w:type="dxa"/>
            <w:noWrap w:val="0"/>
            <w:vAlign w:val="center"/>
          </w:tcPr>
          <w:p>
            <w:pPr>
              <w:pStyle w:val="28"/>
              <w:rPr>
                <w:color w:val="auto"/>
                <w:sz w:val="18"/>
                <w:szCs w:val="18"/>
              </w:rPr>
            </w:pPr>
            <w:r>
              <w:rPr>
                <w:rFonts w:hint="eastAsia"/>
                <w:color w:val="auto"/>
                <w:sz w:val="18"/>
                <w:szCs w:val="18"/>
              </w:rPr>
              <w:t>评价等级</w:t>
            </w:r>
          </w:p>
        </w:tc>
        <w:tc>
          <w:tcPr>
            <w:tcW w:w="2007" w:type="dxa"/>
            <w:gridSpan w:val="3"/>
            <w:noWrap w:val="0"/>
            <w:vAlign w:val="center"/>
          </w:tcPr>
          <w:p>
            <w:pPr>
              <w:pStyle w:val="28"/>
              <w:rPr>
                <w:color w:val="auto"/>
                <w:sz w:val="18"/>
                <w:szCs w:val="18"/>
              </w:rPr>
            </w:pPr>
            <w:r>
              <w:rPr>
                <w:rFonts w:hint="eastAsia"/>
                <w:color w:val="auto"/>
                <w:sz w:val="18"/>
                <w:szCs w:val="18"/>
              </w:rPr>
              <w:t>一级□</w:t>
            </w:r>
          </w:p>
        </w:tc>
        <w:tc>
          <w:tcPr>
            <w:tcW w:w="1818" w:type="dxa"/>
            <w:gridSpan w:val="4"/>
            <w:noWrap w:val="0"/>
            <w:vAlign w:val="center"/>
          </w:tcPr>
          <w:p>
            <w:pPr>
              <w:pStyle w:val="28"/>
              <w:rPr>
                <w:color w:val="auto"/>
                <w:sz w:val="18"/>
                <w:szCs w:val="18"/>
              </w:rPr>
            </w:pPr>
            <w:r>
              <w:rPr>
                <w:rFonts w:hint="eastAsia"/>
                <w:color w:val="auto"/>
                <w:sz w:val="18"/>
                <w:szCs w:val="18"/>
              </w:rPr>
              <w:t>二级</w:t>
            </w:r>
            <w:r>
              <w:rPr>
                <w:rFonts w:hint="eastAsia"/>
                <w:color w:val="auto"/>
                <w:sz w:val="18"/>
                <w:szCs w:val="18"/>
              </w:rPr>
              <w:sym w:font="Wingdings 2" w:char="F052"/>
            </w:r>
          </w:p>
        </w:tc>
        <w:tc>
          <w:tcPr>
            <w:tcW w:w="2621" w:type="dxa"/>
            <w:gridSpan w:val="6"/>
            <w:noWrap w:val="0"/>
            <w:vAlign w:val="center"/>
          </w:tcPr>
          <w:p>
            <w:pPr>
              <w:pStyle w:val="28"/>
              <w:rPr>
                <w:color w:val="auto"/>
                <w:sz w:val="18"/>
                <w:szCs w:val="18"/>
              </w:rPr>
            </w:pPr>
            <w:r>
              <w:rPr>
                <w:rFonts w:hint="eastAsia"/>
                <w:color w:val="auto"/>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评价范围</w:t>
            </w:r>
          </w:p>
        </w:tc>
        <w:tc>
          <w:tcPr>
            <w:tcW w:w="2007" w:type="dxa"/>
            <w:gridSpan w:val="3"/>
            <w:noWrap w:val="0"/>
            <w:vAlign w:val="center"/>
          </w:tcPr>
          <w:p>
            <w:pPr>
              <w:pStyle w:val="28"/>
              <w:rPr>
                <w:color w:val="auto"/>
                <w:sz w:val="18"/>
                <w:szCs w:val="18"/>
              </w:rPr>
            </w:pPr>
            <w:r>
              <w:rPr>
                <w:rFonts w:hint="eastAsia"/>
                <w:color w:val="auto"/>
                <w:sz w:val="18"/>
                <w:szCs w:val="18"/>
              </w:rPr>
              <w:t>边长</w:t>
            </w:r>
            <w:r>
              <w:rPr>
                <w:color w:val="auto"/>
                <w:sz w:val="18"/>
                <w:szCs w:val="18"/>
              </w:rPr>
              <w:t>=50km</w:t>
            </w:r>
            <w:r>
              <w:rPr>
                <w:rFonts w:hint="eastAsia"/>
                <w:color w:val="auto"/>
                <w:sz w:val="18"/>
                <w:szCs w:val="18"/>
              </w:rPr>
              <w:t>□</w:t>
            </w:r>
          </w:p>
        </w:tc>
        <w:tc>
          <w:tcPr>
            <w:tcW w:w="1818" w:type="dxa"/>
            <w:gridSpan w:val="4"/>
            <w:noWrap w:val="0"/>
            <w:vAlign w:val="center"/>
          </w:tcPr>
          <w:p>
            <w:pPr>
              <w:pStyle w:val="28"/>
              <w:rPr>
                <w:color w:val="auto"/>
                <w:sz w:val="18"/>
                <w:szCs w:val="18"/>
              </w:rPr>
            </w:pPr>
            <w:r>
              <w:rPr>
                <w:rFonts w:hint="eastAsia"/>
                <w:color w:val="auto"/>
                <w:sz w:val="18"/>
                <w:szCs w:val="18"/>
              </w:rPr>
              <w:t>边长</w:t>
            </w:r>
            <w:r>
              <w:rPr>
                <w:color w:val="auto"/>
                <w:sz w:val="18"/>
                <w:szCs w:val="18"/>
              </w:rPr>
              <w:t>5~50km</w:t>
            </w:r>
            <w:r>
              <w:rPr>
                <w:rFonts w:hint="eastAsia"/>
                <w:color w:val="auto"/>
                <w:sz w:val="18"/>
                <w:szCs w:val="18"/>
              </w:rPr>
              <w:t>□</w:t>
            </w:r>
          </w:p>
        </w:tc>
        <w:tc>
          <w:tcPr>
            <w:tcW w:w="2621" w:type="dxa"/>
            <w:gridSpan w:val="6"/>
            <w:noWrap w:val="0"/>
            <w:vAlign w:val="center"/>
          </w:tcPr>
          <w:p>
            <w:pPr>
              <w:pStyle w:val="28"/>
              <w:rPr>
                <w:color w:val="auto"/>
                <w:sz w:val="18"/>
                <w:szCs w:val="18"/>
              </w:rPr>
            </w:pPr>
            <w:r>
              <w:rPr>
                <w:rFonts w:hint="eastAsia"/>
                <w:color w:val="auto"/>
                <w:sz w:val="18"/>
                <w:szCs w:val="18"/>
              </w:rPr>
              <w:t>边长</w:t>
            </w:r>
            <w:r>
              <w:rPr>
                <w:color w:val="auto"/>
                <w:sz w:val="18"/>
                <w:szCs w:val="18"/>
              </w:rPr>
              <w:t>=5km</w:t>
            </w:r>
            <w:r>
              <w:rPr>
                <w:rFonts w:hint="eastAsia"/>
                <w:color w:val="auto"/>
                <w:sz w:val="18"/>
                <w:szCs w:val="18"/>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restart"/>
            <w:noWrap w:val="0"/>
            <w:vAlign w:val="center"/>
          </w:tcPr>
          <w:p>
            <w:pPr>
              <w:pStyle w:val="28"/>
              <w:rPr>
                <w:color w:val="auto"/>
                <w:sz w:val="18"/>
                <w:szCs w:val="18"/>
              </w:rPr>
            </w:pPr>
            <w:r>
              <w:rPr>
                <w:rFonts w:hint="eastAsia"/>
                <w:color w:val="auto"/>
                <w:sz w:val="18"/>
                <w:szCs w:val="18"/>
              </w:rPr>
              <w:t>评价因子</w:t>
            </w:r>
          </w:p>
        </w:tc>
        <w:tc>
          <w:tcPr>
            <w:tcW w:w="1781" w:type="dxa"/>
            <w:noWrap w:val="0"/>
            <w:vAlign w:val="center"/>
          </w:tcPr>
          <w:p>
            <w:pPr>
              <w:pStyle w:val="28"/>
              <w:rPr>
                <w:color w:val="auto"/>
                <w:sz w:val="18"/>
                <w:szCs w:val="18"/>
              </w:rPr>
            </w:pPr>
            <w:r>
              <w:rPr>
                <w:color w:val="auto"/>
                <w:sz w:val="18"/>
                <w:szCs w:val="18"/>
              </w:rPr>
              <w:t>SO</w:t>
            </w:r>
            <w:r>
              <w:rPr>
                <w:color w:val="auto"/>
                <w:sz w:val="18"/>
                <w:szCs w:val="18"/>
                <w:vertAlign w:val="subscript"/>
              </w:rPr>
              <w:t>2</w:t>
            </w:r>
            <w:r>
              <w:rPr>
                <w:color w:val="auto"/>
                <w:sz w:val="18"/>
                <w:szCs w:val="18"/>
              </w:rPr>
              <w:t>+NOx</w:t>
            </w:r>
            <w:r>
              <w:rPr>
                <w:rFonts w:hint="eastAsia"/>
                <w:color w:val="auto"/>
                <w:sz w:val="18"/>
                <w:szCs w:val="18"/>
              </w:rPr>
              <w:t>排放量</w:t>
            </w:r>
          </w:p>
        </w:tc>
        <w:tc>
          <w:tcPr>
            <w:tcW w:w="2007" w:type="dxa"/>
            <w:gridSpan w:val="3"/>
            <w:noWrap w:val="0"/>
            <w:vAlign w:val="center"/>
          </w:tcPr>
          <w:p>
            <w:pPr>
              <w:pStyle w:val="28"/>
              <w:rPr>
                <w:color w:val="auto"/>
                <w:sz w:val="18"/>
                <w:szCs w:val="18"/>
              </w:rPr>
            </w:pPr>
            <w:r>
              <w:rPr>
                <w:color w:val="auto"/>
                <w:sz w:val="18"/>
                <w:szCs w:val="18"/>
              </w:rPr>
              <w:t>≥2000t/a</w:t>
            </w:r>
          </w:p>
        </w:tc>
        <w:tc>
          <w:tcPr>
            <w:tcW w:w="1818" w:type="dxa"/>
            <w:gridSpan w:val="4"/>
            <w:noWrap w:val="0"/>
            <w:vAlign w:val="center"/>
          </w:tcPr>
          <w:p>
            <w:pPr>
              <w:pStyle w:val="28"/>
              <w:rPr>
                <w:color w:val="auto"/>
                <w:sz w:val="18"/>
                <w:szCs w:val="18"/>
              </w:rPr>
            </w:pPr>
            <w:r>
              <w:rPr>
                <w:color w:val="auto"/>
                <w:sz w:val="18"/>
                <w:szCs w:val="18"/>
              </w:rPr>
              <w:t>500~2000t/a</w:t>
            </w:r>
          </w:p>
        </w:tc>
        <w:tc>
          <w:tcPr>
            <w:tcW w:w="2621" w:type="dxa"/>
            <w:gridSpan w:val="6"/>
            <w:noWrap w:val="0"/>
            <w:vAlign w:val="center"/>
          </w:tcPr>
          <w:p>
            <w:pPr>
              <w:pStyle w:val="28"/>
              <w:rPr>
                <w:color w:val="auto"/>
                <w:sz w:val="18"/>
                <w:szCs w:val="18"/>
              </w:rPr>
            </w:pPr>
            <w:r>
              <w:rPr>
                <w:rFonts w:hint="eastAsia"/>
                <w:color w:val="auto"/>
                <w:sz w:val="18"/>
                <w:szCs w:val="18"/>
              </w:rPr>
              <w:t>＜</w:t>
            </w:r>
            <w:r>
              <w:rPr>
                <w:color w:val="auto"/>
                <w:sz w:val="18"/>
                <w:szCs w:val="18"/>
              </w:rPr>
              <w:t>500t/a</w:t>
            </w:r>
            <w:r>
              <w:rPr>
                <w:rFonts w:hint="eastAsia"/>
                <w:color w:val="auto"/>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评价因子</w:t>
            </w:r>
          </w:p>
        </w:tc>
        <w:tc>
          <w:tcPr>
            <w:tcW w:w="3825" w:type="dxa"/>
            <w:gridSpan w:val="7"/>
            <w:noWrap w:val="0"/>
            <w:vAlign w:val="center"/>
          </w:tcPr>
          <w:p>
            <w:pPr>
              <w:pStyle w:val="28"/>
              <w:rPr>
                <w:color w:val="auto"/>
                <w:sz w:val="18"/>
                <w:szCs w:val="18"/>
              </w:rPr>
            </w:pPr>
            <w:r>
              <w:rPr>
                <w:rFonts w:hint="eastAsia"/>
                <w:color w:val="auto"/>
                <w:sz w:val="18"/>
                <w:szCs w:val="18"/>
              </w:rPr>
              <w:t>基本污染物（</w:t>
            </w:r>
            <w:r>
              <w:rPr>
                <w:rFonts w:hint="eastAsia"/>
                <w:color w:val="auto"/>
                <w:sz w:val="18"/>
                <w:szCs w:val="18"/>
                <w:lang w:val="en-US" w:eastAsia="zh-CN"/>
              </w:rPr>
              <w:t xml:space="preserve">  </w:t>
            </w:r>
            <w:r>
              <w:rPr>
                <w:color w:val="auto"/>
                <w:sz w:val="18"/>
                <w:szCs w:val="18"/>
              </w:rPr>
              <w:t xml:space="preserve"> </w:t>
            </w:r>
            <w:r>
              <w:rPr>
                <w:rFonts w:hint="eastAsia"/>
                <w:color w:val="auto"/>
                <w:sz w:val="18"/>
                <w:szCs w:val="18"/>
              </w:rPr>
              <w:t>）</w:t>
            </w:r>
          </w:p>
          <w:p>
            <w:pPr>
              <w:pStyle w:val="28"/>
              <w:rPr>
                <w:color w:val="auto"/>
                <w:sz w:val="18"/>
                <w:szCs w:val="18"/>
              </w:rPr>
            </w:pPr>
            <w:r>
              <w:rPr>
                <w:rFonts w:hint="eastAsia"/>
                <w:color w:val="auto"/>
                <w:sz w:val="18"/>
                <w:szCs w:val="18"/>
              </w:rPr>
              <w:t>其他污染物（</w:t>
            </w:r>
            <w:r>
              <w:rPr>
                <w:rFonts w:hint="eastAsia"/>
                <w:color w:val="auto"/>
                <w:sz w:val="18"/>
                <w:szCs w:val="18"/>
                <w:lang w:eastAsia="zh-CN"/>
              </w:rPr>
              <w:t>硫酸雾、氯化氢、氟化物、铬酸雾、氰化氢</w:t>
            </w:r>
            <w:r>
              <w:rPr>
                <w:color w:val="auto"/>
                <w:sz w:val="18"/>
                <w:szCs w:val="18"/>
              </w:rPr>
              <w:t xml:space="preserve">  </w:t>
            </w:r>
            <w:r>
              <w:rPr>
                <w:rFonts w:hint="eastAsia"/>
                <w:color w:val="auto"/>
                <w:sz w:val="18"/>
                <w:szCs w:val="18"/>
              </w:rPr>
              <w:t>）</w:t>
            </w:r>
          </w:p>
        </w:tc>
        <w:tc>
          <w:tcPr>
            <w:tcW w:w="2621" w:type="dxa"/>
            <w:gridSpan w:val="6"/>
            <w:noWrap w:val="0"/>
            <w:vAlign w:val="center"/>
          </w:tcPr>
          <w:p>
            <w:pPr>
              <w:pStyle w:val="28"/>
              <w:rPr>
                <w:color w:val="auto"/>
                <w:sz w:val="18"/>
                <w:szCs w:val="18"/>
              </w:rPr>
            </w:pPr>
            <w:r>
              <w:rPr>
                <w:color w:val="auto"/>
                <w:sz w:val="18"/>
                <w:szCs w:val="18"/>
              </w:rPr>
              <w:t xml:space="preserve">  </w:t>
            </w:r>
            <w:r>
              <w:rPr>
                <w:rFonts w:hint="eastAsia"/>
                <w:color w:val="auto"/>
                <w:sz w:val="18"/>
                <w:szCs w:val="18"/>
              </w:rPr>
              <w:t>包括二次</w:t>
            </w:r>
            <w:r>
              <w:rPr>
                <w:color w:val="auto"/>
                <w:sz w:val="18"/>
                <w:szCs w:val="18"/>
              </w:rPr>
              <w:t>PM</w:t>
            </w:r>
            <w:r>
              <w:rPr>
                <w:color w:val="auto"/>
                <w:sz w:val="18"/>
                <w:szCs w:val="18"/>
                <w:vertAlign w:val="subscript"/>
              </w:rPr>
              <w:t>2.5</w:t>
            </w:r>
            <w:r>
              <w:rPr>
                <w:rFonts w:hint="eastAsia"/>
                <w:color w:val="auto"/>
                <w:sz w:val="18"/>
                <w:szCs w:val="18"/>
              </w:rPr>
              <w:t>□</w:t>
            </w:r>
          </w:p>
          <w:p>
            <w:pPr>
              <w:pStyle w:val="28"/>
              <w:rPr>
                <w:color w:val="auto"/>
                <w:sz w:val="18"/>
                <w:szCs w:val="18"/>
              </w:rPr>
            </w:pPr>
            <w:r>
              <w:rPr>
                <w:rFonts w:hint="eastAsia"/>
                <w:color w:val="auto"/>
                <w:sz w:val="18"/>
                <w:szCs w:val="18"/>
              </w:rPr>
              <w:t>不包括二次</w:t>
            </w:r>
            <w:r>
              <w:rPr>
                <w:color w:val="auto"/>
                <w:sz w:val="18"/>
                <w:szCs w:val="18"/>
              </w:rPr>
              <w:t>PM</w:t>
            </w:r>
            <w:r>
              <w:rPr>
                <w:color w:val="auto"/>
                <w:sz w:val="18"/>
                <w:szCs w:val="18"/>
                <w:vertAlign w:val="subscript"/>
              </w:rPr>
              <w:t>2.5</w:t>
            </w:r>
            <w:r>
              <w:rPr>
                <w:rFonts w:hint="eastAsia"/>
                <w:color w:val="auto"/>
                <w:sz w:val="18"/>
                <w:szCs w:val="18"/>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noWrap w:val="0"/>
            <w:vAlign w:val="center"/>
          </w:tcPr>
          <w:p>
            <w:pPr>
              <w:pStyle w:val="28"/>
              <w:rPr>
                <w:color w:val="auto"/>
                <w:sz w:val="18"/>
                <w:szCs w:val="18"/>
              </w:rPr>
            </w:pPr>
            <w:r>
              <w:rPr>
                <w:rFonts w:hint="eastAsia"/>
                <w:color w:val="auto"/>
                <w:sz w:val="18"/>
                <w:szCs w:val="18"/>
              </w:rPr>
              <w:t>评价标准</w:t>
            </w:r>
          </w:p>
        </w:tc>
        <w:tc>
          <w:tcPr>
            <w:tcW w:w="1781" w:type="dxa"/>
            <w:noWrap w:val="0"/>
            <w:vAlign w:val="center"/>
          </w:tcPr>
          <w:p>
            <w:pPr>
              <w:pStyle w:val="28"/>
              <w:rPr>
                <w:color w:val="auto"/>
                <w:sz w:val="18"/>
                <w:szCs w:val="18"/>
              </w:rPr>
            </w:pPr>
            <w:r>
              <w:rPr>
                <w:rFonts w:hint="eastAsia"/>
                <w:color w:val="auto"/>
                <w:sz w:val="18"/>
                <w:szCs w:val="18"/>
              </w:rPr>
              <w:t>评价标准</w:t>
            </w:r>
          </w:p>
        </w:tc>
        <w:tc>
          <w:tcPr>
            <w:tcW w:w="2007" w:type="dxa"/>
            <w:gridSpan w:val="3"/>
            <w:noWrap w:val="0"/>
            <w:vAlign w:val="center"/>
          </w:tcPr>
          <w:p>
            <w:pPr>
              <w:pStyle w:val="28"/>
              <w:rPr>
                <w:color w:val="auto"/>
                <w:sz w:val="18"/>
                <w:szCs w:val="18"/>
              </w:rPr>
            </w:pPr>
            <w:r>
              <w:rPr>
                <w:rFonts w:hint="eastAsia"/>
                <w:color w:val="auto"/>
                <w:sz w:val="18"/>
                <w:szCs w:val="18"/>
              </w:rPr>
              <w:t>国家标准</w:t>
            </w:r>
            <w:r>
              <w:rPr>
                <w:rFonts w:hint="eastAsia"/>
                <w:color w:val="auto"/>
                <w:sz w:val="18"/>
                <w:szCs w:val="18"/>
              </w:rPr>
              <w:sym w:font="Wingdings 2" w:char="0052"/>
            </w:r>
          </w:p>
        </w:tc>
        <w:tc>
          <w:tcPr>
            <w:tcW w:w="881" w:type="dxa"/>
            <w:gridSpan w:val="2"/>
            <w:noWrap w:val="0"/>
            <w:vAlign w:val="center"/>
          </w:tcPr>
          <w:p>
            <w:pPr>
              <w:pStyle w:val="28"/>
              <w:rPr>
                <w:color w:val="auto"/>
                <w:sz w:val="18"/>
                <w:szCs w:val="18"/>
              </w:rPr>
            </w:pPr>
            <w:r>
              <w:rPr>
                <w:rFonts w:hint="eastAsia"/>
                <w:color w:val="auto"/>
                <w:sz w:val="18"/>
                <w:szCs w:val="18"/>
              </w:rPr>
              <w:t>地方标准</w:t>
            </w:r>
            <w:r>
              <w:rPr>
                <w:rFonts w:hint="eastAsia"/>
                <w:color w:val="auto"/>
                <w:sz w:val="18"/>
                <w:szCs w:val="18"/>
              </w:rPr>
              <w:sym w:font="Wingdings 2" w:char="00A3"/>
            </w:r>
          </w:p>
        </w:tc>
        <w:tc>
          <w:tcPr>
            <w:tcW w:w="1298" w:type="dxa"/>
            <w:gridSpan w:val="3"/>
            <w:noWrap w:val="0"/>
            <w:vAlign w:val="center"/>
          </w:tcPr>
          <w:p>
            <w:pPr>
              <w:pStyle w:val="28"/>
              <w:rPr>
                <w:color w:val="auto"/>
                <w:sz w:val="18"/>
                <w:szCs w:val="18"/>
              </w:rPr>
            </w:pPr>
            <w:r>
              <w:rPr>
                <w:rFonts w:hint="eastAsia"/>
                <w:color w:val="auto"/>
                <w:sz w:val="18"/>
                <w:szCs w:val="18"/>
              </w:rPr>
              <w:t>附录</w:t>
            </w:r>
            <w:r>
              <w:rPr>
                <w:color w:val="auto"/>
                <w:sz w:val="18"/>
                <w:szCs w:val="18"/>
              </w:rPr>
              <w:t>D</w:t>
            </w:r>
            <w:r>
              <w:rPr>
                <w:rFonts w:hint="eastAsia"/>
                <w:color w:val="auto"/>
                <w:sz w:val="18"/>
                <w:szCs w:val="18"/>
              </w:rPr>
              <w:sym w:font="Wingdings 2" w:char="0052"/>
            </w:r>
          </w:p>
        </w:tc>
        <w:tc>
          <w:tcPr>
            <w:tcW w:w="2260" w:type="dxa"/>
            <w:gridSpan w:val="5"/>
            <w:noWrap w:val="0"/>
            <w:vAlign w:val="center"/>
          </w:tcPr>
          <w:p>
            <w:pPr>
              <w:pStyle w:val="28"/>
              <w:rPr>
                <w:color w:val="auto"/>
                <w:sz w:val="18"/>
                <w:szCs w:val="18"/>
              </w:rPr>
            </w:pPr>
            <w:r>
              <w:rPr>
                <w:rFonts w:hint="eastAsia"/>
                <w:color w:val="auto"/>
                <w:sz w:val="18"/>
                <w:szCs w:val="18"/>
              </w:rPr>
              <w:t>其他标准</w:t>
            </w:r>
            <w:r>
              <w:rPr>
                <w:rFonts w:hint="eastAsia"/>
                <w:color w:val="auto"/>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restart"/>
            <w:noWrap w:val="0"/>
            <w:vAlign w:val="center"/>
          </w:tcPr>
          <w:p>
            <w:pPr>
              <w:pStyle w:val="28"/>
              <w:rPr>
                <w:color w:val="auto"/>
                <w:sz w:val="18"/>
                <w:szCs w:val="18"/>
              </w:rPr>
            </w:pPr>
            <w:r>
              <w:rPr>
                <w:rFonts w:hint="eastAsia"/>
                <w:color w:val="auto"/>
                <w:sz w:val="18"/>
                <w:szCs w:val="18"/>
              </w:rPr>
              <w:t>现状评价</w:t>
            </w:r>
          </w:p>
        </w:tc>
        <w:tc>
          <w:tcPr>
            <w:tcW w:w="1781" w:type="dxa"/>
            <w:noWrap w:val="0"/>
            <w:vAlign w:val="center"/>
          </w:tcPr>
          <w:p>
            <w:pPr>
              <w:pStyle w:val="28"/>
              <w:rPr>
                <w:color w:val="auto"/>
                <w:sz w:val="18"/>
                <w:szCs w:val="18"/>
              </w:rPr>
            </w:pPr>
            <w:r>
              <w:rPr>
                <w:rFonts w:hint="eastAsia"/>
                <w:color w:val="auto"/>
                <w:sz w:val="18"/>
                <w:szCs w:val="18"/>
              </w:rPr>
              <w:t>环境功能区</w:t>
            </w:r>
          </w:p>
        </w:tc>
        <w:tc>
          <w:tcPr>
            <w:tcW w:w="2007" w:type="dxa"/>
            <w:gridSpan w:val="3"/>
            <w:noWrap w:val="0"/>
            <w:vAlign w:val="center"/>
          </w:tcPr>
          <w:p>
            <w:pPr>
              <w:pStyle w:val="28"/>
              <w:rPr>
                <w:color w:val="auto"/>
                <w:sz w:val="18"/>
                <w:szCs w:val="18"/>
              </w:rPr>
            </w:pPr>
            <w:r>
              <w:rPr>
                <w:rFonts w:hint="eastAsia"/>
                <w:color w:val="auto"/>
                <w:sz w:val="18"/>
                <w:szCs w:val="18"/>
              </w:rPr>
              <w:t>一类区□</w:t>
            </w:r>
          </w:p>
        </w:tc>
        <w:tc>
          <w:tcPr>
            <w:tcW w:w="1818" w:type="dxa"/>
            <w:gridSpan w:val="4"/>
            <w:noWrap w:val="0"/>
            <w:vAlign w:val="center"/>
          </w:tcPr>
          <w:p>
            <w:pPr>
              <w:pStyle w:val="28"/>
              <w:rPr>
                <w:color w:val="auto"/>
                <w:sz w:val="18"/>
                <w:szCs w:val="18"/>
              </w:rPr>
            </w:pPr>
            <w:r>
              <w:rPr>
                <w:rFonts w:hint="eastAsia"/>
                <w:color w:val="auto"/>
                <w:sz w:val="18"/>
                <w:szCs w:val="18"/>
              </w:rPr>
              <w:t>二类区</w:t>
            </w:r>
            <w:r>
              <w:rPr>
                <w:rFonts w:hint="eastAsia"/>
                <w:color w:val="auto"/>
                <w:sz w:val="18"/>
                <w:szCs w:val="18"/>
              </w:rPr>
              <w:sym w:font="Wingdings 2" w:char="F052"/>
            </w:r>
          </w:p>
        </w:tc>
        <w:tc>
          <w:tcPr>
            <w:tcW w:w="2621" w:type="dxa"/>
            <w:gridSpan w:val="6"/>
            <w:noWrap w:val="0"/>
            <w:vAlign w:val="center"/>
          </w:tcPr>
          <w:p>
            <w:pPr>
              <w:pStyle w:val="28"/>
              <w:rPr>
                <w:color w:val="auto"/>
                <w:sz w:val="18"/>
                <w:szCs w:val="18"/>
              </w:rPr>
            </w:pPr>
            <w:r>
              <w:rPr>
                <w:rFonts w:hint="eastAsia"/>
                <w:color w:val="auto"/>
                <w:sz w:val="18"/>
                <w:szCs w:val="18"/>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评价基准年</w:t>
            </w:r>
          </w:p>
        </w:tc>
        <w:tc>
          <w:tcPr>
            <w:tcW w:w="6446" w:type="dxa"/>
            <w:gridSpan w:val="13"/>
            <w:noWrap w:val="0"/>
            <w:vAlign w:val="center"/>
          </w:tcPr>
          <w:p>
            <w:pPr>
              <w:pStyle w:val="28"/>
              <w:rPr>
                <w:color w:val="auto"/>
                <w:sz w:val="18"/>
                <w:szCs w:val="18"/>
              </w:rPr>
            </w:pPr>
            <w:r>
              <w:rPr>
                <w:rFonts w:hint="eastAsia"/>
                <w:color w:val="auto"/>
                <w:sz w:val="18"/>
                <w:szCs w:val="18"/>
              </w:rPr>
              <w:t>（</w:t>
            </w:r>
            <w:r>
              <w:rPr>
                <w:color w:val="auto"/>
                <w:sz w:val="18"/>
                <w:szCs w:val="18"/>
              </w:rPr>
              <w:t>201</w:t>
            </w:r>
            <w:r>
              <w:rPr>
                <w:rFonts w:hint="eastAsia"/>
                <w:color w:val="auto"/>
                <w:sz w:val="18"/>
                <w:szCs w:val="18"/>
                <w:lang w:val="en-US" w:eastAsia="zh-CN"/>
              </w:rPr>
              <w:t>7</w:t>
            </w:r>
            <w:r>
              <w:rPr>
                <w:rFonts w:hint="eastAsia"/>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环境空气质量现状调查数据来源</w:t>
            </w:r>
          </w:p>
        </w:tc>
        <w:tc>
          <w:tcPr>
            <w:tcW w:w="2007" w:type="dxa"/>
            <w:gridSpan w:val="3"/>
            <w:noWrap w:val="0"/>
            <w:vAlign w:val="center"/>
          </w:tcPr>
          <w:p>
            <w:pPr>
              <w:pStyle w:val="28"/>
              <w:rPr>
                <w:color w:val="auto"/>
                <w:sz w:val="18"/>
                <w:szCs w:val="18"/>
              </w:rPr>
            </w:pPr>
            <w:r>
              <w:rPr>
                <w:rFonts w:hint="eastAsia"/>
                <w:color w:val="auto"/>
                <w:sz w:val="18"/>
                <w:szCs w:val="18"/>
              </w:rPr>
              <w:t>长期例行监测数据□</w:t>
            </w:r>
          </w:p>
        </w:tc>
        <w:tc>
          <w:tcPr>
            <w:tcW w:w="1818" w:type="dxa"/>
            <w:gridSpan w:val="4"/>
            <w:noWrap w:val="0"/>
            <w:vAlign w:val="center"/>
          </w:tcPr>
          <w:p>
            <w:pPr>
              <w:pStyle w:val="28"/>
              <w:rPr>
                <w:color w:val="auto"/>
                <w:sz w:val="18"/>
                <w:szCs w:val="18"/>
              </w:rPr>
            </w:pPr>
            <w:r>
              <w:rPr>
                <w:rFonts w:hint="eastAsia"/>
                <w:color w:val="auto"/>
                <w:sz w:val="18"/>
                <w:szCs w:val="18"/>
              </w:rPr>
              <w:t>主管部门发布的数据</w:t>
            </w:r>
            <w:r>
              <w:rPr>
                <w:rFonts w:hint="eastAsia"/>
                <w:color w:val="auto"/>
                <w:sz w:val="18"/>
                <w:szCs w:val="18"/>
              </w:rPr>
              <w:sym w:font="Wingdings 2" w:char="F052"/>
            </w:r>
          </w:p>
        </w:tc>
        <w:tc>
          <w:tcPr>
            <w:tcW w:w="2621" w:type="dxa"/>
            <w:gridSpan w:val="6"/>
            <w:noWrap w:val="0"/>
            <w:vAlign w:val="center"/>
          </w:tcPr>
          <w:p>
            <w:pPr>
              <w:pStyle w:val="28"/>
              <w:rPr>
                <w:color w:val="auto"/>
                <w:sz w:val="18"/>
                <w:szCs w:val="18"/>
              </w:rPr>
            </w:pPr>
            <w:r>
              <w:rPr>
                <w:rFonts w:hint="eastAsia"/>
                <w:color w:val="auto"/>
                <w:sz w:val="18"/>
                <w:szCs w:val="18"/>
              </w:rPr>
              <w:t>现状补充监测</w:t>
            </w:r>
            <w:r>
              <w:rPr>
                <w:rFonts w:hint="eastAsia"/>
                <w:color w:val="auto"/>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现状评价</w:t>
            </w:r>
          </w:p>
        </w:tc>
        <w:tc>
          <w:tcPr>
            <w:tcW w:w="3825" w:type="dxa"/>
            <w:gridSpan w:val="7"/>
            <w:noWrap w:val="0"/>
            <w:vAlign w:val="center"/>
          </w:tcPr>
          <w:p>
            <w:pPr>
              <w:pStyle w:val="28"/>
              <w:rPr>
                <w:color w:val="auto"/>
                <w:sz w:val="18"/>
                <w:szCs w:val="18"/>
              </w:rPr>
            </w:pPr>
            <w:r>
              <w:rPr>
                <w:rFonts w:hint="eastAsia"/>
                <w:color w:val="auto"/>
                <w:sz w:val="18"/>
                <w:szCs w:val="18"/>
              </w:rPr>
              <w:t>达标区</w:t>
            </w:r>
            <w:r>
              <w:rPr>
                <w:rFonts w:hint="eastAsia"/>
                <w:color w:val="auto"/>
                <w:sz w:val="18"/>
                <w:szCs w:val="18"/>
              </w:rPr>
              <w:sym w:font="Wingdings 2" w:char="F052"/>
            </w:r>
          </w:p>
        </w:tc>
        <w:tc>
          <w:tcPr>
            <w:tcW w:w="2621" w:type="dxa"/>
            <w:gridSpan w:val="6"/>
            <w:noWrap w:val="0"/>
            <w:vAlign w:val="center"/>
          </w:tcPr>
          <w:p>
            <w:pPr>
              <w:pStyle w:val="28"/>
              <w:rPr>
                <w:color w:val="auto"/>
                <w:sz w:val="18"/>
                <w:szCs w:val="18"/>
              </w:rPr>
            </w:pPr>
            <w:r>
              <w:rPr>
                <w:rFonts w:hint="eastAsia"/>
                <w:color w:val="auto"/>
                <w:sz w:val="18"/>
                <w:szCs w:val="18"/>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noWrap w:val="0"/>
            <w:vAlign w:val="center"/>
          </w:tcPr>
          <w:p>
            <w:pPr>
              <w:pStyle w:val="28"/>
              <w:rPr>
                <w:color w:val="auto"/>
                <w:sz w:val="18"/>
                <w:szCs w:val="18"/>
              </w:rPr>
            </w:pPr>
            <w:r>
              <w:rPr>
                <w:rFonts w:hint="eastAsia"/>
                <w:color w:val="auto"/>
                <w:sz w:val="18"/>
                <w:szCs w:val="18"/>
              </w:rPr>
              <w:t>污染源</w:t>
            </w:r>
          </w:p>
          <w:p>
            <w:pPr>
              <w:pStyle w:val="28"/>
              <w:rPr>
                <w:color w:val="auto"/>
                <w:sz w:val="18"/>
                <w:szCs w:val="18"/>
              </w:rPr>
            </w:pPr>
            <w:r>
              <w:rPr>
                <w:rFonts w:hint="eastAsia"/>
                <w:color w:val="auto"/>
                <w:sz w:val="18"/>
                <w:szCs w:val="18"/>
              </w:rPr>
              <w:t>调查</w:t>
            </w:r>
          </w:p>
        </w:tc>
        <w:tc>
          <w:tcPr>
            <w:tcW w:w="1781" w:type="dxa"/>
            <w:noWrap w:val="0"/>
            <w:vAlign w:val="center"/>
          </w:tcPr>
          <w:p>
            <w:pPr>
              <w:pStyle w:val="28"/>
              <w:rPr>
                <w:color w:val="auto"/>
                <w:sz w:val="18"/>
                <w:szCs w:val="18"/>
              </w:rPr>
            </w:pPr>
            <w:r>
              <w:rPr>
                <w:rFonts w:hint="eastAsia"/>
                <w:color w:val="auto"/>
                <w:sz w:val="18"/>
                <w:szCs w:val="18"/>
              </w:rPr>
              <w:t>调查内容</w:t>
            </w:r>
          </w:p>
        </w:tc>
        <w:tc>
          <w:tcPr>
            <w:tcW w:w="2007" w:type="dxa"/>
            <w:gridSpan w:val="3"/>
            <w:noWrap w:val="0"/>
            <w:vAlign w:val="center"/>
          </w:tcPr>
          <w:p>
            <w:pPr>
              <w:pStyle w:val="28"/>
              <w:rPr>
                <w:color w:val="auto"/>
                <w:sz w:val="18"/>
                <w:szCs w:val="18"/>
              </w:rPr>
            </w:pPr>
            <w:r>
              <w:rPr>
                <w:rFonts w:hint="eastAsia"/>
                <w:color w:val="auto"/>
                <w:sz w:val="18"/>
                <w:szCs w:val="18"/>
              </w:rPr>
              <w:t>本项目正常排放源</w:t>
            </w:r>
            <w:r>
              <w:rPr>
                <w:rFonts w:hint="eastAsia"/>
                <w:color w:val="auto"/>
                <w:sz w:val="18"/>
                <w:szCs w:val="18"/>
              </w:rPr>
              <w:sym w:font="Wingdings 2" w:char="F052"/>
            </w:r>
          </w:p>
          <w:p>
            <w:pPr>
              <w:pStyle w:val="28"/>
              <w:rPr>
                <w:color w:val="auto"/>
                <w:sz w:val="18"/>
                <w:szCs w:val="18"/>
              </w:rPr>
            </w:pPr>
            <w:r>
              <w:rPr>
                <w:rFonts w:hint="eastAsia"/>
                <w:color w:val="auto"/>
                <w:sz w:val="18"/>
                <w:szCs w:val="18"/>
              </w:rPr>
              <w:t>本项目非正常排放源</w:t>
            </w:r>
            <w:r>
              <w:rPr>
                <w:rFonts w:hint="eastAsia"/>
                <w:color w:val="auto"/>
                <w:sz w:val="18"/>
                <w:szCs w:val="18"/>
              </w:rPr>
              <w:sym w:font="Wingdings 2" w:char="0052"/>
            </w:r>
          </w:p>
          <w:p>
            <w:pPr>
              <w:pStyle w:val="28"/>
              <w:rPr>
                <w:color w:val="auto"/>
                <w:sz w:val="18"/>
                <w:szCs w:val="18"/>
              </w:rPr>
            </w:pPr>
            <w:r>
              <w:rPr>
                <w:rFonts w:hint="eastAsia"/>
                <w:color w:val="auto"/>
                <w:sz w:val="18"/>
                <w:szCs w:val="18"/>
              </w:rPr>
              <w:t>现有污染源□</w:t>
            </w:r>
          </w:p>
        </w:tc>
        <w:tc>
          <w:tcPr>
            <w:tcW w:w="1125" w:type="dxa"/>
            <w:gridSpan w:val="3"/>
            <w:noWrap w:val="0"/>
            <w:vAlign w:val="center"/>
          </w:tcPr>
          <w:p>
            <w:pPr>
              <w:pStyle w:val="28"/>
              <w:rPr>
                <w:color w:val="auto"/>
                <w:sz w:val="18"/>
                <w:szCs w:val="18"/>
              </w:rPr>
            </w:pPr>
            <w:r>
              <w:rPr>
                <w:rFonts w:hint="eastAsia"/>
                <w:color w:val="auto"/>
                <w:sz w:val="18"/>
                <w:szCs w:val="18"/>
              </w:rPr>
              <w:t>拟替代的污染源□</w:t>
            </w:r>
          </w:p>
        </w:tc>
        <w:tc>
          <w:tcPr>
            <w:tcW w:w="1838" w:type="dxa"/>
            <w:gridSpan w:val="5"/>
            <w:noWrap w:val="0"/>
            <w:vAlign w:val="center"/>
          </w:tcPr>
          <w:p>
            <w:pPr>
              <w:pStyle w:val="28"/>
              <w:rPr>
                <w:color w:val="auto"/>
                <w:sz w:val="18"/>
                <w:szCs w:val="18"/>
              </w:rPr>
            </w:pPr>
            <w:r>
              <w:rPr>
                <w:rFonts w:hint="eastAsia"/>
                <w:color w:val="auto"/>
                <w:sz w:val="18"/>
                <w:szCs w:val="18"/>
              </w:rPr>
              <w:t>其他在建、拟建项目污染源□</w:t>
            </w:r>
          </w:p>
        </w:tc>
        <w:tc>
          <w:tcPr>
            <w:tcW w:w="1476" w:type="dxa"/>
            <w:gridSpan w:val="2"/>
            <w:noWrap w:val="0"/>
            <w:vAlign w:val="center"/>
          </w:tcPr>
          <w:p>
            <w:pPr>
              <w:pStyle w:val="28"/>
              <w:rPr>
                <w:color w:val="auto"/>
                <w:sz w:val="18"/>
                <w:szCs w:val="18"/>
              </w:rPr>
            </w:pPr>
            <w:r>
              <w:rPr>
                <w:rFonts w:hint="eastAsia"/>
                <w:color w:val="auto"/>
                <w:sz w:val="18"/>
                <w:szCs w:val="18"/>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restart"/>
            <w:noWrap w:val="0"/>
            <w:vAlign w:val="center"/>
          </w:tcPr>
          <w:p>
            <w:pPr>
              <w:pStyle w:val="28"/>
              <w:rPr>
                <w:color w:val="auto"/>
                <w:sz w:val="18"/>
                <w:szCs w:val="18"/>
              </w:rPr>
            </w:pPr>
            <w:r>
              <w:rPr>
                <w:rFonts w:hint="eastAsia"/>
                <w:color w:val="auto"/>
                <w:sz w:val="18"/>
                <w:szCs w:val="18"/>
              </w:rPr>
              <w:t>大气环境影响预测与评价</w:t>
            </w:r>
          </w:p>
        </w:tc>
        <w:tc>
          <w:tcPr>
            <w:tcW w:w="1781" w:type="dxa"/>
            <w:noWrap w:val="0"/>
            <w:vAlign w:val="center"/>
          </w:tcPr>
          <w:p>
            <w:pPr>
              <w:pStyle w:val="28"/>
              <w:rPr>
                <w:color w:val="auto"/>
                <w:sz w:val="18"/>
                <w:szCs w:val="18"/>
              </w:rPr>
            </w:pPr>
            <w:r>
              <w:rPr>
                <w:rFonts w:hint="eastAsia"/>
                <w:color w:val="auto"/>
                <w:sz w:val="18"/>
                <w:szCs w:val="18"/>
              </w:rPr>
              <w:t>预测模型</w:t>
            </w:r>
          </w:p>
        </w:tc>
        <w:tc>
          <w:tcPr>
            <w:tcW w:w="1032" w:type="dxa"/>
            <w:noWrap w:val="0"/>
            <w:vAlign w:val="center"/>
          </w:tcPr>
          <w:p>
            <w:pPr>
              <w:pStyle w:val="28"/>
              <w:rPr>
                <w:color w:val="auto"/>
                <w:sz w:val="18"/>
                <w:szCs w:val="18"/>
              </w:rPr>
            </w:pPr>
            <w:r>
              <w:rPr>
                <w:color w:val="auto"/>
                <w:sz w:val="18"/>
                <w:szCs w:val="18"/>
              </w:rPr>
              <w:t>AERMOD</w:t>
            </w:r>
            <w:r>
              <w:rPr>
                <w:rFonts w:hint="eastAsia"/>
                <w:color w:val="auto"/>
                <w:sz w:val="18"/>
                <w:szCs w:val="18"/>
              </w:rPr>
              <w:sym w:font="Wingdings 2" w:char="00A3"/>
            </w:r>
          </w:p>
        </w:tc>
        <w:tc>
          <w:tcPr>
            <w:tcW w:w="975" w:type="dxa"/>
            <w:gridSpan w:val="2"/>
            <w:noWrap w:val="0"/>
            <w:vAlign w:val="center"/>
          </w:tcPr>
          <w:p>
            <w:pPr>
              <w:pStyle w:val="28"/>
              <w:rPr>
                <w:color w:val="auto"/>
                <w:sz w:val="18"/>
                <w:szCs w:val="18"/>
              </w:rPr>
            </w:pPr>
            <w:r>
              <w:rPr>
                <w:color w:val="auto"/>
                <w:sz w:val="18"/>
                <w:szCs w:val="18"/>
              </w:rPr>
              <w:t>ADMS</w:t>
            </w:r>
            <w:r>
              <w:rPr>
                <w:rFonts w:hint="eastAsia"/>
                <w:color w:val="auto"/>
                <w:sz w:val="18"/>
                <w:szCs w:val="18"/>
              </w:rPr>
              <w:t>□</w:t>
            </w:r>
          </w:p>
        </w:tc>
        <w:tc>
          <w:tcPr>
            <w:tcW w:w="881" w:type="dxa"/>
            <w:gridSpan w:val="2"/>
            <w:noWrap w:val="0"/>
            <w:vAlign w:val="center"/>
          </w:tcPr>
          <w:p>
            <w:pPr>
              <w:pStyle w:val="28"/>
              <w:rPr>
                <w:color w:val="auto"/>
                <w:sz w:val="18"/>
                <w:szCs w:val="18"/>
              </w:rPr>
            </w:pPr>
            <w:r>
              <w:rPr>
                <w:color w:val="auto"/>
                <w:sz w:val="18"/>
                <w:szCs w:val="18"/>
              </w:rPr>
              <w:t>AUSTAL2000</w:t>
            </w:r>
            <w:r>
              <w:rPr>
                <w:rFonts w:hint="eastAsia"/>
                <w:color w:val="auto"/>
                <w:sz w:val="18"/>
                <w:szCs w:val="18"/>
              </w:rPr>
              <w:t>□</w:t>
            </w:r>
          </w:p>
        </w:tc>
        <w:tc>
          <w:tcPr>
            <w:tcW w:w="937" w:type="dxa"/>
            <w:gridSpan w:val="2"/>
            <w:noWrap w:val="0"/>
            <w:vAlign w:val="center"/>
          </w:tcPr>
          <w:p>
            <w:pPr>
              <w:pStyle w:val="28"/>
              <w:rPr>
                <w:color w:val="auto"/>
                <w:sz w:val="18"/>
                <w:szCs w:val="18"/>
              </w:rPr>
            </w:pPr>
            <w:r>
              <w:rPr>
                <w:color w:val="auto"/>
                <w:sz w:val="18"/>
                <w:szCs w:val="18"/>
              </w:rPr>
              <w:t>EDMS/AEDT</w:t>
            </w:r>
            <w:r>
              <w:rPr>
                <w:rFonts w:hint="eastAsia"/>
                <w:color w:val="auto"/>
                <w:sz w:val="18"/>
                <w:szCs w:val="18"/>
              </w:rPr>
              <w:t>□</w:t>
            </w:r>
          </w:p>
        </w:tc>
        <w:tc>
          <w:tcPr>
            <w:tcW w:w="871" w:type="dxa"/>
            <w:gridSpan w:val="3"/>
            <w:noWrap w:val="0"/>
            <w:vAlign w:val="center"/>
          </w:tcPr>
          <w:p>
            <w:pPr>
              <w:pStyle w:val="28"/>
              <w:rPr>
                <w:color w:val="auto"/>
                <w:sz w:val="18"/>
                <w:szCs w:val="18"/>
              </w:rPr>
            </w:pPr>
            <w:r>
              <w:rPr>
                <w:color w:val="auto"/>
                <w:sz w:val="18"/>
                <w:szCs w:val="18"/>
              </w:rPr>
              <w:t>CALPUFF</w:t>
            </w:r>
            <w:r>
              <w:rPr>
                <w:rFonts w:hint="eastAsia"/>
                <w:color w:val="auto"/>
                <w:sz w:val="18"/>
                <w:szCs w:val="18"/>
              </w:rPr>
              <w:t>□</w:t>
            </w:r>
          </w:p>
        </w:tc>
        <w:tc>
          <w:tcPr>
            <w:tcW w:w="945" w:type="dxa"/>
            <w:gridSpan w:val="2"/>
            <w:noWrap w:val="0"/>
            <w:vAlign w:val="center"/>
          </w:tcPr>
          <w:p>
            <w:pPr>
              <w:pStyle w:val="28"/>
              <w:rPr>
                <w:color w:val="auto"/>
                <w:sz w:val="18"/>
                <w:szCs w:val="18"/>
              </w:rPr>
            </w:pPr>
            <w:r>
              <w:rPr>
                <w:rFonts w:hint="eastAsia"/>
                <w:color w:val="auto"/>
                <w:sz w:val="18"/>
                <w:szCs w:val="18"/>
              </w:rPr>
              <w:t>网格模型□</w:t>
            </w:r>
          </w:p>
        </w:tc>
        <w:tc>
          <w:tcPr>
            <w:tcW w:w="805" w:type="dxa"/>
            <w:noWrap w:val="0"/>
            <w:vAlign w:val="center"/>
          </w:tcPr>
          <w:p>
            <w:pPr>
              <w:pStyle w:val="28"/>
              <w:rPr>
                <w:color w:val="auto"/>
                <w:sz w:val="18"/>
                <w:szCs w:val="18"/>
              </w:rPr>
            </w:pPr>
            <w:r>
              <w:rPr>
                <w:rFonts w:hint="eastAsia"/>
                <w:color w:val="auto"/>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预测范围</w:t>
            </w:r>
          </w:p>
        </w:tc>
        <w:tc>
          <w:tcPr>
            <w:tcW w:w="2007" w:type="dxa"/>
            <w:gridSpan w:val="3"/>
            <w:noWrap w:val="0"/>
            <w:vAlign w:val="center"/>
          </w:tcPr>
          <w:p>
            <w:pPr>
              <w:pStyle w:val="28"/>
              <w:rPr>
                <w:color w:val="auto"/>
                <w:sz w:val="18"/>
                <w:szCs w:val="18"/>
              </w:rPr>
            </w:pPr>
            <w:r>
              <w:rPr>
                <w:rFonts w:hint="eastAsia"/>
                <w:color w:val="auto"/>
                <w:sz w:val="18"/>
                <w:szCs w:val="18"/>
              </w:rPr>
              <w:t>边长</w:t>
            </w:r>
            <w:r>
              <w:rPr>
                <w:color w:val="auto"/>
                <w:sz w:val="18"/>
                <w:szCs w:val="18"/>
              </w:rPr>
              <w:t>≥50km</w:t>
            </w:r>
            <w:r>
              <w:rPr>
                <w:rFonts w:hint="eastAsia"/>
                <w:color w:val="auto"/>
                <w:sz w:val="18"/>
                <w:szCs w:val="18"/>
              </w:rPr>
              <w:t>□</w:t>
            </w:r>
          </w:p>
        </w:tc>
        <w:tc>
          <w:tcPr>
            <w:tcW w:w="1818" w:type="dxa"/>
            <w:gridSpan w:val="4"/>
            <w:noWrap w:val="0"/>
            <w:vAlign w:val="center"/>
          </w:tcPr>
          <w:p>
            <w:pPr>
              <w:pStyle w:val="28"/>
              <w:rPr>
                <w:color w:val="auto"/>
                <w:sz w:val="18"/>
                <w:szCs w:val="18"/>
              </w:rPr>
            </w:pPr>
            <w:r>
              <w:rPr>
                <w:rFonts w:hint="eastAsia"/>
                <w:color w:val="auto"/>
                <w:sz w:val="18"/>
                <w:szCs w:val="18"/>
              </w:rPr>
              <w:t>边长</w:t>
            </w:r>
            <w:r>
              <w:rPr>
                <w:color w:val="auto"/>
                <w:sz w:val="18"/>
                <w:szCs w:val="18"/>
              </w:rPr>
              <w:t>5~50km</w:t>
            </w:r>
            <w:r>
              <w:rPr>
                <w:rFonts w:hint="eastAsia"/>
                <w:color w:val="auto"/>
                <w:sz w:val="18"/>
                <w:szCs w:val="18"/>
              </w:rPr>
              <w:t>□</w:t>
            </w:r>
          </w:p>
        </w:tc>
        <w:tc>
          <w:tcPr>
            <w:tcW w:w="2621" w:type="dxa"/>
            <w:gridSpan w:val="6"/>
            <w:noWrap w:val="0"/>
            <w:vAlign w:val="center"/>
          </w:tcPr>
          <w:p>
            <w:pPr>
              <w:pStyle w:val="28"/>
              <w:rPr>
                <w:color w:val="auto"/>
                <w:sz w:val="18"/>
                <w:szCs w:val="18"/>
              </w:rPr>
            </w:pPr>
            <w:r>
              <w:rPr>
                <w:rFonts w:hint="eastAsia"/>
                <w:color w:val="auto"/>
                <w:sz w:val="18"/>
                <w:szCs w:val="18"/>
              </w:rPr>
              <w:t>边长</w:t>
            </w:r>
            <w:r>
              <w:rPr>
                <w:color w:val="auto"/>
                <w:sz w:val="18"/>
                <w:szCs w:val="18"/>
              </w:rPr>
              <w:t>=5km</w:t>
            </w:r>
            <w:r>
              <w:rPr>
                <w:rFonts w:hint="eastAsia"/>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预测因子</w:t>
            </w:r>
          </w:p>
        </w:tc>
        <w:tc>
          <w:tcPr>
            <w:tcW w:w="3825" w:type="dxa"/>
            <w:gridSpan w:val="7"/>
            <w:noWrap w:val="0"/>
            <w:vAlign w:val="center"/>
          </w:tcPr>
          <w:p>
            <w:pPr>
              <w:pStyle w:val="28"/>
              <w:rPr>
                <w:color w:val="auto"/>
                <w:sz w:val="18"/>
                <w:szCs w:val="18"/>
              </w:rPr>
            </w:pPr>
            <w:r>
              <w:rPr>
                <w:rFonts w:hint="eastAsia"/>
                <w:color w:val="auto"/>
                <w:sz w:val="18"/>
                <w:szCs w:val="18"/>
              </w:rPr>
              <w:t>预测因子（</w:t>
            </w:r>
            <w:r>
              <w:rPr>
                <w:color w:val="auto"/>
                <w:sz w:val="18"/>
                <w:szCs w:val="18"/>
              </w:rPr>
              <w:t xml:space="preserve">                   </w:t>
            </w:r>
            <w:r>
              <w:rPr>
                <w:rFonts w:hint="eastAsia"/>
                <w:color w:val="auto"/>
                <w:sz w:val="18"/>
                <w:szCs w:val="18"/>
              </w:rPr>
              <w:t>）</w:t>
            </w:r>
          </w:p>
        </w:tc>
        <w:tc>
          <w:tcPr>
            <w:tcW w:w="2621" w:type="dxa"/>
            <w:gridSpan w:val="6"/>
            <w:noWrap w:val="0"/>
            <w:vAlign w:val="center"/>
          </w:tcPr>
          <w:p>
            <w:pPr>
              <w:pStyle w:val="28"/>
              <w:rPr>
                <w:color w:val="auto"/>
                <w:sz w:val="18"/>
                <w:szCs w:val="18"/>
              </w:rPr>
            </w:pPr>
            <w:r>
              <w:rPr>
                <w:rFonts w:hint="eastAsia"/>
                <w:color w:val="auto"/>
                <w:sz w:val="18"/>
                <w:szCs w:val="18"/>
              </w:rPr>
              <w:t>包括二次</w:t>
            </w:r>
            <w:r>
              <w:rPr>
                <w:color w:val="auto"/>
                <w:sz w:val="18"/>
                <w:szCs w:val="18"/>
              </w:rPr>
              <w:t>PM2.5</w:t>
            </w:r>
            <w:r>
              <w:rPr>
                <w:rFonts w:hint="eastAsia"/>
                <w:color w:val="auto"/>
                <w:sz w:val="18"/>
                <w:szCs w:val="18"/>
              </w:rPr>
              <w:t>□</w:t>
            </w:r>
          </w:p>
          <w:p>
            <w:pPr>
              <w:pStyle w:val="28"/>
              <w:rPr>
                <w:color w:val="auto"/>
                <w:sz w:val="18"/>
                <w:szCs w:val="18"/>
              </w:rPr>
            </w:pPr>
            <w:r>
              <w:rPr>
                <w:rFonts w:hint="eastAsia"/>
                <w:color w:val="auto"/>
                <w:sz w:val="18"/>
                <w:szCs w:val="18"/>
              </w:rPr>
              <w:t>不包括二次</w:t>
            </w:r>
            <w:r>
              <w:rPr>
                <w:color w:val="auto"/>
                <w:sz w:val="18"/>
                <w:szCs w:val="18"/>
              </w:rPr>
              <w:t>PM2.5</w:t>
            </w:r>
            <w:r>
              <w:rPr>
                <w:rFonts w:hint="eastAsia"/>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正常排放短期浓度贡献值</w:t>
            </w:r>
          </w:p>
        </w:tc>
        <w:tc>
          <w:tcPr>
            <w:tcW w:w="3825" w:type="dxa"/>
            <w:gridSpan w:val="7"/>
            <w:noWrap w:val="0"/>
            <w:vAlign w:val="center"/>
          </w:tcPr>
          <w:p>
            <w:pPr>
              <w:pStyle w:val="28"/>
              <w:rPr>
                <w:color w:val="auto"/>
                <w:sz w:val="18"/>
                <w:szCs w:val="18"/>
              </w:rPr>
            </w:pPr>
            <w:r>
              <w:rPr>
                <w:color w:val="auto"/>
                <w:sz w:val="18"/>
                <w:szCs w:val="18"/>
              </w:rPr>
              <w:t>C</w:t>
            </w:r>
            <w:r>
              <w:rPr>
                <w:rFonts w:hint="eastAsia"/>
                <w:color w:val="auto"/>
                <w:sz w:val="18"/>
                <w:szCs w:val="18"/>
              </w:rPr>
              <w:t>本项目最大占标率</w:t>
            </w:r>
            <w:r>
              <w:rPr>
                <w:color w:val="auto"/>
                <w:sz w:val="18"/>
                <w:szCs w:val="18"/>
              </w:rPr>
              <w:t>≤100%</w:t>
            </w:r>
            <w:r>
              <w:rPr>
                <w:rFonts w:hint="eastAsia"/>
                <w:color w:val="auto"/>
                <w:sz w:val="18"/>
                <w:szCs w:val="18"/>
              </w:rPr>
              <w:sym w:font="Wingdings 2" w:char="00A3"/>
            </w:r>
          </w:p>
        </w:tc>
        <w:tc>
          <w:tcPr>
            <w:tcW w:w="2621"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本项目最大占标率＞</w:t>
            </w:r>
            <w:r>
              <w:rPr>
                <w:color w:val="auto"/>
                <w:sz w:val="18"/>
                <w:szCs w:val="18"/>
              </w:rPr>
              <w:t>100%</w:t>
            </w: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vMerge w:val="restart"/>
            <w:noWrap w:val="0"/>
            <w:vAlign w:val="center"/>
          </w:tcPr>
          <w:p>
            <w:pPr>
              <w:pStyle w:val="28"/>
              <w:rPr>
                <w:color w:val="auto"/>
                <w:sz w:val="18"/>
                <w:szCs w:val="18"/>
              </w:rPr>
            </w:pPr>
            <w:r>
              <w:rPr>
                <w:rFonts w:hint="eastAsia"/>
                <w:color w:val="auto"/>
                <w:sz w:val="18"/>
                <w:szCs w:val="18"/>
              </w:rPr>
              <w:t>正常排放年均浓度贡献值</w:t>
            </w:r>
          </w:p>
        </w:tc>
        <w:tc>
          <w:tcPr>
            <w:tcW w:w="1032" w:type="dxa"/>
            <w:noWrap w:val="0"/>
            <w:vAlign w:val="center"/>
          </w:tcPr>
          <w:p>
            <w:pPr>
              <w:pStyle w:val="28"/>
              <w:rPr>
                <w:color w:val="auto"/>
                <w:sz w:val="18"/>
                <w:szCs w:val="18"/>
              </w:rPr>
            </w:pPr>
            <w:r>
              <w:rPr>
                <w:rFonts w:hint="eastAsia"/>
                <w:color w:val="auto"/>
                <w:sz w:val="18"/>
                <w:szCs w:val="18"/>
              </w:rPr>
              <w:t>一类区</w:t>
            </w:r>
          </w:p>
        </w:tc>
        <w:tc>
          <w:tcPr>
            <w:tcW w:w="2793"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本项目最大占标率</w:t>
            </w:r>
            <w:r>
              <w:rPr>
                <w:color w:val="auto"/>
                <w:sz w:val="18"/>
                <w:szCs w:val="18"/>
              </w:rPr>
              <w:t>≤10%</w:t>
            </w:r>
            <w:r>
              <w:rPr>
                <w:rFonts w:hint="eastAsia"/>
                <w:color w:val="auto"/>
                <w:sz w:val="18"/>
                <w:szCs w:val="18"/>
              </w:rPr>
              <w:sym w:font="Wingdings 2" w:char="F0A3"/>
            </w:r>
          </w:p>
        </w:tc>
        <w:tc>
          <w:tcPr>
            <w:tcW w:w="2621"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本项目最大占标率＞</w:t>
            </w:r>
            <w:r>
              <w:rPr>
                <w:color w:val="auto"/>
                <w:sz w:val="18"/>
                <w:szCs w:val="18"/>
              </w:rPr>
              <w:t>10%</w:t>
            </w: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vMerge w:val="continue"/>
            <w:noWrap w:val="0"/>
            <w:vAlign w:val="center"/>
          </w:tcPr>
          <w:p>
            <w:pPr>
              <w:pStyle w:val="28"/>
              <w:rPr>
                <w:color w:val="auto"/>
                <w:sz w:val="18"/>
                <w:szCs w:val="18"/>
              </w:rPr>
            </w:pPr>
          </w:p>
        </w:tc>
        <w:tc>
          <w:tcPr>
            <w:tcW w:w="1032" w:type="dxa"/>
            <w:noWrap w:val="0"/>
            <w:vAlign w:val="center"/>
          </w:tcPr>
          <w:p>
            <w:pPr>
              <w:pStyle w:val="28"/>
              <w:rPr>
                <w:color w:val="auto"/>
                <w:sz w:val="18"/>
                <w:szCs w:val="18"/>
              </w:rPr>
            </w:pPr>
            <w:r>
              <w:rPr>
                <w:rFonts w:hint="eastAsia"/>
                <w:color w:val="auto"/>
                <w:sz w:val="18"/>
                <w:szCs w:val="18"/>
              </w:rPr>
              <w:t>二类区</w:t>
            </w:r>
          </w:p>
        </w:tc>
        <w:tc>
          <w:tcPr>
            <w:tcW w:w="2793"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本项目最大占标率</w:t>
            </w:r>
            <w:r>
              <w:rPr>
                <w:color w:val="auto"/>
                <w:sz w:val="18"/>
                <w:szCs w:val="18"/>
              </w:rPr>
              <w:t>≤30%</w:t>
            </w:r>
            <w:r>
              <w:rPr>
                <w:rFonts w:hint="eastAsia"/>
                <w:color w:val="auto"/>
                <w:sz w:val="18"/>
                <w:szCs w:val="18"/>
              </w:rPr>
              <w:t>□</w:t>
            </w:r>
          </w:p>
        </w:tc>
        <w:tc>
          <w:tcPr>
            <w:tcW w:w="2621"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本项目最大占标率＞</w:t>
            </w:r>
            <w:r>
              <w:rPr>
                <w:color w:val="auto"/>
                <w:sz w:val="18"/>
                <w:szCs w:val="18"/>
              </w:rPr>
              <w:t>30%</w:t>
            </w: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非正常排放</w:t>
            </w:r>
            <w:r>
              <w:rPr>
                <w:color w:val="auto"/>
                <w:sz w:val="18"/>
                <w:szCs w:val="18"/>
              </w:rPr>
              <w:t>1h</w:t>
            </w:r>
            <w:r>
              <w:rPr>
                <w:rFonts w:hint="eastAsia"/>
                <w:color w:val="auto"/>
                <w:sz w:val="18"/>
                <w:szCs w:val="18"/>
              </w:rPr>
              <w:t>浓度贡献值</w:t>
            </w:r>
          </w:p>
        </w:tc>
        <w:tc>
          <w:tcPr>
            <w:tcW w:w="2007" w:type="dxa"/>
            <w:gridSpan w:val="3"/>
            <w:noWrap w:val="0"/>
            <w:vAlign w:val="center"/>
          </w:tcPr>
          <w:p>
            <w:pPr>
              <w:pStyle w:val="28"/>
              <w:rPr>
                <w:color w:val="auto"/>
                <w:sz w:val="18"/>
                <w:szCs w:val="18"/>
              </w:rPr>
            </w:pPr>
            <w:r>
              <w:rPr>
                <w:rFonts w:hint="eastAsia"/>
                <w:color w:val="auto"/>
                <w:sz w:val="18"/>
                <w:szCs w:val="18"/>
              </w:rPr>
              <w:t>非正常持续时长（）</w:t>
            </w:r>
            <w:r>
              <w:rPr>
                <w:color w:val="auto"/>
                <w:sz w:val="18"/>
                <w:szCs w:val="18"/>
              </w:rPr>
              <w:t>h</w:t>
            </w:r>
          </w:p>
        </w:tc>
        <w:tc>
          <w:tcPr>
            <w:tcW w:w="1818" w:type="dxa"/>
            <w:gridSpan w:val="4"/>
            <w:noWrap w:val="0"/>
            <w:vAlign w:val="center"/>
          </w:tcPr>
          <w:p>
            <w:pPr>
              <w:pStyle w:val="28"/>
              <w:rPr>
                <w:color w:val="auto"/>
                <w:sz w:val="18"/>
                <w:szCs w:val="18"/>
              </w:rPr>
            </w:pPr>
            <w:r>
              <w:rPr>
                <w:color w:val="auto"/>
                <w:sz w:val="18"/>
                <w:szCs w:val="18"/>
              </w:rPr>
              <w:t>c</w:t>
            </w:r>
            <w:r>
              <w:rPr>
                <w:rFonts w:hint="eastAsia"/>
                <w:color w:val="auto"/>
                <w:sz w:val="18"/>
                <w:szCs w:val="18"/>
              </w:rPr>
              <w:t>非正常占标率</w:t>
            </w:r>
            <w:r>
              <w:rPr>
                <w:color w:val="auto"/>
                <w:sz w:val="18"/>
                <w:szCs w:val="18"/>
              </w:rPr>
              <w:t>≤100%</w:t>
            </w:r>
            <w:r>
              <w:rPr>
                <w:rFonts w:hint="eastAsia"/>
                <w:color w:val="auto"/>
                <w:sz w:val="18"/>
                <w:szCs w:val="18"/>
              </w:rPr>
              <w:t>□</w:t>
            </w:r>
          </w:p>
        </w:tc>
        <w:tc>
          <w:tcPr>
            <w:tcW w:w="2621"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非正常占标率＞</w:t>
            </w:r>
            <w:r>
              <w:rPr>
                <w:color w:val="auto"/>
                <w:sz w:val="18"/>
                <w:szCs w:val="18"/>
              </w:rPr>
              <w:t>100%</w:t>
            </w: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保证率日平均浓度和年平均浓度叠加值</w:t>
            </w:r>
          </w:p>
        </w:tc>
        <w:tc>
          <w:tcPr>
            <w:tcW w:w="3825" w:type="dxa"/>
            <w:gridSpan w:val="7"/>
            <w:noWrap w:val="0"/>
            <w:vAlign w:val="center"/>
          </w:tcPr>
          <w:p>
            <w:pPr>
              <w:pStyle w:val="28"/>
              <w:rPr>
                <w:color w:val="auto"/>
                <w:sz w:val="18"/>
                <w:szCs w:val="18"/>
              </w:rPr>
            </w:pPr>
            <w:r>
              <w:rPr>
                <w:color w:val="auto"/>
                <w:sz w:val="18"/>
                <w:szCs w:val="18"/>
              </w:rPr>
              <w:t>C</w:t>
            </w:r>
            <w:r>
              <w:rPr>
                <w:rFonts w:hint="eastAsia"/>
                <w:color w:val="auto"/>
                <w:sz w:val="18"/>
                <w:szCs w:val="18"/>
              </w:rPr>
              <w:t>叠加达标□</w:t>
            </w:r>
          </w:p>
        </w:tc>
        <w:tc>
          <w:tcPr>
            <w:tcW w:w="2621" w:type="dxa"/>
            <w:gridSpan w:val="6"/>
            <w:noWrap w:val="0"/>
            <w:vAlign w:val="center"/>
          </w:tcPr>
          <w:p>
            <w:pPr>
              <w:pStyle w:val="28"/>
              <w:rPr>
                <w:color w:val="auto"/>
                <w:sz w:val="18"/>
                <w:szCs w:val="18"/>
              </w:rPr>
            </w:pPr>
            <w:r>
              <w:rPr>
                <w:color w:val="auto"/>
                <w:sz w:val="18"/>
                <w:szCs w:val="18"/>
              </w:rPr>
              <w:t>C</w:t>
            </w:r>
            <w:r>
              <w:rPr>
                <w:rFonts w:hint="eastAsia"/>
                <w:color w:val="auto"/>
                <w:sz w:val="18"/>
                <w:szCs w:val="18"/>
              </w:rPr>
              <w:t>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区域环境质量的整体变化情况</w:t>
            </w:r>
          </w:p>
        </w:tc>
        <w:tc>
          <w:tcPr>
            <w:tcW w:w="3825" w:type="dxa"/>
            <w:gridSpan w:val="7"/>
            <w:noWrap w:val="0"/>
            <w:vAlign w:val="center"/>
          </w:tcPr>
          <w:p>
            <w:pPr>
              <w:pStyle w:val="28"/>
              <w:rPr>
                <w:color w:val="auto"/>
                <w:sz w:val="18"/>
                <w:szCs w:val="18"/>
              </w:rPr>
            </w:pPr>
            <w:r>
              <w:rPr>
                <w:color w:val="auto"/>
                <w:sz w:val="18"/>
                <w:szCs w:val="18"/>
              </w:rPr>
              <w:t>k≤-20%</w:t>
            </w:r>
            <w:r>
              <w:rPr>
                <w:rFonts w:hint="eastAsia"/>
                <w:color w:val="auto"/>
                <w:sz w:val="18"/>
                <w:szCs w:val="18"/>
              </w:rPr>
              <w:t>□</w:t>
            </w:r>
          </w:p>
        </w:tc>
        <w:tc>
          <w:tcPr>
            <w:tcW w:w="2621" w:type="dxa"/>
            <w:gridSpan w:val="6"/>
            <w:noWrap w:val="0"/>
            <w:vAlign w:val="center"/>
          </w:tcPr>
          <w:p>
            <w:pPr>
              <w:pStyle w:val="28"/>
              <w:rPr>
                <w:color w:val="auto"/>
                <w:sz w:val="18"/>
                <w:szCs w:val="18"/>
              </w:rPr>
            </w:pPr>
            <w:r>
              <w:rPr>
                <w:color w:val="auto"/>
                <w:sz w:val="18"/>
                <w:szCs w:val="18"/>
              </w:rPr>
              <w:t>k</w:t>
            </w:r>
            <w:r>
              <w:rPr>
                <w:rFonts w:hint="eastAsia"/>
                <w:color w:val="auto"/>
                <w:sz w:val="18"/>
                <w:szCs w:val="18"/>
              </w:rPr>
              <w:t>＞</w:t>
            </w:r>
            <w:r>
              <w:rPr>
                <w:color w:val="auto"/>
                <w:sz w:val="18"/>
                <w:szCs w:val="18"/>
              </w:rPr>
              <w:t>-20%</w:t>
            </w:r>
            <w:r>
              <w:rPr>
                <w:rFonts w:hint="eastAsia"/>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restart"/>
            <w:noWrap w:val="0"/>
            <w:vAlign w:val="center"/>
          </w:tcPr>
          <w:p>
            <w:pPr>
              <w:pStyle w:val="28"/>
              <w:rPr>
                <w:color w:val="auto"/>
                <w:sz w:val="18"/>
                <w:szCs w:val="18"/>
              </w:rPr>
            </w:pPr>
            <w:r>
              <w:rPr>
                <w:rFonts w:hint="eastAsia"/>
                <w:color w:val="auto"/>
                <w:sz w:val="18"/>
                <w:szCs w:val="18"/>
              </w:rPr>
              <w:t>环境监测计划</w:t>
            </w:r>
          </w:p>
        </w:tc>
        <w:tc>
          <w:tcPr>
            <w:tcW w:w="1781" w:type="dxa"/>
            <w:noWrap w:val="0"/>
            <w:vAlign w:val="center"/>
          </w:tcPr>
          <w:p>
            <w:pPr>
              <w:pStyle w:val="28"/>
              <w:rPr>
                <w:color w:val="auto"/>
                <w:sz w:val="18"/>
                <w:szCs w:val="18"/>
              </w:rPr>
            </w:pPr>
            <w:r>
              <w:rPr>
                <w:rFonts w:hint="eastAsia"/>
                <w:color w:val="auto"/>
                <w:sz w:val="18"/>
                <w:szCs w:val="18"/>
              </w:rPr>
              <w:t>污染源监测</w:t>
            </w:r>
          </w:p>
        </w:tc>
        <w:tc>
          <w:tcPr>
            <w:tcW w:w="2588" w:type="dxa"/>
            <w:gridSpan w:val="4"/>
            <w:noWrap w:val="0"/>
            <w:vAlign w:val="center"/>
          </w:tcPr>
          <w:p>
            <w:pPr>
              <w:pStyle w:val="28"/>
              <w:rPr>
                <w:color w:val="auto"/>
                <w:sz w:val="18"/>
                <w:szCs w:val="18"/>
              </w:rPr>
            </w:pPr>
            <w:r>
              <w:rPr>
                <w:rFonts w:hint="eastAsia"/>
                <w:color w:val="auto"/>
                <w:sz w:val="18"/>
                <w:szCs w:val="18"/>
              </w:rPr>
              <w:t>监测因子：（</w:t>
            </w:r>
            <w:r>
              <w:rPr>
                <w:rFonts w:hint="eastAsia"/>
                <w:color w:val="auto"/>
                <w:sz w:val="18"/>
                <w:szCs w:val="18"/>
                <w:lang w:eastAsia="zh-CN"/>
              </w:rPr>
              <w:t>硫酸雾、氯化氢、氟化物、铬酸雾、氰化氢</w:t>
            </w:r>
            <w:r>
              <w:rPr>
                <w:rFonts w:hint="eastAsia"/>
                <w:color w:val="auto"/>
                <w:sz w:val="18"/>
                <w:szCs w:val="18"/>
              </w:rPr>
              <w:t>）</w:t>
            </w:r>
          </w:p>
        </w:tc>
        <w:tc>
          <w:tcPr>
            <w:tcW w:w="2006" w:type="dxa"/>
            <w:gridSpan w:val="5"/>
            <w:noWrap w:val="0"/>
            <w:vAlign w:val="center"/>
          </w:tcPr>
          <w:p>
            <w:pPr>
              <w:pStyle w:val="28"/>
              <w:rPr>
                <w:color w:val="auto"/>
                <w:sz w:val="18"/>
                <w:szCs w:val="18"/>
              </w:rPr>
            </w:pPr>
            <w:r>
              <w:rPr>
                <w:rFonts w:hint="eastAsia"/>
                <w:color w:val="auto"/>
                <w:sz w:val="18"/>
                <w:szCs w:val="18"/>
              </w:rPr>
              <w:t>有组织废气监测</w:t>
            </w:r>
            <w:r>
              <w:rPr>
                <w:rFonts w:hint="eastAsia"/>
                <w:color w:val="auto"/>
                <w:sz w:val="18"/>
                <w:szCs w:val="18"/>
              </w:rPr>
              <w:sym w:font="Wingdings 2" w:char="0052"/>
            </w:r>
          </w:p>
          <w:p>
            <w:pPr>
              <w:pStyle w:val="28"/>
              <w:rPr>
                <w:color w:val="auto"/>
                <w:sz w:val="18"/>
                <w:szCs w:val="18"/>
              </w:rPr>
            </w:pPr>
            <w:r>
              <w:rPr>
                <w:rFonts w:hint="eastAsia"/>
                <w:color w:val="auto"/>
                <w:sz w:val="18"/>
                <w:szCs w:val="18"/>
              </w:rPr>
              <w:t>无组织废气监测</w:t>
            </w:r>
            <w:r>
              <w:rPr>
                <w:rFonts w:hint="eastAsia"/>
                <w:color w:val="auto"/>
                <w:sz w:val="18"/>
                <w:szCs w:val="18"/>
              </w:rPr>
              <w:sym w:font="Wingdings 2" w:char="0052"/>
            </w:r>
          </w:p>
        </w:tc>
        <w:tc>
          <w:tcPr>
            <w:tcW w:w="1852" w:type="dxa"/>
            <w:gridSpan w:val="4"/>
            <w:noWrap w:val="0"/>
            <w:vAlign w:val="center"/>
          </w:tcPr>
          <w:p>
            <w:pPr>
              <w:pStyle w:val="28"/>
              <w:rPr>
                <w:color w:val="auto"/>
                <w:sz w:val="18"/>
                <w:szCs w:val="18"/>
              </w:rPr>
            </w:pPr>
            <w:r>
              <w:rPr>
                <w:rFonts w:hint="eastAsia"/>
                <w:color w:val="auto"/>
                <w:sz w:val="18"/>
                <w:szCs w:val="18"/>
              </w:rPr>
              <w:t>无监测</w:t>
            </w:r>
            <w:r>
              <w:rPr>
                <w:rFonts w:hint="eastAsia"/>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环境质量监测</w:t>
            </w:r>
          </w:p>
        </w:tc>
        <w:tc>
          <w:tcPr>
            <w:tcW w:w="2007" w:type="dxa"/>
            <w:gridSpan w:val="3"/>
            <w:noWrap w:val="0"/>
            <w:vAlign w:val="center"/>
          </w:tcPr>
          <w:p>
            <w:pPr>
              <w:pStyle w:val="28"/>
              <w:rPr>
                <w:color w:val="auto"/>
                <w:sz w:val="18"/>
                <w:szCs w:val="18"/>
              </w:rPr>
            </w:pPr>
            <w:r>
              <w:rPr>
                <w:rFonts w:hint="eastAsia"/>
                <w:color w:val="auto"/>
                <w:sz w:val="18"/>
                <w:szCs w:val="18"/>
              </w:rPr>
              <w:t>监测因子：（</w:t>
            </w:r>
            <w:r>
              <w:rPr>
                <w:color w:val="auto"/>
                <w:sz w:val="18"/>
                <w:szCs w:val="18"/>
              </w:rPr>
              <w:t xml:space="preserve">  </w:t>
            </w:r>
            <w:r>
              <w:rPr>
                <w:rFonts w:hint="eastAsia"/>
                <w:color w:val="auto"/>
                <w:sz w:val="18"/>
                <w:szCs w:val="18"/>
                <w:lang w:eastAsia="zh-CN"/>
              </w:rPr>
              <w:t>氯化氢、氟化物</w:t>
            </w:r>
            <w:r>
              <w:rPr>
                <w:color w:val="auto"/>
                <w:sz w:val="18"/>
                <w:szCs w:val="18"/>
              </w:rPr>
              <w:t xml:space="preserve">  </w:t>
            </w:r>
            <w:r>
              <w:rPr>
                <w:rFonts w:hint="eastAsia"/>
                <w:color w:val="auto"/>
                <w:sz w:val="18"/>
                <w:szCs w:val="18"/>
              </w:rPr>
              <w:t>）</w:t>
            </w:r>
          </w:p>
        </w:tc>
        <w:tc>
          <w:tcPr>
            <w:tcW w:w="2587" w:type="dxa"/>
            <w:gridSpan w:val="6"/>
            <w:noWrap w:val="0"/>
            <w:vAlign w:val="center"/>
          </w:tcPr>
          <w:p>
            <w:pPr>
              <w:pStyle w:val="28"/>
              <w:rPr>
                <w:color w:val="auto"/>
                <w:sz w:val="18"/>
                <w:szCs w:val="18"/>
              </w:rPr>
            </w:pPr>
            <w:r>
              <w:rPr>
                <w:rFonts w:hint="eastAsia"/>
                <w:color w:val="auto"/>
                <w:sz w:val="18"/>
                <w:szCs w:val="18"/>
              </w:rPr>
              <w:t>监测点位数（</w:t>
            </w:r>
            <w:r>
              <w:rPr>
                <w:rFonts w:hint="eastAsia"/>
                <w:color w:val="auto"/>
                <w:sz w:val="18"/>
                <w:szCs w:val="18"/>
                <w:lang w:val="en-US" w:eastAsia="zh-CN"/>
              </w:rPr>
              <w:t>1</w:t>
            </w:r>
            <w:r>
              <w:rPr>
                <w:color w:val="auto"/>
                <w:sz w:val="18"/>
                <w:szCs w:val="18"/>
              </w:rPr>
              <w:t xml:space="preserve"> </w:t>
            </w:r>
            <w:r>
              <w:rPr>
                <w:rFonts w:hint="eastAsia"/>
                <w:color w:val="auto"/>
                <w:sz w:val="18"/>
                <w:szCs w:val="18"/>
              </w:rPr>
              <w:t>）</w:t>
            </w:r>
          </w:p>
        </w:tc>
        <w:tc>
          <w:tcPr>
            <w:tcW w:w="1852" w:type="dxa"/>
            <w:gridSpan w:val="4"/>
            <w:noWrap w:val="0"/>
            <w:vAlign w:val="center"/>
          </w:tcPr>
          <w:p>
            <w:pPr>
              <w:pStyle w:val="28"/>
              <w:rPr>
                <w:color w:val="auto"/>
                <w:sz w:val="18"/>
                <w:szCs w:val="18"/>
              </w:rPr>
            </w:pPr>
            <w:r>
              <w:rPr>
                <w:rFonts w:hint="eastAsia"/>
                <w:color w:val="auto"/>
                <w:sz w:val="18"/>
                <w:szCs w:val="18"/>
              </w:rPr>
              <w:t>无监测</w:t>
            </w:r>
            <w:r>
              <w:rPr>
                <w:rFonts w:hint="eastAsia"/>
                <w:color w:val="auto"/>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restart"/>
            <w:noWrap w:val="0"/>
            <w:vAlign w:val="center"/>
          </w:tcPr>
          <w:p>
            <w:pPr>
              <w:pStyle w:val="28"/>
              <w:rPr>
                <w:color w:val="auto"/>
                <w:sz w:val="18"/>
                <w:szCs w:val="18"/>
              </w:rPr>
            </w:pPr>
            <w:r>
              <w:rPr>
                <w:rFonts w:hint="eastAsia"/>
                <w:color w:val="auto"/>
                <w:sz w:val="18"/>
                <w:szCs w:val="18"/>
              </w:rPr>
              <w:t>评价结论</w:t>
            </w:r>
          </w:p>
        </w:tc>
        <w:tc>
          <w:tcPr>
            <w:tcW w:w="1781" w:type="dxa"/>
            <w:noWrap w:val="0"/>
            <w:vAlign w:val="center"/>
          </w:tcPr>
          <w:p>
            <w:pPr>
              <w:pStyle w:val="28"/>
              <w:rPr>
                <w:color w:val="auto"/>
                <w:sz w:val="18"/>
                <w:szCs w:val="18"/>
              </w:rPr>
            </w:pPr>
            <w:r>
              <w:rPr>
                <w:rFonts w:hint="eastAsia"/>
                <w:color w:val="auto"/>
                <w:sz w:val="18"/>
                <w:szCs w:val="18"/>
              </w:rPr>
              <w:t>环境影响</w:t>
            </w:r>
          </w:p>
        </w:tc>
        <w:tc>
          <w:tcPr>
            <w:tcW w:w="6446" w:type="dxa"/>
            <w:gridSpan w:val="13"/>
            <w:noWrap w:val="0"/>
            <w:vAlign w:val="center"/>
          </w:tcPr>
          <w:p>
            <w:pPr>
              <w:pStyle w:val="28"/>
              <w:rPr>
                <w:color w:val="auto"/>
                <w:sz w:val="18"/>
                <w:szCs w:val="18"/>
              </w:rPr>
            </w:pPr>
            <w:r>
              <w:rPr>
                <w:rFonts w:hint="eastAsia"/>
                <w:color w:val="auto"/>
                <w:sz w:val="18"/>
                <w:szCs w:val="18"/>
              </w:rPr>
              <w:t>可以接受</w:t>
            </w:r>
            <w:r>
              <w:rPr>
                <w:rFonts w:hint="eastAsia"/>
                <w:color w:val="auto"/>
                <w:sz w:val="18"/>
                <w:szCs w:val="18"/>
              </w:rPr>
              <w:sym w:font="Wingdings 2" w:char="F052"/>
            </w:r>
            <w:r>
              <w:rPr>
                <w:color w:val="auto"/>
                <w:sz w:val="18"/>
                <w:szCs w:val="18"/>
              </w:rPr>
              <w:t xml:space="preserve">     </w:t>
            </w:r>
            <w:r>
              <w:rPr>
                <w:rFonts w:hint="eastAsia"/>
                <w:color w:val="auto"/>
                <w:sz w:val="18"/>
                <w:szCs w:val="18"/>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大气环境防护距离</w:t>
            </w:r>
          </w:p>
        </w:tc>
        <w:tc>
          <w:tcPr>
            <w:tcW w:w="6446" w:type="dxa"/>
            <w:gridSpan w:val="13"/>
            <w:noWrap w:val="0"/>
            <w:vAlign w:val="center"/>
          </w:tcPr>
          <w:p>
            <w:pPr>
              <w:pStyle w:val="28"/>
              <w:rPr>
                <w:color w:val="auto"/>
                <w:sz w:val="18"/>
                <w:szCs w:val="18"/>
              </w:rPr>
            </w:pPr>
            <w:r>
              <w:rPr>
                <w:rFonts w:hint="eastAsia"/>
                <w:color w:val="auto"/>
                <w:sz w:val="18"/>
                <w:szCs w:val="18"/>
              </w:rPr>
              <w:t>距（</w:t>
            </w:r>
            <w:r>
              <w:rPr>
                <w:color w:val="auto"/>
                <w:sz w:val="18"/>
                <w:szCs w:val="18"/>
              </w:rPr>
              <w:t xml:space="preserve">    </w:t>
            </w:r>
            <w:r>
              <w:rPr>
                <w:rFonts w:hint="eastAsia"/>
                <w:color w:val="auto"/>
                <w:sz w:val="18"/>
                <w:szCs w:val="18"/>
              </w:rPr>
              <w:t>）厂界最远（</w:t>
            </w:r>
            <w:r>
              <w:rPr>
                <w:rFonts w:hint="eastAsia"/>
                <w:color w:val="auto"/>
                <w:sz w:val="18"/>
                <w:szCs w:val="18"/>
                <w:lang w:val="en-US" w:eastAsia="zh-CN"/>
              </w:rPr>
              <w:t xml:space="preserve">  </w:t>
            </w:r>
            <w:r>
              <w:rPr>
                <w:color w:val="auto"/>
                <w:sz w:val="18"/>
                <w:szCs w:val="18"/>
              </w:rPr>
              <w:t xml:space="preserve"> </w:t>
            </w:r>
            <w:r>
              <w:rPr>
                <w:rFonts w:hint="eastAsia"/>
                <w:color w:val="auto"/>
                <w:sz w:val="18"/>
                <w:szCs w:val="18"/>
              </w:rPr>
              <w:t>）</w:t>
            </w:r>
            <w:r>
              <w:rPr>
                <w:color w:val="auto"/>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62" w:type="dxa"/>
            <w:vMerge w:val="continue"/>
            <w:noWrap w:val="0"/>
            <w:vAlign w:val="center"/>
          </w:tcPr>
          <w:p>
            <w:pPr>
              <w:pStyle w:val="28"/>
              <w:rPr>
                <w:color w:val="auto"/>
                <w:sz w:val="18"/>
                <w:szCs w:val="18"/>
              </w:rPr>
            </w:pPr>
          </w:p>
        </w:tc>
        <w:tc>
          <w:tcPr>
            <w:tcW w:w="1781" w:type="dxa"/>
            <w:noWrap w:val="0"/>
            <w:vAlign w:val="center"/>
          </w:tcPr>
          <w:p>
            <w:pPr>
              <w:pStyle w:val="28"/>
              <w:rPr>
                <w:color w:val="auto"/>
                <w:sz w:val="18"/>
                <w:szCs w:val="18"/>
              </w:rPr>
            </w:pPr>
            <w:r>
              <w:rPr>
                <w:rFonts w:hint="eastAsia"/>
                <w:color w:val="auto"/>
                <w:sz w:val="18"/>
                <w:szCs w:val="18"/>
              </w:rPr>
              <w:t>污染源年排放量</w:t>
            </w:r>
          </w:p>
        </w:tc>
        <w:tc>
          <w:tcPr>
            <w:tcW w:w="1482" w:type="dxa"/>
            <w:gridSpan w:val="2"/>
            <w:noWrap w:val="0"/>
            <w:vAlign w:val="center"/>
          </w:tcPr>
          <w:p>
            <w:pPr>
              <w:pStyle w:val="28"/>
              <w:rPr>
                <w:color w:val="auto"/>
                <w:sz w:val="18"/>
                <w:szCs w:val="18"/>
              </w:rPr>
            </w:pPr>
            <w:r>
              <w:rPr>
                <w:color w:val="auto"/>
                <w:sz w:val="18"/>
                <w:szCs w:val="18"/>
              </w:rPr>
              <w:t>SO</w:t>
            </w:r>
            <w:r>
              <w:rPr>
                <w:color w:val="auto"/>
                <w:sz w:val="18"/>
                <w:szCs w:val="18"/>
                <w:vertAlign w:val="subscript"/>
              </w:rPr>
              <w:t>2</w:t>
            </w:r>
            <w:r>
              <w:rPr>
                <w:rFonts w:hint="eastAsia"/>
                <w:color w:val="auto"/>
                <w:sz w:val="18"/>
                <w:szCs w:val="18"/>
              </w:rPr>
              <w:t>：（ ）</w:t>
            </w:r>
            <w:r>
              <w:rPr>
                <w:color w:val="auto"/>
                <w:sz w:val="18"/>
                <w:szCs w:val="18"/>
              </w:rPr>
              <w:t>t/a</w:t>
            </w:r>
          </w:p>
        </w:tc>
        <w:tc>
          <w:tcPr>
            <w:tcW w:w="1650" w:type="dxa"/>
            <w:gridSpan w:val="4"/>
            <w:noWrap w:val="0"/>
            <w:vAlign w:val="center"/>
          </w:tcPr>
          <w:p>
            <w:pPr>
              <w:pStyle w:val="28"/>
              <w:rPr>
                <w:color w:val="auto"/>
                <w:sz w:val="18"/>
                <w:szCs w:val="18"/>
              </w:rPr>
            </w:pPr>
            <w:r>
              <w:rPr>
                <w:color w:val="auto"/>
                <w:sz w:val="18"/>
                <w:szCs w:val="18"/>
              </w:rPr>
              <w:t>NOx</w:t>
            </w:r>
            <w:r>
              <w:rPr>
                <w:rFonts w:hint="eastAsia"/>
                <w:color w:val="auto"/>
                <w:sz w:val="18"/>
                <w:szCs w:val="18"/>
              </w:rPr>
              <w:t>：（ ）</w:t>
            </w:r>
            <w:r>
              <w:rPr>
                <w:color w:val="auto"/>
                <w:sz w:val="18"/>
                <w:szCs w:val="18"/>
              </w:rPr>
              <w:t>t/a</w:t>
            </w:r>
          </w:p>
        </w:tc>
        <w:tc>
          <w:tcPr>
            <w:tcW w:w="1564" w:type="dxa"/>
            <w:gridSpan w:val="4"/>
            <w:noWrap w:val="0"/>
            <w:vAlign w:val="center"/>
          </w:tcPr>
          <w:p>
            <w:pPr>
              <w:pStyle w:val="28"/>
              <w:rPr>
                <w:color w:val="auto"/>
                <w:sz w:val="18"/>
                <w:szCs w:val="18"/>
              </w:rPr>
            </w:pPr>
            <w:r>
              <w:rPr>
                <w:rFonts w:hint="eastAsia"/>
                <w:color w:val="auto"/>
                <w:sz w:val="18"/>
                <w:szCs w:val="18"/>
              </w:rPr>
              <w:t>颗粒物：（</w:t>
            </w:r>
            <w:r>
              <w:rPr>
                <w:rFonts w:hint="eastAsia"/>
                <w:color w:val="auto"/>
                <w:sz w:val="18"/>
                <w:szCs w:val="18"/>
                <w:lang w:val="en-US" w:eastAsia="zh-CN"/>
              </w:rPr>
              <w:t xml:space="preserve">  </w:t>
            </w:r>
            <w:r>
              <w:rPr>
                <w:rFonts w:hint="eastAsia"/>
                <w:color w:val="auto"/>
                <w:sz w:val="18"/>
                <w:szCs w:val="18"/>
              </w:rPr>
              <w:t>）</w:t>
            </w:r>
            <w:r>
              <w:rPr>
                <w:color w:val="auto"/>
                <w:sz w:val="18"/>
                <w:szCs w:val="18"/>
              </w:rPr>
              <w:t>t/a</w:t>
            </w:r>
          </w:p>
        </w:tc>
        <w:tc>
          <w:tcPr>
            <w:tcW w:w="1750" w:type="dxa"/>
            <w:gridSpan w:val="3"/>
            <w:noWrap w:val="0"/>
            <w:vAlign w:val="center"/>
          </w:tcPr>
          <w:p>
            <w:pPr>
              <w:pStyle w:val="28"/>
              <w:rPr>
                <w:color w:val="auto"/>
                <w:sz w:val="18"/>
                <w:szCs w:val="18"/>
              </w:rPr>
            </w:pPr>
            <w:r>
              <w:rPr>
                <w:color w:val="auto"/>
                <w:sz w:val="18"/>
                <w:szCs w:val="18"/>
              </w:rPr>
              <w:t>VOCs</w:t>
            </w:r>
            <w:r>
              <w:rPr>
                <w:rFonts w:hint="eastAsia"/>
                <w:color w:val="auto"/>
                <w:sz w:val="18"/>
                <w:szCs w:val="18"/>
              </w:rPr>
              <w:t>：（</w:t>
            </w:r>
            <w:r>
              <w:rPr>
                <w:rFonts w:hint="eastAsia"/>
                <w:color w:val="auto"/>
                <w:sz w:val="18"/>
                <w:szCs w:val="18"/>
                <w:lang w:val="en-US" w:eastAsia="zh-CN"/>
              </w:rPr>
              <w:t xml:space="preserve">  </w:t>
            </w:r>
            <w:r>
              <w:rPr>
                <w:rFonts w:hint="eastAsia"/>
                <w:color w:val="auto"/>
                <w:sz w:val="18"/>
                <w:szCs w:val="18"/>
              </w:rPr>
              <w:t>）</w:t>
            </w:r>
            <w:r>
              <w:rPr>
                <w:color w:val="auto"/>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289" w:type="dxa"/>
            <w:gridSpan w:val="15"/>
            <w:noWrap w:val="0"/>
            <w:vAlign w:val="center"/>
          </w:tcPr>
          <w:p>
            <w:pPr>
              <w:pStyle w:val="28"/>
              <w:rPr>
                <w:color w:val="auto"/>
                <w:sz w:val="18"/>
                <w:szCs w:val="18"/>
              </w:rPr>
            </w:pPr>
            <w:r>
              <w:rPr>
                <w:rFonts w:hint="eastAsia"/>
                <w:color w:val="auto"/>
                <w:sz w:val="18"/>
                <w:szCs w:val="18"/>
              </w:rPr>
              <w:t>注：</w:t>
            </w:r>
            <w:r>
              <w:rPr>
                <w:color w:val="auto"/>
                <w:sz w:val="18"/>
                <w:szCs w:val="18"/>
              </w:rPr>
              <w:t>“</w:t>
            </w:r>
            <w:r>
              <w:rPr>
                <w:rFonts w:hint="eastAsia"/>
                <w:color w:val="auto"/>
                <w:sz w:val="18"/>
                <w:szCs w:val="18"/>
              </w:rPr>
              <w:t>□</w:t>
            </w:r>
            <w:r>
              <w:rPr>
                <w:color w:val="auto"/>
                <w:sz w:val="18"/>
                <w:szCs w:val="18"/>
              </w:rPr>
              <w:t>”</w:t>
            </w:r>
            <w:r>
              <w:rPr>
                <w:rFonts w:hint="eastAsia"/>
                <w:color w:val="auto"/>
                <w:sz w:val="18"/>
                <w:szCs w:val="18"/>
              </w:rPr>
              <w:t>为勾选项，填</w:t>
            </w:r>
            <w:r>
              <w:rPr>
                <w:color w:val="auto"/>
                <w:sz w:val="18"/>
                <w:szCs w:val="18"/>
              </w:rPr>
              <w:t>“</w:t>
            </w:r>
            <w:r>
              <w:rPr>
                <w:rFonts w:hint="eastAsia"/>
                <w:color w:val="auto"/>
                <w:sz w:val="18"/>
                <w:szCs w:val="18"/>
              </w:rPr>
              <w:t>√</w:t>
            </w:r>
            <w:r>
              <w:rPr>
                <w:color w:val="auto"/>
                <w:sz w:val="18"/>
                <w:szCs w:val="18"/>
              </w:rPr>
              <w:t>”</w:t>
            </w:r>
            <w:r>
              <w:rPr>
                <w:rFonts w:hint="eastAsia"/>
                <w:color w:val="auto"/>
                <w:sz w:val="18"/>
                <w:szCs w:val="18"/>
              </w:rPr>
              <w:t>；</w:t>
            </w:r>
            <w:r>
              <w:rPr>
                <w:color w:val="auto"/>
                <w:sz w:val="18"/>
                <w:szCs w:val="18"/>
              </w:rPr>
              <w:t>“</w:t>
            </w:r>
            <w:r>
              <w:rPr>
                <w:rFonts w:hint="eastAsia"/>
                <w:color w:val="auto"/>
                <w:sz w:val="18"/>
                <w:szCs w:val="18"/>
              </w:rPr>
              <w:t>（）</w:t>
            </w:r>
            <w:r>
              <w:rPr>
                <w:color w:val="auto"/>
                <w:sz w:val="18"/>
                <w:szCs w:val="18"/>
              </w:rPr>
              <w:t>”</w:t>
            </w:r>
            <w:r>
              <w:rPr>
                <w:rFonts w:hint="eastAsia"/>
                <w:color w:val="auto"/>
                <w:sz w:val="18"/>
                <w:szCs w:val="18"/>
              </w:rPr>
              <w:t>为内容填写项</w:t>
            </w:r>
          </w:p>
        </w:tc>
      </w:tr>
    </w:tbl>
    <w:p>
      <w:pPr>
        <w:spacing w:line="360" w:lineRule="auto"/>
        <w:ind w:firstLine="480"/>
        <w:rPr>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2"/>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5"/>
        <w:gridCol w:w="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1" w:type="dxa"/>
          <w:trHeight w:val="3785" w:hRule="atLeast"/>
          <w:jc w:val="center"/>
        </w:trPr>
        <w:tc>
          <w:tcPr>
            <w:tcW w:w="9145" w:type="dxa"/>
          </w:tcPr>
          <w:p>
            <w:pPr>
              <w:spacing w:line="360" w:lineRule="auto"/>
              <w:ind w:firstLine="480"/>
              <w:rPr>
                <w:color w:val="auto"/>
              </w:rPr>
            </w:pPr>
            <w:r>
              <w:rPr>
                <w:rFonts w:hint="eastAsia"/>
                <w:color w:val="auto"/>
              </w:rPr>
              <w:t>主管部门预审意见：</w:t>
            </w:r>
          </w:p>
          <w:p>
            <w:pPr>
              <w:spacing w:line="360" w:lineRule="auto"/>
              <w:ind w:firstLine="480"/>
              <w:rPr>
                <w:color w:val="auto"/>
              </w:rPr>
            </w:pPr>
          </w:p>
          <w:p>
            <w:pPr>
              <w:tabs>
                <w:tab w:val="left" w:pos="2635"/>
              </w:tabs>
              <w:spacing w:line="360" w:lineRule="auto"/>
              <w:ind w:firstLine="480"/>
              <w:rPr>
                <w:color w:val="auto"/>
              </w:rPr>
            </w:pPr>
            <w:r>
              <w:rPr>
                <w:rFonts w:hint="eastAsia"/>
                <w:color w:val="auto"/>
              </w:rPr>
              <w:tab/>
            </w:r>
          </w:p>
          <w:p>
            <w:pPr>
              <w:tabs>
                <w:tab w:val="left" w:pos="2635"/>
              </w:tabs>
              <w:spacing w:line="360" w:lineRule="auto"/>
              <w:ind w:firstLine="480"/>
              <w:rPr>
                <w:color w:val="auto"/>
              </w:rPr>
            </w:pPr>
          </w:p>
          <w:p>
            <w:pPr>
              <w:tabs>
                <w:tab w:val="left" w:pos="2635"/>
              </w:tabs>
              <w:spacing w:line="360" w:lineRule="auto"/>
              <w:ind w:firstLine="480"/>
              <w:rPr>
                <w:color w:val="auto"/>
              </w:rPr>
            </w:pPr>
          </w:p>
          <w:p>
            <w:pPr>
              <w:spacing w:after="166" w:afterLines="50" w:line="360" w:lineRule="auto"/>
              <w:ind w:firstLine="480"/>
              <w:rPr>
                <w:color w:val="auto"/>
              </w:rPr>
            </w:pPr>
            <w:r>
              <w:rPr>
                <w:rFonts w:hint="eastAsia"/>
                <w:color w:val="auto"/>
              </w:rPr>
              <w:t>　　　　　　　　　　　　　　　　　　　　　　　　（盖　章）</w:t>
            </w:r>
          </w:p>
          <w:p>
            <w:pPr>
              <w:spacing w:before="166" w:beforeLines="50" w:after="166" w:afterLines="50" w:line="360" w:lineRule="auto"/>
              <w:ind w:firstLine="480"/>
              <w:rPr>
                <w:color w:val="auto"/>
              </w:rPr>
            </w:pPr>
            <w:r>
              <w:rPr>
                <w:rFonts w:hint="eastAsia"/>
                <w:color w:val="auto"/>
              </w:rPr>
              <w:t>经办人：　　　　　　　　　　　　　　</w:t>
            </w:r>
            <w:r>
              <w:rPr>
                <w:rFonts w:hint="eastAsia"/>
                <w:color w:val="auto"/>
                <w:lang w:val="en-US" w:eastAsia="zh-CN"/>
              </w:rPr>
              <w:t xml:space="preserve">    </w:t>
            </w:r>
            <w:r>
              <w:rPr>
                <w:rFonts w:hint="eastAsia"/>
                <w:color w:val="auto"/>
              </w:rPr>
              <w:t>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1" w:type="dxa"/>
          <w:trHeight w:val="9084" w:hRule="atLeast"/>
          <w:jc w:val="center"/>
        </w:trPr>
        <w:tc>
          <w:tcPr>
            <w:tcW w:w="9145" w:type="dxa"/>
          </w:tcPr>
          <w:p>
            <w:pPr>
              <w:spacing w:line="360" w:lineRule="auto"/>
              <w:ind w:firstLine="480"/>
              <w:rPr>
                <w:color w:val="auto"/>
              </w:rPr>
            </w:pPr>
            <w:r>
              <w:rPr>
                <w:rFonts w:hint="eastAsia"/>
                <w:color w:val="auto"/>
              </w:rPr>
              <w:t>县级环境保护行政主管部门审批（审查）意见：</w:t>
            </w: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r>
              <w:rPr>
                <w:rFonts w:hint="eastAsia"/>
                <w:color w:val="auto"/>
              </w:rPr>
              <w:t>　　　　　　　　　　　　　　　　　　　　　　　　　（盖　章）</w:t>
            </w:r>
          </w:p>
          <w:p>
            <w:pPr>
              <w:spacing w:line="360" w:lineRule="auto"/>
              <w:ind w:firstLine="480"/>
              <w:rPr>
                <w:color w:val="auto"/>
              </w:rPr>
            </w:pPr>
            <w:r>
              <w:rPr>
                <w:rFonts w:hint="eastAsia"/>
                <w:color w:val="auto"/>
              </w:rPr>
              <w:t>经办人：　　　　　　　　　　　　　</w:t>
            </w:r>
            <w:r>
              <w:rPr>
                <w:rFonts w:hint="eastAsia"/>
                <w:color w:val="auto"/>
                <w:lang w:val="en-US" w:eastAsia="zh-CN"/>
              </w:rPr>
              <w:t xml:space="preserve">      </w:t>
            </w:r>
            <w:r>
              <w:rPr>
                <w:rFonts w:hint="eastAsia"/>
                <w:color w:val="auto"/>
              </w:rPr>
              <w:t>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4" w:hRule="atLeast"/>
          <w:jc w:val="center"/>
        </w:trPr>
        <w:tc>
          <w:tcPr>
            <w:tcW w:w="9286" w:type="dxa"/>
            <w:gridSpan w:val="2"/>
          </w:tcPr>
          <w:p>
            <w:pPr>
              <w:spacing w:line="360" w:lineRule="auto"/>
              <w:ind w:firstLine="480"/>
              <w:rPr>
                <w:color w:val="auto"/>
              </w:rPr>
            </w:pPr>
            <w:r>
              <w:rPr>
                <w:rFonts w:hint="eastAsia"/>
                <w:color w:val="auto"/>
              </w:rPr>
              <w:t>地（市）级环境保护行政主管部门审批（审查）意见：</w:t>
            </w: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p>
          <w:p>
            <w:pPr>
              <w:spacing w:line="360" w:lineRule="auto"/>
              <w:ind w:firstLine="480"/>
              <w:rPr>
                <w:color w:val="auto"/>
              </w:rPr>
            </w:pPr>
            <w:r>
              <w:rPr>
                <w:rFonts w:hint="eastAsia"/>
                <w:color w:val="auto"/>
              </w:rPr>
              <w:t>　　　　　　　　　　　　　　　　　　　　　　　（盖　章）</w:t>
            </w:r>
          </w:p>
          <w:p>
            <w:pPr>
              <w:spacing w:before="166" w:beforeLines="50" w:after="166" w:afterLines="50" w:line="360" w:lineRule="auto"/>
              <w:ind w:firstLine="480"/>
              <w:rPr>
                <w:color w:val="auto"/>
              </w:rPr>
            </w:pPr>
            <w:r>
              <w:rPr>
                <w:rFonts w:hint="eastAsia"/>
                <w:color w:val="auto"/>
              </w:rPr>
              <w:t>经办人：　　　　　　　　　　　　　</w:t>
            </w:r>
            <w:r>
              <w:rPr>
                <w:rFonts w:hint="eastAsia"/>
                <w:color w:val="auto"/>
                <w:lang w:val="en-US" w:eastAsia="zh-CN"/>
              </w:rPr>
              <w:t xml:space="preserve">      </w:t>
            </w:r>
            <w:r>
              <w:rPr>
                <w:rFonts w:hint="eastAsia"/>
                <w:color w:val="auto"/>
              </w:rPr>
              <w:t>　　年　　月　　日</w:t>
            </w:r>
          </w:p>
        </w:tc>
      </w:tr>
    </w:tbl>
    <w:p>
      <w:pPr>
        <w:pStyle w:val="2"/>
        <w:ind w:firstLine="0"/>
        <w:rPr>
          <w:color w:val="auto"/>
        </w:rPr>
      </w:pPr>
    </w:p>
    <w:sectPr>
      <w:footerReference r:id="rId12"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Microsoft JhengHei">
    <w:panose1 w:val="020B0604030504040204"/>
    <w:charset w:val="88"/>
    <w:family w:val="swiss"/>
    <w:pitch w:val="default"/>
    <w:sig w:usb0="00000087" w:usb1="28AF4000" w:usb2="00000016" w:usb3="00000000" w:csb0="00100009" w:csb1="00000000"/>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ind w:firstLine="480"/>
    </w:pPr>
    <w:r>
      <w:fldChar w:fldCharType="begin"/>
    </w:r>
    <w:r>
      <w:instrText xml:space="preserve">PAGE  </w:instrText>
    </w:r>
    <w:r>
      <w:fldChar w:fldCharType="end"/>
    </w:r>
  </w:p>
  <w:p>
    <w:pPr>
      <w:tabs>
        <w:tab w:val="center" w:pos="4153"/>
        <w:tab w:val="right" w:pos="8306"/>
      </w:tabs>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文本框 15" o:spid="_x0000_s4097"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71</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27188D"/>
    <w:multiLevelType w:val="multilevel"/>
    <w:tmpl w:val="9427188D"/>
    <w:lvl w:ilvl="0" w:tentative="0">
      <w:start w:val="1"/>
      <w:numFmt w:val="japaneseCounting"/>
      <w:pStyle w:val="4"/>
      <w:lvlText w:val="%1、"/>
      <w:lvlJc w:val="left"/>
      <w:pPr>
        <w:tabs>
          <w:tab w:val="left" w:pos="720"/>
        </w:tabs>
        <w:ind w:left="720" w:hanging="720"/>
      </w:pPr>
      <w:rPr>
        <w:rFonts w:hint="eastAsia"/>
        <w:lang w:val="en-U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
    <w:nsid w:val="98DF437A"/>
    <w:multiLevelType w:val="singleLevel"/>
    <w:tmpl w:val="98DF437A"/>
    <w:lvl w:ilvl="0" w:tentative="0">
      <w:start w:val="1"/>
      <w:numFmt w:val="decimalEnclosedCircleChinese"/>
      <w:suff w:val="space"/>
      <w:lvlText w:val="%1"/>
      <w:lvlJc w:val="left"/>
      <w:rPr>
        <w:rFonts w:hint="eastAsia"/>
      </w:rPr>
    </w:lvl>
  </w:abstractNum>
  <w:abstractNum w:abstractNumId="2">
    <w:nsid w:val="C12980E4"/>
    <w:multiLevelType w:val="singleLevel"/>
    <w:tmpl w:val="C12980E4"/>
    <w:lvl w:ilvl="0" w:tentative="0">
      <w:start w:val="4"/>
      <w:numFmt w:val="decimal"/>
      <w:suff w:val="nothing"/>
      <w:lvlText w:val="（%1）"/>
      <w:lvlJc w:val="left"/>
    </w:lvl>
  </w:abstractNum>
  <w:abstractNum w:abstractNumId="3">
    <w:nsid w:val="CDC43E84"/>
    <w:multiLevelType w:val="singleLevel"/>
    <w:tmpl w:val="CDC43E84"/>
    <w:lvl w:ilvl="0" w:tentative="0">
      <w:start w:val="1"/>
      <w:numFmt w:val="decimal"/>
      <w:suff w:val="nothing"/>
      <w:lvlText w:val="（%1）"/>
      <w:lvlJc w:val="left"/>
      <w:pPr>
        <w:ind w:left="360" w:firstLine="0"/>
      </w:pPr>
    </w:lvl>
  </w:abstractNum>
  <w:abstractNum w:abstractNumId="4">
    <w:nsid w:val="E6BC5A2D"/>
    <w:multiLevelType w:val="singleLevel"/>
    <w:tmpl w:val="E6BC5A2D"/>
    <w:lvl w:ilvl="0" w:tentative="0">
      <w:start w:val="1"/>
      <w:numFmt w:val="decimal"/>
      <w:suff w:val="nothing"/>
      <w:lvlText w:val="（%1）"/>
      <w:lvlJc w:val="left"/>
    </w:lvl>
  </w:abstractNum>
  <w:abstractNum w:abstractNumId="5">
    <w:nsid w:val="00000003"/>
    <w:multiLevelType w:val="singleLevel"/>
    <w:tmpl w:val="00000003"/>
    <w:lvl w:ilvl="0" w:tentative="0">
      <w:start w:val="6"/>
      <w:numFmt w:val="chineseCounting"/>
      <w:suff w:val="nothing"/>
      <w:lvlText w:val="%1、"/>
      <w:lvlJc w:val="left"/>
      <w:rPr>
        <w:rFonts w:cs="Times New Roman"/>
      </w:rPr>
    </w:lvl>
  </w:abstractNum>
  <w:abstractNum w:abstractNumId="6">
    <w:nsid w:val="15635D37"/>
    <w:multiLevelType w:val="multilevel"/>
    <w:tmpl w:val="15635D37"/>
    <w:lvl w:ilvl="0" w:tentative="0">
      <w:start w:val="5"/>
      <w:numFmt w:val="decimal"/>
      <w:lvlText w:val="%1."/>
      <w:lvlJc w:val="left"/>
      <w:pPr>
        <w:tabs>
          <w:tab w:val="left" w:pos="425"/>
        </w:tabs>
        <w:ind w:left="425" w:hanging="425"/>
      </w:pPr>
      <w:rPr>
        <w:rFonts w:hint="eastAsia"/>
      </w:rPr>
    </w:lvl>
    <w:lvl w:ilvl="1" w:tentative="0">
      <w:start w:val="1"/>
      <w:numFmt w:val="decimal"/>
      <w:pStyle w:val="5"/>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9564A4E"/>
    <w:multiLevelType w:val="singleLevel"/>
    <w:tmpl w:val="29564A4E"/>
    <w:lvl w:ilvl="0" w:tentative="0">
      <w:start w:val="2"/>
      <w:numFmt w:val="decimal"/>
      <w:suff w:val="nothing"/>
      <w:lvlText w:val="（%1）"/>
      <w:lvlJc w:val="left"/>
    </w:lvl>
  </w:abstractNum>
  <w:abstractNum w:abstractNumId="8">
    <w:nsid w:val="527A0FA2"/>
    <w:multiLevelType w:val="singleLevel"/>
    <w:tmpl w:val="527A0FA2"/>
    <w:lvl w:ilvl="0" w:tentative="0">
      <w:start w:val="1"/>
      <w:numFmt w:val="decimal"/>
      <w:suff w:val="nothing"/>
      <w:lvlText w:val="（%1）"/>
      <w:lvlJc w:val="left"/>
    </w:lvl>
  </w:abstractNum>
  <w:abstractNum w:abstractNumId="9">
    <w:nsid w:val="57C647B7"/>
    <w:multiLevelType w:val="multilevel"/>
    <w:tmpl w:val="57C647B7"/>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575"/>
        </w:tabs>
        <w:ind w:left="575" w:hanging="575"/>
      </w:pPr>
      <w:rPr>
        <w:rFonts w:hint="default"/>
      </w:rPr>
    </w:lvl>
    <w:lvl w:ilvl="2" w:tentative="0">
      <w:start w:val="1"/>
      <w:numFmt w:val="decimal"/>
      <w:lvlText w:val="%1.%2.%3."/>
      <w:lvlJc w:val="left"/>
      <w:pPr>
        <w:tabs>
          <w:tab w:val="left" w:pos="900"/>
        </w:tabs>
        <w:ind w:left="180" w:firstLine="0"/>
      </w:pPr>
      <w:rPr>
        <w:rFonts w:hint="default"/>
      </w:rPr>
    </w:lvl>
    <w:lvl w:ilvl="3" w:tentative="0">
      <w:start w:val="1"/>
      <w:numFmt w:val="decimal"/>
      <w:pStyle w:val="7"/>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10">
    <w:nsid w:val="5A576564"/>
    <w:multiLevelType w:val="singleLevel"/>
    <w:tmpl w:val="5A576564"/>
    <w:lvl w:ilvl="0" w:tentative="0">
      <w:start w:val="1"/>
      <w:numFmt w:val="decimal"/>
      <w:suff w:val="nothing"/>
      <w:lvlText w:val="%1."/>
      <w:lvlJc w:val="left"/>
      <w:pPr>
        <w:ind w:left="0" w:firstLine="0"/>
      </w:pPr>
    </w:lvl>
  </w:abstractNum>
  <w:abstractNum w:abstractNumId="11">
    <w:nsid w:val="5A576610"/>
    <w:multiLevelType w:val="singleLevel"/>
    <w:tmpl w:val="5A576610"/>
    <w:lvl w:ilvl="0" w:tentative="0">
      <w:start w:val="1"/>
      <w:numFmt w:val="decimal"/>
      <w:suff w:val="nothing"/>
      <w:lvlText w:val="%1."/>
      <w:lvlJc w:val="left"/>
      <w:pPr>
        <w:ind w:left="0" w:firstLine="0"/>
      </w:pPr>
    </w:lvl>
  </w:abstractNum>
  <w:abstractNum w:abstractNumId="12">
    <w:nsid w:val="5A576686"/>
    <w:multiLevelType w:val="singleLevel"/>
    <w:tmpl w:val="5A576686"/>
    <w:lvl w:ilvl="0" w:tentative="0">
      <w:start w:val="1"/>
      <w:numFmt w:val="decimal"/>
      <w:suff w:val="nothing"/>
      <w:lvlText w:val="%1."/>
      <w:lvlJc w:val="left"/>
      <w:pPr>
        <w:ind w:left="0" w:firstLine="0"/>
      </w:pPr>
    </w:lvl>
  </w:abstractNum>
  <w:abstractNum w:abstractNumId="13">
    <w:nsid w:val="5A5766C8"/>
    <w:multiLevelType w:val="singleLevel"/>
    <w:tmpl w:val="5A5766C8"/>
    <w:lvl w:ilvl="0" w:tentative="0">
      <w:start w:val="1"/>
      <w:numFmt w:val="decimal"/>
      <w:suff w:val="nothing"/>
      <w:lvlText w:val="%1."/>
      <w:lvlJc w:val="left"/>
      <w:pPr>
        <w:ind w:left="0" w:firstLine="0"/>
      </w:pPr>
    </w:lvl>
  </w:abstractNum>
  <w:abstractNum w:abstractNumId="14">
    <w:nsid w:val="5A585C58"/>
    <w:multiLevelType w:val="singleLevel"/>
    <w:tmpl w:val="5A585C58"/>
    <w:lvl w:ilvl="0" w:tentative="0">
      <w:start w:val="3"/>
      <w:numFmt w:val="decimal"/>
      <w:suff w:val="nothing"/>
      <w:lvlText w:val="%1、"/>
      <w:lvlJc w:val="left"/>
      <w:pPr>
        <w:ind w:left="0" w:firstLine="0"/>
      </w:pPr>
    </w:lvl>
  </w:abstractNum>
  <w:abstractNum w:abstractNumId="15">
    <w:nsid w:val="5A728346"/>
    <w:multiLevelType w:val="singleLevel"/>
    <w:tmpl w:val="5A728346"/>
    <w:lvl w:ilvl="0" w:tentative="0">
      <w:start w:val="2"/>
      <w:numFmt w:val="chineseCounting"/>
      <w:suff w:val="nothing"/>
      <w:lvlText w:val="(%1)"/>
      <w:lvlJc w:val="left"/>
      <w:pPr>
        <w:ind w:left="0" w:firstLine="0"/>
      </w:pPr>
    </w:lvl>
  </w:abstractNum>
  <w:abstractNum w:abstractNumId="16">
    <w:nsid w:val="5A728480"/>
    <w:multiLevelType w:val="singleLevel"/>
    <w:tmpl w:val="5A728480"/>
    <w:lvl w:ilvl="0" w:tentative="0">
      <w:start w:val="1"/>
      <w:numFmt w:val="chineseCounting"/>
      <w:suff w:val="nothing"/>
      <w:lvlText w:val="(%1)"/>
      <w:lvlJc w:val="left"/>
      <w:pPr>
        <w:ind w:left="0" w:firstLine="0"/>
      </w:pPr>
    </w:lvl>
  </w:abstractNum>
  <w:abstractNum w:abstractNumId="17">
    <w:nsid w:val="5A7284B6"/>
    <w:multiLevelType w:val="singleLevel"/>
    <w:tmpl w:val="5A7284B6"/>
    <w:lvl w:ilvl="0" w:tentative="0">
      <w:start w:val="1"/>
      <w:numFmt w:val="decimal"/>
      <w:suff w:val="nothing"/>
      <w:lvlText w:val="%1."/>
      <w:lvlJc w:val="left"/>
      <w:pPr>
        <w:ind w:left="0" w:firstLine="0"/>
      </w:pPr>
    </w:lvl>
  </w:abstractNum>
  <w:abstractNum w:abstractNumId="18">
    <w:nsid w:val="5A728940"/>
    <w:multiLevelType w:val="singleLevel"/>
    <w:tmpl w:val="5A728940"/>
    <w:lvl w:ilvl="0" w:tentative="0">
      <w:start w:val="1"/>
      <w:numFmt w:val="chineseCounting"/>
      <w:suff w:val="nothing"/>
      <w:lvlText w:val="(%1)"/>
      <w:lvlJc w:val="left"/>
      <w:pPr>
        <w:ind w:left="0" w:firstLine="0"/>
      </w:pPr>
    </w:lvl>
  </w:abstractNum>
  <w:abstractNum w:abstractNumId="19">
    <w:nsid w:val="5A72898E"/>
    <w:multiLevelType w:val="singleLevel"/>
    <w:tmpl w:val="5A72898E"/>
    <w:lvl w:ilvl="0" w:tentative="0">
      <w:start w:val="1"/>
      <w:numFmt w:val="decimal"/>
      <w:suff w:val="nothing"/>
      <w:lvlText w:val="%1."/>
      <w:lvlJc w:val="left"/>
      <w:pPr>
        <w:ind w:left="0" w:firstLine="0"/>
      </w:pPr>
    </w:lvl>
  </w:abstractNum>
  <w:abstractNum w:abstractNumId="20">
    <w:nsid w:val="5A728ABA"/>
    <w:multiLevelType w:val="singleLevel"/>
    <w:tmpl w:val="5A728ABA"/>
    <w:lvl w:ilvl="0" w:tentative="0">
      <w:start w:val="1"/>
      <w:numFmt w:val="chineseCounting"/>
      <w:suff w:val="nothing"/>
      <w:lvlText w:val="(%1)"/>
      <w:lvlJc w:val="left"/>
      <w:pPr>
        <w:ind w:left="0" w:firstLine="0"/>
      </w:pPr>
    </w:lvl>
  </w:abstractNum>
  <w:num w:numId="1">
    <w:abstractNumId w:val="0"/>
  </w:num>
  <w:num w:numId="2">
    <w:abstractNumId w:val="6"/>
  </w:num>
  <w:num w:numId="3">
    <w:abstractNumId w:val="9"/>
  </w:num>
  <w:num w:numId="4">
    <w:abstractNumId w:val="2"/>
  </w:num>
  <w:num w:numId="5">
    <w:abstractNumId w:val="1"/>
  </w:num>
  <w:num w:numId="6">
    <w:abstractNumId w:val="4"/>
  </w:num>
  <w:num w:numId="7">
    <w:abstractNumId w:val="8"/>
  </w:num>
  <w:num w:numId="8">
    <w:abstractNumId w:val="15"/>
    <w:lvlOverride w:ilvl="0">
      <w:startOverride w:val="2"/>
    </w:lvlOverride>
  </w:num>
  <w:num w:numId="9">
    <w:abstractNumId w:val="16"/>
    <w:lvlOverride w:ilvl="0">
      <w:startOverride w:val="1"/>
    </w:lvlOverride>
  </w:num>
  <w:num w:numId="10">
    <w:abstractNumId w:val="17"/>
    <w:lvlOverride w:ilvl="0">
      <w:startOverride w:val="1"/>
    </w:lvlOverride>
  </w:num>
  <w:num w:numId="11">
    <w:abstractNumId w:val="18"/>
    <w:lvlOverride w:ilvl="0">
      <w:startOverride w:val="1"/>
    </w:lvlOverride>
  </w:num>
  <w:num w:numId="12">
    <w:abstractNumId w:val="19"/>
    <w:lvlOverride w:ilvl="0">
      <w:startOverride w:val="1"/>
    </w:lvlOverride>
  </w:num>
  <w:num w:numId="13">
    <w:abstractNumId w:val="20"/>
    <w:lvlOverride w:ilvl="0">
      <w:startOverride w:val="1"/>
    </w:lvlOverride>
  </w:num>
  <w:num w:numId="14">
    <w:abstractNumId w:val="10"/>
    <w:lvlOverride w:ilvl="0">
      <w:startOverride w:val="1"/>
    </w:lvlOverride>
  </w:num>
  <w:num w:numId="15">
    <w:abstractNumId w:val="11"/>
    <w:lvlOverride w:ilvl="0">
      <w:startOverride w:val="1"/>
    </w:lvlOverride>
  </w:num>
  <w:num w:numId="16">
    <w:abstractNumId w:val="12"/>
    <w:lvlOverride w:ilvl="0">
      <w:startOverride w:val="1"/>
    </w:lvlOverride>
  </w:num>
  <w:num w:numId="17">
    <w:abstractNumId w:val="13"/>
    <w:lvlOverride w:ilvl="0">
      <w:startOverride w:val="1"/>
    </w:lvlOverride>
  </w:num>
  <w:num w:numId="18">
    <w:abstractNumId w:val="14"/>
    <w:lvlOverride w:ilvl="0">
      <w:startOverride w:val="3"/>
    </w:lvlOverride>
  </w:num>
  <w:num w:numId="19">
    <w:abstractNumId w:val="5"/>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val="0"/>
  <w:bordersDoNotSurroundFooter w:val="0"/>
  <w:hideSpellingErrors/>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57FD9"/>
    <w:rsid w:val="00003A92"/>
    <w:rsid w:val="000115D3"/>
    <w:rsid w:val="00024073"/>
    <w:rsid w:val="00027F50"/>
    <w:rsid w:val="0003578D"/>
    <w:rsid w:val="00041D82"/>
    <w:rsid w:val="00060BEF"/>
    <w:rsid w:val="00062751"/>
    <w:rsid w:val="00066379"/>
    <w:rsid w:val="00067956"/>
    <w:rsid w:val="0008758D"/>
    <w:rsid w:val="00093C94"/>
    <w:rsid w:val="000967C5"/>
    <w:rsid w:val="000A01F8"/>
    <w:rsid w:val="000B03FC"/>
    <w:rsid w:val="000B19CA"/>
    <w:rsid w:val="000D4840"/>
    <w:rsid w:val="000F70F7"/>
    <w:rsid w:val="001026D5"/>
    <w:rsid w:val="001046F0"/>
    <w:rsid w:val="00127C5B"/>
    <w:rsid w:val="00145E17"/>
    <w:rsid w:val="001469D7"/>
    <w:rsid w:val="00146AFD"/>
    <w:rsid w:val="00175ADE"/>
    <w:rsid w:val="00186ECD"/>
    <w:rsid w:val="0019367F"/>
    <w:rsid w:val="001A0B5A"/>
    <w:rsid w:val="001C35F9"/>
    <w:rsid w:val="001C3A0C"/>
    <w:rsid w:val="001C6A86"/>
    <w:rsid w:val="001D10E9"/>
    <w:rsid w:val="001D406B"/>
    <w:rsid w:val="001D407C"/>
    <w:rsid w:val="001D52FF"/>
    <w:rsid w:val="001E0AE2"/>
    <w:rsid w:val="001E0B24"/>
    <w:rsid w:val="001E4066"/>
    <w:rsid w:val="001F22C2"/>
    <w:rsid w:val="001F3E03"/>
    <w:rsid w:val="002203CF"/>
    <w:rsid w:val="0022106B"/>
    <w:rsid w:val="00222ACE"/>
    <w:rsid w:val="0023483B"/>
    <w:rsid w:val="0024241D"/>
    <w:rsid w:val="0025149B"/>
    <w:rsid w:val="002519A1"/>
    <w:rsid w:val="00253F6A"/>
    <w:rsid w:val="00257FD9"/>
    <w:rsid w:val="00266EB9"/>
    <w:rsid w:val="002A0B12"/>
    <w:rsid w:val="002B485A"/>
    <w:rsid w:val="002D77AF"/>
    <w:rsid w:val="002E1790"/>
    <w:rsid w:val="0035060C"/>
    <w:rsid w:val="0035475E"/>
    <w:rsid w:val="0037494C"/>
    <w:rsid w:val="003D085C"/>
    <w:rsid w:val="003D7C5F"/>
    <w:rsid w:val="00407105"/>
    <w:rsid w:val="00440B67"/>
    <w:rsid w:val="00467AFD"/>
    <w:rsid w:val="00483BAC"/>
    <w:rsid w:val="004A25E5"/>
    <w:rsid w:val="004A2AFE"/>
    <w:rsid w:val="004A76F3"/>
    <w:rsid w:val="004B42BB"/>
    <w:rsid w:val="004C0F49"/>
    <w:rsid w:val="004C499C"/>
    <w:rsid w:val="004C7D1B"/>
    <w:rsid w:val="004D5131"/>
    <w:rsid w:val="004E1D81"/>
    <w:rsid w:val="004F52BE"/>
    <w:rsid w:val="00503175"/>
    <w:rsid w:val="005124F6"/>
    <w:rsid w:val="005325D9"/>
    <w:rsid w:val="00540F19"/>
    <w:rsid w:val="0054531F"/>
    <w:rsid w:val="00560482"/>
    <w:rsid w:val="005633AD"/>
    <w:rsid w:val="0056432A"/>
    <w:rsid w:val="0056549C"/>
    <w:rsid w:val="00571C4F"/>
    <w:rsid w:val="005749AC"/>
    <w:rsid w:val="005762F3"/>
    <w:rsid w:val="00590F1E"/>
    <w:rsid w:val="005A2DB5"/>
    <w:rsid w:val="005B57C7"/>
    <w:rsid w:val="005C14E4"/>
    <w:rsid w:val="005D5927"/>
    <w:rsid w:val="005D6136"/>
    <w:rsid w:val="005F7EE4"/>
    <w:rsid w:val="00626693"/>
    <w:rsid w:val="00630155"/>
    <w:rsid w:val="006344D0"/>
    <w:rsid w:val="006420A1"/>
    <w:rsid w:val="00671D24"/>
    <w:rsid w:val="00680906"/>
    <w:rsid w:val="0068465A"/>
    <w:rsid w:val="006A2BB8"/>
    <w:rsid w:val="006B2FE3"/>
    <w:rsid w:val="006B3F2D"/>
    <w:rsid w:val="006B7ED3"/>
    <w:rsid w:val="006B7FC7"/>
    <w:rsid w:val="006E3436"/>
    <w:rsid w:val="006F076C"/>
    <w:rsid w:val="006F7D46"/>
    <w:rsid w:val="00740B42"/>
    <w:rsid w:val="007411E7"/>
    <w:rsid w:val="00743488"/>
    <w:rsid w:val="00754AB0"/>
    <w:rsid w:val="0076243E"/>
    <w:rsid w:val="007705CF"/>
    <w:rsid w:val="007739D6"/>
    <w:rsid w:val="0077468A"/>
    <w:rsid w:val="00783BAB"/>
    <w:rsid w:val="007860D1"/>
    <w:rsid w:val="00791DBD"/>
    <w:rsid w:val="00795B37"/>
    <w:rsid w:val="007B427A"/>
    <w:rsid w:val="007C2A97"/>
    <w:rsid w:val="007C3015"/>
    <w:rsid w:val="007D1655"/>
    <w:rsid w:val="007D1C4C"/>
    <w:rsid w:val="007D1C61"/>
    <w:rsid w:val="00815B00"/>
    <w:rsid w:val="00825E33"/>
    <w:rsid w:val="0085263E"/>
    <w:rsid w:val="00861D11"/>
    <w:rsid w:val="008818E3"/>
    <w:rsid w:val="008A02E1"/>
    <w:rsid w:val="008A35D0"/>
    <w:rsid w:val="008A68B1"/>
    <w:rsid w:val="008C1274"/>
    <w:rsid w:val="008F1ABD"/>
    <w:rsid w:val="009159C2"/>
    <w:rsid w:val="009256A7"/>
    <w:rsid w:val="00947C12"/>
    <w:rsid w:val="00965364"/>
    <w:rsid w:val="00970196"/>
    <w:rsid w:val="00970414"/>
    <w:rsid w:val="00980BDA"/>
    <w:rsid w:val="009825EC"/>
    <w:rsid w:val="00987AB8"/>
    <w:rsid w:val="009913A9"/>
    <w:rsid w:val="0099235A"/>
    <w:rsid w:val="00992F46"/>
    <w:rsid w:val="009A5127"/>
    <w:rsid w:val="009C5DE5"/>
    <w:rsid w:val="009C6A4E"/>
    <w:rsid w:val="009E0CEC"/>
    <w:rsid w:val="009E207F"/>
    <w:rsid w:val="009E4140"/>
    <w:rsid w:val="009F406B"/>
    <w:rsid w:val="00A02DCD"/>
    <w:rsid w:val="00A10FA3"/>
    <w:rsid w:val="00A132B6"/>
    <w:rsid w:val="00A16333"/>
    <w:rsid w:val="00A20267"/>
    <w:rsid w:val="00A208EF"/>
    <w:rsid w:val="00A209FC"/>
    <w:rsid w:val="00A25857"/>
    <w:rsid w:val="00A46361"/>
    <w:rsid w:val="00A5326C"/>
    <w:rsid w:val="00A717F8"/>
    <w:rsid w:val="00A85C9A"/>
    <w:rsid w:val="00A91E18"/>
    <w:rsid w:val="00A96097"/>
    <w:rsid w:val="00A9739A"/>
    <w:rsid w:val="00AB5FCB"/>
    <w:rsid w:val="00AC0989"/>
    <w:rsid w:val="00AC1179"/>
    <w:rsid w:val="00AC2082"/>
    <w:rsid w:val="00AC25F8"/>
    <w:rsid w:val="00AD120D"/>
    <w:rsid w:val="00AD327B"/>
    <w:rsid w:val="00AD4F9F"/>
    <w:rsid w:val="00AE00F6"/>
    <w:rsid w:val="00B070D6"/>
    <w:rsid w:val="00B1696B"/>
    <w:rsid w:val="00B56BBC"/>
    <w:rsid w:val="00B61866"/>
    <w:rsid w:val="00B652F9"/>
    <w:rsid w:val="00B74998"/>
    <w:rsid w:val="00B82BCF"/>
    <w:rsid w:val="00B86E05"/>
    <w:rsid w:val="00BB0DE3"/>
    <w:rsid w:val="00BB15E1"/>
    <w:rsid w:val="00BB79B8"/>
    <w:rsid w:val="00BD137E"/>
    <w:rsid w:val="00BD5B0A"/>
    <w:rsid w:val="00BE03C2"/>
    <w:rsid w:val="00BF1E8D"/>
    <w:rsid w:val="00C035FF"/>
    <w:rsid w:val="00C05E7E"/>
    <w:rsid w:val="00C11BE5"/>
    <w:rsid w:val="00C24183"/>
    <w:rsid w:val="00C46149"/>
    <w:rsid w:val="00C462BD"/>
    <w:rsid w:val="00C63B22"/>
    <w:rsid w:val="00C82BD2"/>
    <w:rsid w:val="00C93D3B"/>
    <w:rsid w:val="00C95335"/>
    <w:rsid w:val="00CA197E"/>
    <w:rsid w:val="00CA1993"/>
    <w:rsid w:val="00CC3AC1"/>
    <w:rsid w:val="00CD6A29"/>
    <w:rsid w:val="00CE0237"/>
    <w:rsid w:val="00CE62BB"/>
    <w:rsid w:val="00D07D42"/>
    <w:rsid w:val="00D16FB1"/>
    <w:rsid w:val="00D17D28"/>
    <w:rsid w:val="00D21827"/>
    <w:rsid w:val="00D663D2"/>
    <w:rsid w:val="00D84862"/>
    <w:rsid w:val="00D95B64"/>
    <w:rsid w:val="00DB48E0"/>
    <w:rsid w:val="00DB607B"/>
    <w:rsid w:val="00DD2766"/>
    <w:rsid w:val="00DE25AA"/>
    <w:rsid w:val="00DE30D2"/>
    <w:rsid w:val="00DF6B23"/>
    <w:rsid w:val="00E15EDD"/>
    <w:rsid w:val="00E16436"/>
    <w:rsid w:val="00E51814"/>
    <w:rsid w:val="00E57BB8"/>
    <w:rsid w:val="00E60C97"/>
    <w:rsid w:val="00E71D38"/>
    <w:rsid w:val="00E73973"/>
    <w:rsid w:val="00E85BE8"/>
    <w:rsid w:val="00EA0E66"/>
    <w:rsid w:val="00EA4460"/>
    <w:rsid w:val="00EB082E"/>
    <w:rsid w:val="00ED7C3A"/>
    <w:rsid w:val="00EE171F"/>
    <w:rsid w:val="00EF0958"/>
    <w:rsid w:val="00EF4B9F"/>
    <w:rsid w:val="00F01D1C"/>
    <w:rsid w:val="00F021B3"/>
    <w:rsid w:val="00F532C8"/>
    <w:rsid w:val="00F57790"/>
    <w:rsid w:val="00F67838"/>
    <w:rsid w:val="00F731FA"/>
    <w:rsid w:val="00FA1F9D"/>
    <w:rsid w:val="00FC4661"/>
    <w:rsid w:val="00FD374D"/>
    <w:rsid w:val="00FD459F"/>
    <w:rsid w:val="00FF184C"/>
    <w:rsid w:val="00FF1E7E"/>
    <w:rsid w:val="00FF221A"/>
    <w:rsid w:val="00FF36F2"/>
    <w:rsid w:val="01263687"/>
    <w:rsid w:val="013D28D3"/>
    <w:rsid w:val="0162621A"/>
    <w:rsid w:val="016B21F2"/>
    <w:rsid w:val="0191269D"/>
    <w:rsid w:val="01FE552E"/>
    <w:rsid w:val="0270696A"/>
    <w:rsid w:val="02A06429"/>
    <w:rsid w:val="02D6607F"/>
    <w:rsid w:val="031C733E"/>
    <w:rsid w:val="03213EE3"/>
    <w:rsid w:val="03443889"/>
    <w:rsid w:val="04106EBC"/>
    <w:rsid w:val="04A050FA"/>
    <w:rsid w:val="04CC205A"/>
    <w:rsid w:val="04D11C7F"/>
    <w:rsid w:val="04D144B8"/>
    <w:rsid w:val="057D08F9"/>
    <w:rsid w:val="05C00D74"/>
    <w:rsid w:val="05F546B5"/>
    <w:rsid w:val="06FE4B9D"/>
    <w:rsid w:val="07322B10"/>
    <w:rsid w:val="073D0DD1"/>
    <w:rsid w:val="076A0DF6"/>
    <w:rsid w:val="07852F44"/>
    <w:rsid w:val="086064F2"/>
    <w:rsid w:val="08BB7ECC"/>
    <w:rsid w:val="099F6C59"/>
    <w:rsid w:val="09D91D59"/>
    <w:rsid w:val="0A3259B6"/>
    <w:rsid w:val="0A6F490F"/>
    <w:rsid w:val="0AA441C2"/>
    <w:rsid w:val="0AD560FC"/>
    <w:rsid w:val="0BC12AAD"/>
    <w:rsid w:val="0BD03BA2"/>
    <w:rsid w:val="0BE64677"/>
    <w:rsid w:val="0C087FFA"/>
    <w:rsid w:val="0C262293"/>
    <w:rsid w:val="0C517A2F"/>
    <w:rsid w:val="0C541FFB"/>
    <w:rsid w:val="0D493EB8"/>
    <w:rsid w:val="0D4A14D7"/>
    <w:rsid w:val="0DAE4833"/>
    <w:rsid w:val="0DC35318"/>
    <w:rsid w:val="0DC456A9"/>
    <w:rsid w:val="0EC53432"/>
    <w:rsid w:val="0EE90007"/>
    <w:rsid w:val="0F4E6B0B"/>
    <w:rsid w:val="0F7D1BD0"/>
    <w:rsid w:val="0FAC4E51"/>
    <w:rsid w:val="0FEE62F1"/>
    <w:rsid w:val="100B155C"/>
    <w:rsid w:val="103F14B0"/>
    <w:rsid w:val="104A2A53"/>
    <w:rsid w:val="10854DD2"/>
    <w:rsid w:val="10DD6090"/>
    <w:rsid w:val="11102DA2"/>
    <w:rsid w:val="111E5B7E"/>
    <w:rsid w:val="119810DB"/>
    <w:rsid w:val="11B23994"/>
    <w:rsid w:val="120E404B"/>
    <w:rsid w:val="125A4107"/>
    <w:rsid w:val="126F5EF5"/>
    <w:rsid w:val="12755A25"/>
    <w:rsid w:val="128216F1"/>
    <w:rsid w:val="12921BAD"/>
    <w:rsid w:val="12925BCC"/>
    <w:rsid w:val="13054D3E"/>
    <w:rsid w:val="131F0C45"/>
    <w:rsid w:val="133E76DD"/>
    <w:rsid w:val="13495C17"/>
    <w:rsid w:val="1352689E"/>
    <w:rsid w:val="137455F1"/>
    <w:rsid w:val="137837FC"/>
    <w:rsid w:val="139D6134"/>
    <w:rsid w:val="139E7E5A"/>
    <w:rsid w:val="13FF2AEF"/>
    <w:rsid w:val="14535A1B"/>
    <w:rsid w:val="146A5B1F"/>
    <w:rsid w:val="14AC30DA"/>
    <w:rsid w:val="15CC6AA3"/>
    <w:rsid w:val="16107E70"/>
    <w:rsid w:val="16495AF1"/>
    <w:rsid w:val="165F02F3"/>
    <w:rsid w:val="1784241B"/>
    <w:rsid w:val="17B260B6"/>
    <w:rsid w:val="17D2739B"/>
    <w:rsid w:val="186D6D1C"/>
    <w:rsid w:val="188921F2"/>
    <w:rsid w:val="18961F1E"/>
    <w:rsid w:val="189F7277"/>
    <w:rsid w:val="18CC3F2C"/>
    <w:rsid w:val="192E1BF3"/>
    <w:rsid w:val="19483E12"/>
    <w:rsid w:val="196A1254"/>
    <w:rsid w:val="1A372032"/>
    <w:rsid w:val="1A6F58C1"/>
    <w:rsid w:val="1A935689"/>
    <w:rsid w:val="1A9F3369"/>
    <w:rsid w:val="1B32659E"/>
    <w:rsid w:val="1C525C82"/>
    <w:rsid w:val="1C5F6126"/>
    <w:rsid w:val="1E054018"/>
    <w:rsid w:val="1E227DB6"/>
    <w:rsid w:val="1E334E90"/>
    <w:rsid w:val="1E341CBE"/>
    <w:rsid w:val="1E70320C"/>
    <w:rsid w:val="1EE622EB"/>
    <w:rsid w:val="1EEC5F36"/>
    <w:rsid w:val="1F183221"/>
    <w:rsid w:val="1F2A35B6"/>
    <w:rsid w:val="1F852E81"/>
    <w:rsid w:val="1FC764FA"/>
    <w:rsid w:val="20372938"/>
    <w:rsid w:val="209577D0"/>
    <w:rsid w:val="20A22878"/>
    <w:rsid w:val="20D618B4"/>
    <w:rsid w:val="20FB2387"/>
    <w:rsid w:val="219471A2"/>
    <w:rsid w:val="219B257B"/>
    <w:rsid w:val="21E430F1"/>
    <w:rsid w:val="22030233"/>
    <w:rsid w:val="221B0907"/>
    <w:rsid w:val="222F7499"/>
    <w:rsid w:val="22443D93"/>
    <w:rsid w:val="22D11623"/>
    <w:rsid w:val="232E785A"/>
    <w:rsid w:val="23A10394"/>
    <w:rsid w:val="23A34BA2"/>
    <w:rsid w:val="23C91C6E"/>
    <w:rsid w:val="24156272"/>
    <w:rsid w:val="245F29AD"/>
    <w:rsid w:val="248A4C63"/>
    <w:rsid w:val="24B5292A"/>
    <w:rsid w:val="24C854B3"/>
    <w:rsid w:val="24F23E27"/>
    <w:rsid w:val="254A6568"/>
    <w:rsid w:val="25C47033"/>
    <w:rsid w:val="26645E6B"/>
    <w:rsid w:val="267C19AA"/>
    <w:rsid w:val="26F408DA"/>
    <w:rsid w:val="274D6AEB"/>
    <w:rsid w:val="27897167"/>
    <w:rsid w:val="27B67836"/>
    <w:rsid w:val="27C35AD1"/>
    <w:rsid w:val="27D02AB3"/>
    <w:rsid w:val="27FC59AF"/>
    <w:rsid w:val="284F4E53"/>
    <w:rsid w:val="286411AA"/>
    <w:rsid w:val="28812F2B"/>
    <w:rsid w:val="28F02B26"/>
    <w:rsid w:val="290713BF"/>
    <w:rsid w:val="294C6FBA"/>
    <w:rsid w:val="297F2799"/>
    <w:rsid w:val="29A60B83"/>
    <w:rsid w:val="29B24663"/>
    <w:rsid w:val="29F40062"/>
    <w:rsid w:val="2A153542"/>
    <w:rsid w:val="2A1708E8"/>
    <w:rsid w:val="2A3537F9"/>
    <w:rsid w:val="2A46346F"/>
    <w:rsid w:val="2A9212C8"/>
    <w:rsid w:val="2A9917F2"/>
    <w:rsid w:val="2AC32604"/>
    <w:rsid w:val="2B156B3D"/>
    <w:rsid w:val="2B7A1C6D"/>
    <w:rsid w:val="2BB7031B"/>
    <w:rsid w:val="2BCE7BAA"/>
    <w:rsid w:val="2BF40454"/>
    <w:rsid w:val="2CA555E1"/>
    <w:rsid w:val="2CB65D17"/>
    <w:rsid w:val="2D1E5771"/>
    <w:rsid w:val="2D417E73"/>
    <w:rsid w:val="2D94655F"/>
    <w:rsid w:val="2DA55FDB"/>
    <w:rsid w:val="2E124968"/>
    <w:rsid w:val="2E5039A3"/>
    <w:rsid w:val="2EB33502"/>
    <w:rsid w:val="2EBF70E2"/>
    <w:rsid w:val="2EC03609"/>
    <w:rsid w:val="301F1956"/>
    <w:rsid w:val="30A870F6"/>
    <w:rsid w:val="30AB2D35"/>
    <w:rsid w:val="30BD39FC"/>
    <w:rsid w:val="313164CB"/>
    <w:rsid w:val="31D62F94"/>
    <w:rsid w:val="32044E42"/>
    <w:rsid w:val="323D342B"/>
    <w:rsid w:val="32AA39C2"/>
    <w:rsid w:val="32E666BA"/>
    <w:rsid w:val="33B72C1E"/>
    <w:rsid w:val="33F92951"/>
    <w:rsid w:val="35784D63"/>
    <w:rsid w:val="35E229A3"/>
    <w:rsid w:val="35F01E62"/>
    <w:rsid w:val="363537B0"/>
    <w:rsid w:val="365606A7"/>
    <w:rsid w:val="36AB3835"/>
    <w:rsid w:val="36C23B97"/>
    <w:rsid w:val="36CE08EA"/>
    <w:rsid w:val="36E27984"/>
    <w:rsid w:val="374B6BF1"/>
    <w:rsid w:val="3796426B"/>
    <w:rsid w:val="37B04E93"/>
    <w:rsid w:val="37CE6415"/>
    <w:rsid w:val="37E33141"/>
    <w:rsid w:val="38612C4F"/>
    <w:rsid w:val="389A08F2"/>
    <w:rsid w:val="38C21045"/>
    <w:rsid w:val="38E019F4"/>
    <w:rsid w:val="38FF2D55"/>
    <w:rsid w:val="390214AD"/>
    <w:rsid w:val="391057D0"/>
    <w:rsid w:val="39183B26"/>
    <w:rsid w:val="396E72B5"/>
    <w:rsid w:val="39780903"/>
    <w:rsid w:val="39BA04C9"/>
    <w:rsid w:val="39BC1830"/>
    <w:rsid w:val="39C20043"/>
    <w:rsid w:val="39CB43A2"/>
    <w:rsid w:val="39F275EA"/>
    <w:rsid w:val="39F300B7"/>
    <w:rsid w:val="3A2E437F"/>
    <w:rsid w:val="3A6B51C2"/>
    <w:rsid w:val="3AB90303"/>
    <w:rsid w:val="3ADA272A"/>
    <w:rsid w:val="3C12311F"/>
    <w:rsid w:val="3C1809FF"/>
    <w:rsid w:val="3C1A56D6"/>
    <w:rsid w:val="3C624B73"/>
    <w:rsid w:val="3CAE34F2"/>
    <w:rsid w:val="3CB865CB"/>
    <w:rsid w:val="3CE864CE"/>
    <w:rsid w:val="3DD2167B"/>
    <w:rsid w:val="3E1A0BEA"/>
    <w:rsid w:val="3E55058F"/>
    <w:rsid w:val="3E7A576F"/>
    <w:rsid w:val="3EBF475F"/>
    <w:rsid w:val="3EE94E4A"/>
    <w:rsid w:val="3F575222"/>
    <w:rsid w:val="3F82360E"/>
    <w:rsid w:val="3FAA7C9A"/>
    <w:rsid w:val="40EE2046"/>
    <w:rsid w:val="411B3AB9"/>
    <w:rsid w:val="4147620C"/>
    <w:rsid w:val="41D35539"/>
    <w:rsid w:val="41DD23EF"/>
    <w:rsid w:val="422033C5"/>
    <w:rsid w:val="423E1CEA"/>
    <w:rsid w:val="425143FD"/>
    <w:rsid w:val="42586D1A"/>
    <w:rsid w:val="42F90D12"/>
    <w:rsid w:val="435254E2"/>
    <w:rsid w:val="43680F3A"/>
    <w:rsid w:val="4378532B"/>
    <w:rsid w:val="43C2589D"/>
    <w:rsid w:val="43D8199A"/>
    <w:rsid w:val="441824B5"/>
    <w:rsid w:val="44281278"/>
    <w:rsid w:val="444E150D"/>
    <w:rsid w:val="45A640EF"/>
    <w:rsid w:val="45A66B9D"/>
    <w:rsid w:val="45B45711"/>
    <w:rsid w:val="45FD562B"/>
    <w:rsid w:val="463D41B0"/>
    <w:rsid w:val="46AA06BA"/>
    <w:rsid w:val="46DA6651"/>
    <w:rsid w:val="46E86A0D"/>
    <w:rsid w:val="46EA4D41"/>
    <w:rsid w:val="47054C0C"/>
    <w:rsid w:val="47134433"/>
    <w:rsid w:val="47713D50"/>
    <w:rsid w:val="4778438D"/>
    <w:rsid w:val="47A95B26"/>
    <w:rsid w:val="48045966"/>
    <w:rsid w:val="48822D09"/>
    <w:rsid w:val="48BD10DD"/>
    <w:rsid w:val="48CD79D2"/>
    <w:rsid w:val="48F5383B"/>
    <w:rsid w:val="49357081"/>
    <w:rsid w:val="493D0055"/>
    <w:rsid w:val="49A2232B"/>
    <w:rsid w:val="49A22B08"/>
    <w:rsid w:val="49CD462A"/>
    <w:rsid w:val="49E80CAC"/>
    <w:rsid w:val="4A0D1627"/>
    <w:rsid w:val="4AA21D37"/>
    <w:rsid w:val="4AD15011"/>
    <w:rsid w:val="4AD24812"/>
    <w:rsid w:val="4B2A56D8"/>
    <w:rsid w:val="4B742F7A"/>
    <w:rsid w:val="4BDF083F"/>
    <w:rsid w:val="4C1C4AF5"/>
    <w:rsid w:val="4C445D87"/>
    <w:rsid w:val="4C6B670D"/>
    <w:rsid w:val="4C783668"/>
    <w:rsid w:val="4CC828AB"/>
    <w:rsid w:val="4CE05732"/>
    <w:rsid w:val="4D724DCB"/>
    <w:rsid w:val="4D995AE4"/>
    <w:rsid w:val="4DFC00BF"/>
    <w:rsid w:val="4E5808FF"/>
    <w:rsid w:val="4EA22347"/>
    <w:rsid w:val="4EBC7887"/>
    <w:rsid w:val="4EC27992"/>
    <w:rsid w:val="4EC70B5E"/>
    <w:rsid w:val="4ED827C8"/>
    <w:rsid w:val="4F14219F"/>
    <w:rsid w:val="4F1D57EE"/>
    <w:rsid w:val="4F5F1DA7"/>
    <w:rsid w:val="4F63590C"/>
    <w:rsid w:val="4F776CF7"/>
    <w:rsid w:val="50A56D11"/>
    <w:rsid w:val="50BF0CB0"/>
    <w:rsid w:val="50F34562"/>
    <w:rsid w:val="50FD1501"/>
    <w:rsid w:val="50FE7C4D"/>
    <w:rsid w:val="518D7C46"/>
    <w:rsid w:val="51A5514F"/>
    <w:rsid w:val="52082685"/>
    <w:rsid w:val="521268FE"/>
    <w:rsid w:val="524A439F"/>
    <w:rsid w:val="52645524"/>
    <w:rsid w:val="52C52454"/>
    <w:rsid w:val="53547D5C"/>
    <w:rsid w:val="53F27965"/>
    <w:rsid w:val="545533D8"/>
    <w:rsid w:val="548A78B9"/>
    <w:rsid w:val="54CC5C71"/>
    <w:rsid w:val="54DB2F2C"/>
    <w:rsid w:val="54F13118"/>
    <w:rsid w:val="55034268"/>
    <w:rsid w:val="552F76CC"/>
    <w:rsid w:val="553C1B1D"/>
    <w:rsid w:val="56072144"/>
    <w:rsid w:val="56253521"/>
    <w:rsid w:val="562F0B8E"/>
    <w:rsid w:val="565934B9"/>
    <w:rsid w:val="567E52A1"/>
    <w:rsid w:val="572216C8"/>
    <w:rsid w:val="57282386"/>
    <w:rsid w:val="57285366"/>
    <w:rsid w:val="57442402"/>
    <w:rsid w:val="57AF3927"/>
    <w:rsid w:val="582452AF"/>
    <w:rsid w:val="58471C04"/>
    <w:rsid w:val="584B7C26"/>
    <w:rsid w:val="58664A05"/>
    <w:rsid w:val="58DB1ABD"/>
    <w:rsid w:val="595C2071"/>
    <w:rsid w:val="5998213E"/>
    <w:rsid w:val="59A508CA"/>
    <w:rsid w:val="59B5297D"/>
    <w:rsid w:val="59BE6314"/>
    <w:rsid w:val="59EF1833"/>
    <w:rsid w:val="5A3E3A51"/>
    <w:rsid w:val="5A584186"/>
    <w:rsid w:val="5AA65552"/>
    <w:rsid w:val="5B1B370E"/>
    <w:rsid w:val="5B646046"/>
    <w:rsid w:val="5B731D57"/>
    <w:rsid w:val="5CF14D5C"/>
    <w:rsid w:val="5D0676E2"/>
    <w:rsid w:val="5D765138"/>
    <w:rsid w:val="5D9871F4"/>
    <w:rsid w:val="5DC73794"/>
    <w:rsid w:val="5E0436F8"/>
    <w:rsid w:val="5E121771"/>
    <w:rsid w:val="5E5E3621"/>
    <w:rsid w:val="5E6D37CF"/>
    <w:rsid w:val="5EBE78DF"/>
    <w:rsid w:val="5F251334"/>
    <w:rsid w:val="5F845073"/>
    <w:rsid w:val="5FD2755E"/>
    <w:rsid w:val="5FFF1300"/>
    <w:rsid w:val="60235755"/>
    <w:rsid w:val="60635E16"/>
    <w:rsid w:val="60BA1ED9"/>
    <w:rsid w:val="611A3672"/>
    <w:rsid w:val="613F176A"/>
    <w:rsid w:val="614F12E6"/>
    <w:rsid w:val="618F58AC"/>
    <w:rsid w:val="620300B8"/>
    <w:rsid w:val="621A37AA"/>
    <w:rsid w:val="62774C0F"/>
    <w:rsid w:val="628B67FE"/>
    <w:rsid w:val="62BF5063"/>
    <w:rsid w:val="634333CF"/>
    <w:rsid w:val="635461CF"/>
    <w:rsid w:val="639D7D83"/>
    <w:rsid w:val="641421D2"/>
    <w:rsid w:val="649E24D0"/>
    <w:rsid w:val="64A21E3A"/>
    <w:rsid w:val="653956AC"/>
    <w:rsid w:val="656E750D"/>
    <w:rsid w:val="65992C58"/>
    <w:rsid w:val="65D36154"/>
    <w:rsid w:val="65EA709E"/>
    <w:rsid w:val="65FA0C61"/>
    <w:rsid w:val="66AE4906"/>
    <w:rsid w:val="66B53F05"/>
    <w:rsid w:val="66BF2EF8"/>
    <w:rsid w:val="66E37FD5"/>
    <w:rsid w:val="67123D06"/>
    <w:rsid w:val="674B4ABD"/>
    <w:rsid w:val="67AE706A"/>
    <w:rsid w:val="67D83975"/>
    <w:rsid w:val="685E263B"/>
    <w:rsid w:val="687D2910"/>
    <w:rsid w:val="687E0D52"/>
    <w:rsid w:val="68D13FC4"/>
    <w:rsid w:val="68ED670F"/>
    <w:rsid w:val="69956C47"/>
    <w:rsid w:val="69B16F9F"/>
    <w:rsid w:val="69EB6A64"/>
    <w:rsid w:val="6A070BB1"/>
    <w:rsid w:val="6A0C4673"/>
    <w:rsid w:val="6AB361F6"/>
    <w:rsid w:val="6B0D12F6"/>
    <w:rsid w:val="6B347D34"/>
    <w:rsid w:val="6B721118"/>
    <w:rsid w:val="6C176F63"/>
    <w:rsid w:val="6C7E4E04"/>
    <w:rsid w:val="6C800EE2"/>
    <w:rsid w:val="6CC83F8A"/>
    <w:rsid w:val="6CD83459"/>
    <w:rsid w:val="6CE45FCC"/>
    <w:rsid w:val="6CE73FCA"/>
    <w:rsid w:val="6D8A3E3F"/>
    <w:rsid w:val="6DCD10E8"/>
    <w:rsid w:val="6DFF0029"/>
    <w:rsid w:val="6E4E629D"/>
    <w:rsid w:val="6F871358"/>
    <w:rsid w:val="6FA04D5C"/>
    <w:rsid w:val="6FE83BB7"/>
    <w:rsid w:val="6FEB64C5"/>
    <w:rsid w:val="70127D23"/>
    <w:rsid w:val="703E6C33"/>
    <w:rsid w:val="70A63AE8"/>
    <w:rsid w:val="70D9709E"/>
    <w:rsid w:val="71054AEB"/>
    <w:rsid w:val="71176785"/>
    <w:rsid w:val="71966AEA"/>
    <w:rsid w:val="72081B1C"/>
    <w:rsid w:val="722C16CF"/>
    <w:rsid w:val="725D5FBC"/>
    <w:rsid w:val="72C409DE"/>
    <w:rsid w:val="73167825"/>
    <w:rsid w:val="734607D1"/>
    <w:rsid w:val="737251FA"/>
    <w:rsid w:val="73B032BB"/>
    <w:rsid w:val="73B1641C"/>
    <w:rsid w:val="73C7033C"/>
    <w:rsid w:val="741D14BF"/>
    <w:rsid w:val="75307CB8"/>
    <w:rsid w:val="761071FD"/>
    <w:rsid w:val="76182EFD"/>
    <w:rsid w:val="763B425D"/>
    <w:rsid w:val="77002ACA"/>
    <w:rsid w:val="771717CC"/>
    <w:rsid w:val="7779569C"/>
    <w:rsid w:val="77F34F84"/>
    <w:rsid w:val="78453E5F"/>
    <w:rsid w:val="787E3E44"/>
    <w:rsid w:val="78866C19"/>
    <w:rsid w:val="7888269A"/>
    <w:rsid w:val="78A25412"/>
    <w:rsid w:val="78C555D7"/>
    <w:rsid w:val="78FF6541"/>
    <w:rsid w:val="793600A6"/>
    <w:rsid w:val="7945587F"/>
    <w:rsid w:val="79A10AD2"/>
    <w:rsid w:val="79F51C5C"/>
    <w:rsid w:val="7A353840"/>
    <w:rsid w:val="7A39732F"/>
    <w:rsid w:val="7AC56588"/>
    <w:rsid w:val="7AD719B4"/>
    <w:rsid w:val="7AE83D7D"/>
    <w:rsid w:val="7B1664CB"/>
    <w:rsid w:val="7B2E475B"/>
    <w:rsid w:val="7B71165A"/>
    <w:rsid w:val="7B714049"/>
    <w:rsid w:val="7C250801"/>
    <w:rsid w:val="7C464C32"/>
    <w:rsid w:val="7C6457FC"/>
    <w:rsid w:val="7C780478"/>
    <w:rsid w:val="7C997341"/>
    <w:rsid w:val="7D6F5EDB"/>
    <w:rsid w:val="7D876635"/>
    <w:rsid w:val="7DCA5D34"/>
    <w:rsid w:val="7DE83E5D"/>
    <w:rsid w:val="7EF17C9D"/>
    <w:rsid w:val="7F566066"/>
    <w:rsid w:val="7F6B58BF"/>
    <w:rsid w:val="7FDD637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iPriority="0"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widowControl/>
      <w:numPr>
        <w:ilvl w:val="0"/>
        <w:numId w:val="1"/>
      </w:numPr>
      <w:tabs>
        <w:tab w:val="left" w:pos="885"/>
      </w:tabs>
      <w:spacing w:beforeLines="50"/>
      <w:jc w:val="left"/>
      <w:outlineLvl w:val="0"/>
    </w:pPr>
    <w:rPr>
      <w:b/>
      <w:kern w:val="0"/>
      <w:sz w:val="32"/>
    </w:rPr>
  </w:style>
  <w:style w:type="paragraph" w:styleId="5">
    <w:name w:val="heading 2"/>
    <w:basedOn w:val="1"/>
    <w:next w:val="1"/>
    <w:unhideWhenUsed/>
    <w:qFormat/>
    <w:uiPriority w:val="0"/>
    <w:pPr>
      <w:keepNext/>
      <w:keepLines/>
      <w:numPr>
        <w:ilvl w:val="1"/>
        <w:numId w:val="2"/>
      </w:numPr>
      <w:spacing w:beforeLines="50"/>
      <w:jc w:val="left"/>
      <w:outlineLvl w:val="1"/>
    </w:pPr>
    <w:rPr>
      <w:b/>
      <w:bCs/>
      <w:color w:val="000000"/>
      <w:sz w:val="30"/>
      <w:szCs w:val="30"/>
    </w:rPr>
  </w:style>
  <w:style w:type="paragraph" w:styleId="6">
    <w:name w:val="heading 3"/>
    <w:basedOn w:val="1"/>
    <w:next w:val="1"/>
    <w:qFormat/>
    <w:uiPriority w:val="0"/>
    <w:pPr>
      <w:keepLines/>
      <w:widowControl/>
      <w:spacing w:before="120" w:after="120" w:line="400" w:lineRule="exact"/>
      <w:jc w:val="left"/>
      <w:outlineLvl w:val="2"/>
    </w:pPr>
    <w:rPr>
      <w:rFonts w:eastAsia="黑体"/>
      <w:bCs/>
      <w:kern w:val="0"/>
      <w:sz w:val="28"/>
      <w:szCs w:val="32"/>
    </w:rPr>
  </w:style>
  <w:style w:type="paragraph" w:styleId="7">
    <w:name w:val="heading 4"/>
    <w:basedOn w:val="1"/>
    <w:next w:val="1"/>
    <w:qFormat/>
    <w:uiPriority w:val="9"/>
    <w:pPr>
      <w:keepNext/>
      <w:keepLines/>
      <w:numPr>
        <w:ilvl w:val="3"/>
        <w:numId w:val="3"/>
      </w:numPr>
      <w:spacing w:line="360" w:lineRule="auto"/>
      <w:outlineLvl w:val="3"/>
    </w:p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adjustRightInd w:val="0"/>
      <w:snapToGrid w:val="0"/>
      <w:spacing w:line="360" w:lineRule="auto"/>
      <w:ind w:left="0" w:leftChars="0" w:firstLine="1044"/>
    </w:pPr>
  </w:style>
  <w:style w:type="paragraph" w:styleId="3">
    <w:name w:val="Body Text Indent"/>
    <w:basedOn w:val="1"/>
    <w:link w:val="57"/>
    <w:semiHidden/>
    <w:qFormat/>
    <w:uiPriority w:val="99"/>
    <w:pPr>
      <w:spacing w:after="120"/>
      <w:ind w:left="420" w:leftChars="200"/>
    </w:pPr>
    <w:rPr>
      <w:kern w:val="0"/>
      <w:sz w:val="24"/>
    </w:rPr>
  </w:style>
  <w:style w:type="paragraph" w:styleId="8">
    <w:name w:val="Normal Indent"/>
    <w:basedOn w:val="1"/>
    <w:qFormat/>
    <w:uiPriority w:val="0"/>
    <w:pPr>
      <w:ind w:firstLine="420"/>
    </w:pPr>
    <w:rPr>
      <w:sz w:val="28"/>
    </w:rPr>
  </w:style>
  <w:style w:type="paragraph" w:styleId="9">
    <w:name w:val="caption"/>
    <w:basedOn w:val="1"/>
    <w:next w:val="1"/>
    <w:semiHidden/>
    <w:unhideWhenUsed/>
    <w:qFormat/>
    <w:uiPriority w:val="0"/>
    <w:rPr>
      <w:rFonts w:ascii="Arial" w:hAnsi="Arial" w:eastAsia="黑体" w:cs="Arial"/>
      <w:szCs w:val="22"/>
    </w:rPr>
  </w:style>
  <w:style w:type="paragraph" w:styleId="10">
    <w:name w:val="Document Map"/>
    <w:basedOn w:val="1"/>
    <w:link w:val="59"/>
    <w:semiHidden/>
    <w:qFormat/>
    <w:uiPriority w:val="99"/>
    <w:pPr>
      <w:shd w:val="clear" w:color="auto" w:fill="000080"/>
    </w:pPr>
    <w:rPr>
      <w:rFonts w:eastAsia="微软雅黑"/>
      <w:kern w:val="0"/>
      <w:sz w:val="16"/>
      <w:szCs w:val="16"/>
    </w:rPr>
  </w:style>
  <w:style w:type="paragraph" w:styleId="11">
    <w:name w:val="annotation text"/>
    <w:basedOn w:val="1"/>
    <w:link w:val="60"/>
    <w:semiHidden/>
    <w:qFormat/>
    <w:uiPriority w:val="99"/>
    <w:pPr>
      <w:jc w:val="left"/>
    </w:pPr>
    <w:rPr>
      <w:rFonts w:eastAsia="微软雅黑"/>
      <w:kern w:val="0"/>
      <w:sz w:val="20"/>
    </w:rPr>
  </w:style>
  <w:style w:type="paragraph" w:styleId="12">
    <w:name w:val="Body Text"/>
    <w:basedOn w:val="1"/>
    <w:link w:val="53"/>
    <w:qFormat/>
    <w:uiPriority w:val="99"/>
    <w:pPr>
      <w:spacing w:after="120"/>
    </w:pPr>
    <w:rPr>
      <w:kern w:val="0"/>
      <w:sz w:val="24"/>
    </w:rPr>
  </w:style>
  <w:style w:type="paragraph" w:styleId="13">
    <w:name w:val="Plain Text"/>
    <w:basedOn w:val="1"/>
    <w:link w:val="52"/>
    <w:qFormat/>
    <w:uiPriority w:val="0"/>
    <w:rPr>
      <w:rFonts w:ascii="宋体" w:hAnsi="Courier New" w:eastAsia="仿宋_GB2312"/>
      <w:kern w:val="0"/>
      <w:sz w:val="20"/>
      <w:szCs w:val="20"/>
    </w:rPr>
  </w:style>
  <w:style w:type="paragraph" w:styleId="14">
    <w:name w:val="Date"/>
    <w:basedOn w:val="1"/>
    <w:next w:val="1"/>
    <w:link w:val="58"/>
    <w:semiHidden/>
    <w:qFormat/>
    <w:uiPriority w:val="99"/>
    <w:pPr>
      <w:ind w:left="100" w:leftChars="2500"/>
    </w:pPr>
    <w:rPr>
      <w:kern w:val="0"/>
      <w:sz w:val="24"/>
    </w:rPr>
  </w:style>
  <w:style w:type="paragraph" w:styleId="15">
    <w:name w:val="Balloon Text"/>
    <w:basedOn w:val="1"/>
    <w:link w:val="62"/>
    <w:semiHidden/>
    <w:qFormat/>
    <w:uiPriority w:val="99"/>
    <w:rPr>
      <w:rFonts w:eastAsia="微软雅黑"/>
      <w:kern w:val="0"/>
      <w:sz w:val="16"/>
      <w:szCs w:val="16"/>
    </w:rPr>
  </w:style>
  <w:style w:type="paragraph" w:styleId="16">
    <w:name w:val="footer"/>
    <w:basedOn w:val="1"/>
    <w:link w:val="56"/>
    <w:qFormat/>
    <w:uiPriority w:val="99"/>
    <w:pPr>
      <w:tabs>
        <w:tab w:val="center" w:pos="4153"/>
        <w:tab w:val="right" w:pos="8306"/>
      </w:tabs>
      <w:snapToGrid w:val="0"/>
      <w:jc w:val="left"/>
    </w:pPr>
    <w:rPr>
      <w:kern w:val="0"/>
      <w:sz w:val="18"/>
      <w:szCs w:val="18"/>
    </w:rPr>
  </w:style>
  <w:style w:type="paragraph" w:styleId="17">
    <w:name w:val="header"/>
    <w:basedOn w:val="1"/>
    <w:link w:val="55"/>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HTML Preformatted"/>
    <w:basedOn w:val="1"/>
    <w:link w:val="99"/>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9">
    <w:name w:val="Normal (Web)"/>
    <w:basedOn w:val="1"/>
    <w:semiHidden/>
    <w:unhideWhenUsed/>
    <w:qFormat/>
    <w:uiPriority w:val="0"/>
    <w:pPr>
      <w:spacing w:beforeAutospacing="1" w:afterAutospacing="1"/>
      <w:jc w:val="left"/>
    </w:pPr>
    <w:rPr>
      <w:kern w:val="0"/>
      <w:sz w:val="24"/>
    </w:rPr>
  </w:style>
  <w:style w:type="paragraph" w:styleId="20">
    <w:name w:val="annotation subject"/>
    <w:basedOn w:val="11"/>
    <w:next w:val="11"/>
    <w:link w:val="61"/>
    <w:semiHidden/>
    <w:qFormat/>
    <w:uiPriority w:val="99"/>
    <w:rPr>
      <w:b/>
      <w:bCs/>
    </w:rPr>
  </w:style>
  <w:style w:type="paragraph" w:styleId="21">
    <w:name w:val="Body Text First Indent"/>
    <w:basedOn w:val="1"/>
    <w:link w:val="54"/>
    <w:qFormat/>
    <w:uiPriority w:val="99"/>
    <w:pPr>
      <w:widowControl/>
      <w:ind w:firstLine="420" w:firstLineChars="100"/>
      <w:jc w:val="left"/>
    </w:pPr>
  </w:style>
  <w:style w:type="table" w:styleId="23">
    <w:name w:val="Table Grid"/>
    <w:basedOn w:val="22"/>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Hyperlink"/>
    <w:basedOn w:val="24"/>
    <w:unhideWhenUsed/>
    <w:qFormat/>
    <w:uiPriority w:val="99"/>
    <w:rPr>
      <w:color w:val="0000FF"/>
      <w:u w:val="single"/>
    </w:rPr>
  </w:style>
  <w:style w:type="character" w:styleId="26">
    <w:name w:val="annotation reference"/>
    <w:basedOn w:val="24"/>
    <w:semiHidden/>
    <w:qFormat/>
    <w:uiPriority w:val="99"/>
    <w:rPr>
      <w:rFonts w:cs="Times New Roman"/>
      <w:sz w:val="21"/>
      <w:szCs w:val="21"/>
    </w:rPr>
  </w:style>
  <w:style w:type="paragraph" w:customStyle="1" w:styleId="27">
    <w:name w:val="表格名称"/>
    <w:basedOn w:val="1"/>
    <w:next w:val="1"/>
    <w:link w:val="81"/>
    <w:qFormat/>
    <w:uiPriority w:val="0"/>
    <w:pPr>
      <w:spacing w:line="360" w:lineRule="auto"/>
      <w:jc w:val="center"/>
    </w:pPr>
    <w:rPr>
      <w:b/>
    </w:rPr>
  </w:style>
  <w:style w:type="paragraph" w:customStyle="1" w:styleId="28">
    <w:name w:val="表格文字"/>
    <w:basedOn w:val="1"/>
    <w:qFormat/>
    <w:uiPriority w:val="0"/>
    <w:pPr>
      <w:jc w:val="center"/>
    </w:pPr>
    <w:rPr>
      <w:szCs w:val="21"/>
    </w:rPr>
  </w:style>
  <w:style w:type="character" w:customStyle="1" w:styleId="29">
    <w:name w:val="表格名称 Char"/>
    <w:qFormat/>
    <w:locked/>
    <w:uiPriority w:val="0"/>
    <w:rPr>
      <w:b/>
      <w:sz w:val="24"/>
      <w:szCs w:val="21"/>
    </w:rPr>
  </w:style>
  <w:style w:type="paragraph" w:customStyle="1" w:styleId="30">
    <w:name w:val="Char"/>
    <w:basedOn w:val="1"/>
    <w:qFormat/>
    <w:uiPriority w:val="99"/>
    <w:pPr>
      <w:spacing w:line="360" w:lineRule="auto"/>
      <w:ind w:firstLine="200" w:firstLineChars="200"/>
    </w:pPr>
  </w:style>
  <w:style w:type="paragraph" w:customStyle="1" w:styleId="31">
    <w:name w:val="报告表标题（一级）"/>
    <w:basedOn w:val="1"/>
    <w:qFormat/>
    <w:uiPriority w:val="99"/>
    <w:pPr>
      <w:spacing w:line="480" w:lineRule="auto"/>
      <w:outlineLvl w:val="0"/>
    </w:pPr>
    <w:rPr>
      <w:rFonts w:ascii="宋体" w:hAnsi="宋体"/>
      <w:b/>
      <w:sz w:val="30"/>
      <w:szCs w:val="28"/>
    </w:rPr>
  </w:style>
  <w:style w:type="paragraph" w:customStyle="1" w:styleId="32">
    <w:name w:val="p0"/>
    <w:basedOn w:val="1"/>
    <w:qFormat/>
    <w:uiPriority w:val="99"/>
    <w:pPr>
      <w:widowControl/>
      <w:jc w:val="left"/>
    </w:pPr>
    <w:rPr>
      <w:rFonts w:ascii="宋体" w:hAnsi="宋体" w:cs="宋体"/>
      <w:kern w:val="0"/>
      <w:szCs w:val="21"/>
    </w:rPr>
  </w:style>
  <w:style w:type="paragraph" w:customStyle="1" w:styleId="33">
    <w:name w:val="表格"/>
    <w:basedOn w:val="1"/>
    <w:next w:val="1"/>
    <w:link w:val="103"/>
    <w:qFormat/>
    <w:uiPriority w:val="0"/>
    <w:pPr>
      <w:widowControl/>
      <w:spacing w:line="360" w:lineRule="auto"/>
      <w:jc w:val="center"/>
    </w:pPr>
    <w:rPr>
      <w:rFonts w:ascii="宋体" w:hAnsi="宋体" w:cs="宋体"/>
      <w:kern w:val="0"/>
      <w:sz w:val="24"/>
    </w:rPr>
  </w:style>
  <w:style w:type="paragraph" w:customStyle="1" w:styleId="34">
    <w:name w:val="Char Char1 Char Char Char Char Char Char Char Char Char Char Char Char Char Char Char Char Char Char Char Char1 Char"/>
    <w:basedOn w:val="1"/>
    <w:qFormat/>
    <w:uiPriority w:val="99"/>
    <w:pPr>
      <w:spacing w:line="360" w:lineRule="auto"/>
      <w:ind w:firstLine="200" w:firstLineChars="200"/>
    </w:pPr>
  </w:style>
  <w:style w:type="paragraph" w:customStyle="1" w:styleId="35">
    <w:name w:val="样式6"/>
    <w:basedOn w:val="1"/>
    <w:qFormat/>
    <w:uiPriority w:val="99"/>
    <w:pPr>
      <w:autoSpaceDE w:val="0"/>
      <w:autoSpaceDN w:val="0"/>
      <w:adjustRightInd w:val="0"/>
      <w:spacing w:line="500" w:lineRule="exact"/>
      <w:jc w:val="left"/>
      <w:outlineLvl w:val="2"/>
    </w:pPr>
    <w:rPr>
      <w:rFonts w:eastAsia="仿宋_GB2312"/>
      <w:color w:val="000000"/>
      <w:kern w:val="0"/>
      <w:sz w:val="28"/>
      <w:szCs w:val="20"/>
    </w:rPr>
  </w:style>
  <w:style w:type="paragraph" w:customStyle="1" w:styleId="36">
    <w:name w:val="0"/>
    <w:basedOn w:val="1"/>
    <w:qFormat/>
    <w:uiPriority w:val="99"/>
    <w:pPr>
      <w:widowControl/>
      <w:snapToGrid w:val="0"/>
    </w:pPr>
    <w:rPr>
      <w:kern w:val="0"/>
      <w:szCs w:val="20"/>
    </w:rPr>
  </w:style>
  <w:style w:type="paragraph" w:customStyle="1" w:styleId="37">
    <w:name w:val="报告表标题（二级）"/>
    <w:basedOn w:val="1"/>
    <w:qFormat/>
    <w:uiPriority w:val="99"/>
    <w:pPr>
      <w:spacing w:line="480" w:lineRule="auto"/>
      <w:outlineLvl w:val="1"/>
    </w:pPr>
    <w:rPr>
      <w:rFonts w:ascii="宋体" w:hAnsi="宋体"/>
      <w:b/>
      <w:sz w:val="28"/>
      <w:szCs w:val="28"/>
    </w:rPr>
  </w:style>
  <w:style w:type="paragraph" w:customStyle="1" w:styleId="38">
    <w:name w:val="1表格头"/>
    <w:basedOn w:val="1"/>
    <w:qFormat/>
    <w:uiPriority w:val="99"/>
    <w:pPr>
      <w:widowControl/>
      <w:snapToGrid w:val="0"/>
      <w:spacing w:beforeLines="50"/>
      <w:jc w:val="center"/>
      <w:outlineLvl w:val="4"/>
    </w:pPr>
    <w:rPr>
      <w:rFonts w:hAnsi="宋体"/>
      <w:b/>
      <w:spacing w:val="4"/>
      <w:kern w:val="0"/>
    </w:rPr>
  </w:style>
  <w:style w:type="paragraph" w:customStyle="1" w:styleId="39">
    <w:name w:val="正文（表）"/>
    <w:basedOn w:val="1"/>
    <w:qFormat/>
    <w:uiPriority w:val="99"/>
    <w:pPr>
      <w:spacing w:line="360" w:lineRule="auto"/>
      <w:ind w:firstLine="480" w:firstLineChars="200"/>
    </w:pPr>
    <w:rPr>
      <w:rFonts w:ascii="宋体" w:hAnsi="宋体"/>
      <w:sz w:val="24"/>
    </w:rPr>
  </w:style>
  <w:style w:type="paragraph" w:customStyle="1" w:styleId="40">
    <w:name w:val="表格标题"/>
    <w:next w:val="1"/>
    <w:link w:val="88"/>
    <w:qFormat/>
    <w:uiPriority w:val="99"/>
    <w:pPr>
      <w:tabs>
        <w:tab w:val="right" w:leader="dot" w:pos="8296"/>
      </w:tabs>
      <w:spacing w:beforeLines="50" w:afterLines="50"/>
      <w:jc w:val="center"/>
    </w:pPr>
    <w:rPr>
      <w:rFonts w:ascii="Times New Roman" w:hAnsi="Times New Roman" w:eastAsia="宋体" w:cs="Times New Roman"/>
      <w:b/>
      <w:kern w:val="2"/>
      <w:sz w:val="24"/>
      <w:szCs w:val="24"/>
      <w:lang w:val="en-US" w:eastAsia="zh-CN" w:bidi="ar-SA"/>
    </w:rPr>
  </w:style>
  <w:style w:type="paragraph" w:customStyle="1" w:styleId="41">
    <w:name w:val="表格的字"/>
    <w:basedOn w:val="1"/>
    <w:qFormat/>
    <w:uiPriority w:val="99"/>
    <w:pPr>
      <w:jc w:val="center"/>
    </w:pPr>
  </w:style>
  <w:style w:type="paragraph" w:customStyle="1" w:styleId="42">
    <w:name w:val="5 正文"/>
    <w:basedOn w:val="1"/>
    <w:link w:val="101"/>
    <w:qFormat/>
    <w:uiPriority w:val="0"/>
    <w:pPr>
      <w:widowControl/>
      <w:tabs>
        <w:tab w:val="left" w:pos="1980"/>
        <w:tab w:val="left" w:pos="3825"/>
        <w:tab w:val="left" w:pos="4680"/>
      </w:tabs>
      <w:spacing w:line="360" w:lineRule="auto"/>
      <w:ind w:firstLine="480"/>
    </w:pPr>
    <w:rPr>
      <w:rFonts w:hAnsi="宋体"/>
      <w:sz w:val="24"/>
      <w:szCs w:val="21"/>
      <w:lang w:eastAsia="en-US"/>
    </w:rPr>
  </w:style>
  <w:style w:type="paragraph" w:customStyle="1" w:styleId="43">
    <w:name w:val="正文01"/>
    <w:basedOn w:val="1"/>
    <w:qFormat/>
    <w:uiPriority w:val="99"/>
    <w:pPr>
      <w:spacing w:before="60" w:line="460" w:lineRule="exact"/>
      <w:ind w:firstLine="200" w:firstLineChars="200"/>
    </w:pPr>
    <w:rPr>
      <w:sz w:val="24"/>
      <w:szCs w:val="20"/>
    </w:rPr>
  </w:style>
  <w:style w:type="paragraph" w:customStyle="1" w:styleId="44">
    <w:name w:val="正文11"/>
    <w:basedOn w:val="1"/>
    <w:qFormat/>
    <w:uiPriority w:val="99"/>
    <w:pPr>
      <w:spacing w:line="360" w:lineRule="auto"/>
      <w:ind w:firstLine="200" w:firstLineChars="200"/>
    </w:pPr>
    <w:rPr>
      <w:sz w:val="24"/>
      <w:szCs w:val="28"/>
    </w:rPr>
  </w:style>
  <w:style w:type="paragraph" w:customStyle="1" w:styleId="45">
    <w:name w:val="Char Char1 Char Char Char Char Char Char Char Char Char Char Char Char Char Char Char Char Char Char Char Char1 Char1"/>
    <w:basedOn w:val="1"/>
    <w:qFormat/>
    <w:uiPriority w:val="99"/>
    <w:pPr>
      <w:spacing w:line="360" w:lineRule="auto"/>
      <w:ind w:firstLine="200" w:firstLineChars="200"/>
    </w:pPr>
  </w:style>
  <w:style w:type="paragraph" w:customStyle="1" w:styleId="46">
    <w:name w:val="Char Char Char Char Char Char"/>
    <w:basedOn w:val="1"/>
    <w:qFormat/>
    <w:uiPriority w:val="99"/>
    <w:rPr>
      <w:szCs w:val="20"/>
    </w:rPr>
  </w:style>
  <w:style w:type="paragraph" w:customStyle="1" w:styleId="47">
    <w:name w:val="段落"/>
    <w:basedOn w:val="1"/>
    <w:qFormat/>
    <w:uiPriority w:val="99"/>
    <w:pPr>
      <w:spacing w:line="360" w:lineRule="auto"/>
      <w:ind w:firstLine="480" w:firstLineChars="200"/>
    </w:pPr>
    <w:rPr>
      <w:rFonts w:ascii="宋体" w:hAnsi="宋体"/>
      <w:sz w:val="24"/>
    </w:rPr>
  </w:style>
  <w:style w:type="paragraph" w:customStyle="1" w:styleId="48">
    <w:name w:val="报告表标题（三级）"/>
    <w:qFormat/>
    <w:uiPriority w:val="99"/>
    <w:pPr>
      <w:spacing w:line="480" w:lineRule="auto"/>
      <w:outlineLvl w:val="2"/>
    </w:pPr>
    <w:rPr>
      <w:rFonts w:ascii="宋体" w:hAnsi="Times New Roman" w:eastAsia="宋体" w:cs="Times New Roman"/>
      <w:b/>
      <w:kern w:val="2"/>
      <w:sz w:val="24"/>
      <w:szCs w:val="24"/>
      <w:lang w:val="en-US" w:eastAsia="zh-CN" w:bidi="ar-SA"/>
    </w:rPr>
  </w:style>
  <w:style w:type="paragraph" w:customStyle="1" w:styleId="49">
    <w:name w:val="zhang正文"/>
    <w:basedOn w:val="3"/>
    <w:qFormat/>
    <w:uiPriority w:val="99"/>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50">
    <w:name w:val="5文章(治)"/>
    <w:basedOn w:val="1"/>
    <w:link w:val="98"/>
    <w:qFormat/>
    <w:uiPriority w:val="0"/>
    <w:pPr>
      <w:spacing w:line="360" w:lineRule="auto"/>
      <w:ind w:firstLine="480" w:firstLineChars="200"/>
    </w:pPr>
    <w:rPr>
      <w:rFonts w:ascii="Arial" w:hAnsi="Arial" w:cs="Tahoma"/>
      <w:sz w:val="24"/>
      <w:szCs w:val="21"/>
    </w:rPr>
  </w:style>
  <w:style w:type="paragraph" w:customStyle="1" w:styleId="51">
    <w:name w:val="列出段落1"/>
    <w:basedOn w:val="1"/>
    <w:qFormat/>
    <w:uiPriority w:val="99"/>
    <w:pPr>
      <w:ind w:firstLine="420" w:firstLineChars="200"/>
    </w:pPr>
  </w:style>
  <w:style w:type="character" w:customStyle="1" w:styleId="52">
    <w:name w:val="纯文本 字符"/>
    <w:link w:val="13"/>
    <w:qFormat/>
    <w:uiPriority w:val="99"/>
    <w:rPr>
      <w:rFonts w:ascii="宋体" w:hAnsi="Courier New" w:eastAsia="仿宋_GB2312" w:cs="Times New Roman"/>
      <w:sz w:val="20"/>
      <w:szCs w:val="20"/>
    </w:rPr>
  </w:style>
  <w:style w:type="character" w:customStyle="1" w:styleId="53">
    <w:name w:val="正文文本 字符"/>
    <w:link w:val="12"/>
    <w:semiHidden/>
    <w:qFormat/>
    <w:uiPriority w:val="99"/>
    <w:rPr>
      <w:rFonts w:ascii="Times New Roman" w:hAnsi="Times New Roman" w:eastAsia="宋体" w:cs="Times New Roman"/>
      <w:sz w:val="24"/>
      <w:szCs w:val="24"/>
    </w:rPr>
  </w:style>
  <w:style w:type="character" w:customStyle="1" w:styleId="54">
    <w:name w:val="正文文本首行缩进 字符"/>
    <w:link w:val="21"/>
    <w:qFormat/>
    <w:uiPriority w:val="99"/>
    <w:rPr>
      <w:rFonts w:ascii="Times New Roman" w:hAnsi="Times New Roman" w:eastAsia="宋体" w:cs="Times New Roman"/>
      <w:kern w:val="2"/>
      <w:sz w:val="24"/>
      <w:szCs w:val="24"/>
      <w:lang w:val="en-US" w:eastAsia="zh-CN" w:bidi="ar-SA"/>
    </w:rPr>
  </w:style>
  <w:style w:type="character" w:customStyle="1" w:styleId="55">
    <w:name w:val="页眉 字符"/>
    <w:link w:val="17"/>
    <w:qFormat/>
    <w:uiPriority w:val="99"/>
    <w:rPr>
      <w:rFonts w:ascii="Times New Roman" w:hAnsi="Times New Roman" w:eastAsia="宋体" w:cs="Times New Roman"/>
      <w:sz w:val="18"/>
      <w:szCs w:val="18"/>
    </w:rPr>
  </w:style>
  <w:style w:type="character" w:customStyle="1" w:styleId="56">
    <w:name w:val="页脚 字符"/>
    <w:link w:val="16"/>
    <w:qFormat/>
    <w:uiPriority w:val="99"/>
    <w:rPr>
      <w:rFonts w:ascii="Times New Roman" w:hAnsi="Times New Roman" w:eastAsia="宋体" w:cs="Times New Roman"/>
      <w:sz w:val="18"/>
      <w:szCs w:val="18"/>
    </w:rPr>
  </w:style>
  <w:style w:type="character" w:customStyle="1" w:styleId="57">
    <w:name w:val="正文文本缩进 字符"/>
    <w:link w:val="3"/>
    <w:semiHidden/>
    <w:qFormat/>
    <w:uiPriority w:val="99"/>
    <w:rPr>
      <w:rFonts w:ascii="Times New Roman" w:hAnsi="Times New Roman" w:eastAsia="宋体" w:cs="Times New Roman"/>
      <w:sz w:val="24"/>
      <w:szCs w:val="24"/>
    </w:rPr>
  </w:style>
  <w:style w:type="character" w:customStyle="1" w:styleId="58">
    <w:name w:val="日期 字符"/>
    <w:link w:val="14"/>
    <w:semiHidden/>
    <w:qFormat/>
    <w:uiPriority w:val="99"/>
    <w:rPr>
      <w:rFonts w:ascii="Times New Roman" w:hAnsi="Times New Roman" w:eastAsia="宋体" w:cs="Times New Roman"/>
      <w:sz w:val="24"/>
      <w:szCs w:val="24"/>
    </w:rPr>
  </w:style>
  <w:style w:type="character" w:customStyle="1" w:styleId="59">
    <w:name w:val="文档结构图 字符"/>
    <w:link w:val="10"/>
    <w:semiHidden/>
    <w:qFormat/>
    <w:uiPriority w:val="99"/>
    <w:rPr>
      <w:rFonts w:ascii="Times New Roman" w:hAnsi="Times New Roman"/>
      <w:sz w:val="16"/>
      <w:szCs w:val="16"/>
    </w:rPr>
  </w:style>
  <w:style w:type="character" w:customStyle="1" w:styleId="60">
    <w:name w:val="批注文字 字符"/>
    <w:link w:val="11"/>
    <w:semiHidden/>
    <w:qFormat/>
    <w:uiPriority w:val="99"/>
    <w:rPr>
      <w:rFonts w:ascii="Times New Roman" w:hAnsi="Times New Roman"/>
      <w:szCs w:val="24"/>
    </w:rPr>
  </w:style>
  <w:style w:type="character" w:customStyle="1" w:styleId="61">
    <w:name w:val="批注主题 字符"/>
    <w:link w:val="20"/>
    <w:semiHidden/>
    <w:qFormat/>
    <w:uiPriority w:val="99"/>
    <w:rPr>
      <w:rFonts w:ascii="Times New Roman" w:hAnsi="Times New Roman"/>
      <w:b/>
      <w:bCs/>
      <w:szCs w:val="24"/>
    </w:rPr>
  </w:style>
  <w:style w:type="character" w:customStyle="1" w:styleId="62">
    <w:name w:val="批注框文本 字符"/>
    <w:link w:val="15"/>
    <w:semiHidden/>
    <w:qFormat/>
    <w:uiPriority w:val="99"/>
    <w:rPr>
      <w:rFonts w:ascii="Times New Roman" w:hAnsi="Times New Roman"/>
      <w:sz w:val="16"/>
      <w:szCs w:val="16"/>
    </w:rPr>
  </w:style>
  <w:style w:type="paragraph" w:customStyle="1" w:styleId="63">
    <w:name w:val="表格内容"/>
    <w:basedOn w:val="1"/>
    <w:next w:val="1"/>
    <w:link w:val="93"/>
    <w:qFormat/>
    <w:uiPriority w:val="0"/>
    <w:pPr>
      <w:autoSpaceDE w:val="0"/>
      <w:autoSpaceDN w:val="0"/>
      <w:jc w:val="center"/>
    </w:pPr>
    <w:rPr>
      <w:rFonts w:eastAsia="仿宋_GB2312"/>
      <w:kern w:val="0"/>
      <w:lang w:bidi="he-IL"/>
    </w:rPr>
  </w:style>
  <w:style w:type="paragraph" w:customStyle="1" w:styleId="64">
    <w:name w:val="L4"/>
    <w:basedOn w:val="1"/>
    <w:qFormat/>
    <w:uiPriority w:val="0"/>
    <w:pPr>
      <w:spacing w:line="480" w:lineRule="exact"/>
      <w:ind w:firstLine="496" w:firstLineChars="200"/>
    </w:pPr>
    <w:rPr>
      <w:rFonts w:cs="宋体"/>
      <w:spacing w:val="4"/>
      <w:kern w:val="0"/>
      <w:sz w:val="24"/>
    </w:rPr>
  </w:style>
  <w:style w:type="paragraph" w:customStyle="1" w:styleId="65">
    <w:name w:val="@ 正文"/>
    <w:basedOn w:val="1"/>
    <w:link w:val="94"/>
    <w:qFormat/>
    <w:uiPriority w:val="0"/>
    <w:pPr>
      <w:tabs>
        <w:tab w:val="left" w:pos="1980"/>
        <w:tab w:val="left" w:pos="3825"/>
        <w:tab w:val="left" w:pos="4680"/>
      </w:tabs>
      <w:spacing w:line="360" w:lineRule="auto"/>
      <w:ind w:firstLine="200" w:firstLineChars="200"/>
      <w:jc w:val="left"/>
    </w:pPr>
    <w:rPr>
      <w:rFonts w:hAnsi="宋体" w:eastAsia="Times New Roman"/>
      <w:sz w:val="24"/>
      <w:szCs w:val="21"/>
    </w:rPr>
  </w:style>
  <w:style w:type="paragraph" w:customStyle="1" w:styleId="66">
    <w:name w:val="1表格"/>
    <w:basedOn w:val="1"/>
    <w:qFormat/>
    <w:uiPriority w:val="0"/>
    <w:pPr>
      <w:spacing w:line="160" w:lineRule="atLeast"/>
      <w:jc w:val="center"/>
    </w:pPr>
    <w:rPr>
      <w:rFonts w:ascii="仿宋_GB2312" w:eastAsia="仿宋_GB2312"/>
      <w:kern w:val="0"/>
    </w:rPr>
  </w:style>
  <w:style w:type="paragraph" w:customStyle="1" w:styleId="67">
    <w:name w:val="表格内文字"/>
    <w:basedOn w:val="1"/>
    <w:qFormat/>
    <w:uiPriority w:val="0"/>
    <w:pPr>
      <w:tabs>
        <w:tab w:val="left" w:pos="1980"/>
        <w:tab w:val="left" w:pos="3825"/>
        <w:tab w:val="left" w:pos="4680"/>
      </w:tabs>
      <w:jc w:val="center"/>
    </w:pPr>
    <w:rPr>
      <w:rFonts w:ascii="宋体" w:hAnsi="宋体" w:cs="宋体"/>
      <w:color w:val="000000"/>
      <w:szCs w:val="21"/>
    </w:rPr>
  </w:style>
  <w:style w:type="paragraph" w:customStyle="1" w:styleId="68">
    <w:name w:val="报告宋体小四"/>
    <w:next w:val="1"/>
    <w:qFormat/>
    <w:uiPriority w:val="0"/>
    <w:pPr>
      <w:widowControl w:val="0"/>
      <w:spacing w:line="360" w:lineRule="auto"/>
      <w:jc w:val="both"/>
    </w:pPr>
    <w:rPr>
      <w:rFonts w:ascii="Calibri" w:hAnsi="Calibri" w:eastAsia="宋体" w:cs="Calibri"/>
      <w:color w:val="000000"/>
      <w:sz w:val="24"/>
      <w:szCs w:val="22"/>
      <w:lang w:val="en-US" w:eastAsia="zh-CN" w:bidi="ar-SA"/>
    </w:rPr>
  </w:style>
  <w:style w:type="paragraph" w:customStyle="1" w:styleId="69">
    <w:name w:val="报告正文"/>
    <w:basedOn w:val="1"/>
    <w:qFormat/>
    <w:uiPriority w:val="0"/>
    <w:pPr>
      <w:spacing w:line="360" w:lineRule="auto"/>
      <w:ind w:firstLine="200" w:firstLineChars="200"/>
    </w:pPr>
    <w:rPr>
      <w:bCs/>
      <w:snapToGrid w:val="0"/>
      <w:kern w:val="0"/>
      <w:sz w:val="24"/>
    </w:rPr>
  </w:style>
  <w:style w:type="paragraph" w:customStyle="1" w:styleId="70">
    <w:name w:val="样式9"/>
    <w:basedOn w:val="1"/>
    <w:qFormat/>
    <w:uiPriority w:val="0"/>
    <w:pPr>
      <w:adjustRightInd w:val="0"/>
      <w:snapToGrid w:val="0"/>
      <w:spacing w:line="560" w:lineRule="exact"/>
      <w:ind w:firstLine="539"/>
      <w:textAlignment w:val="baseline"/>
    </w:pPr>
    <w:rPr>
      <w:rFonts w:eastAsia="仿宋_GB2312"/>
    </w:rPr>
  </w:style>
  <w:style w:type="paragraph" w:customStyle="1" w:styleId="71">
    <w:name w:val="L表"/>
    <w:basedOn w:val="1"/>
    <w:qFormat/>
    <w:uiPriority w:val="0"/>
    <w:pPr>
      <w:spacing w:line="480" w:lineRule="exact"/>
      <w:jc w:val="center"/>
    </w:pPr>
    <w:rPr>
      <w:b/>
      <w:snapToGrid w:val="0"/>
      <w:spacing w:val="4"/>
    </w:rPr>
  </w:style>
  <w:style w:type="paragraph" w:customStyle="1" w:styleId="72">
    <w:name w:val="5文章"/>
    <w:basedOn w:val="1"/>
    <w:qFormat/>
    <w:uiPriority w:val="0"/>
    <w:pPr>
      <w:spacing w:line="360" w:lineRule="auto"/>
      <w:ind w:firstLine="200" w:firstLineChars="200"/>
    </w:pPr>
    <w:rPr>
      <w:sz w:val="24"/>
    </w:rPr>
  </w:style>
  <w:style w:type="paragraph" w:customStyle="1" w:styleId="73">
    <w:name w:val="表格的格式"/>
    <w:basedOn w:val="1"/>
    <w:qFormat/>
    <w:uiPriority w:val="0"/>
    <w:pPr>
      <w:jc w:val="center"/>
    </w:pPr>
    <w:rPr>
      <w:kern w:val="0"/>
      <w:szCs w:val="21"/>
    </w:rPr>
  </w:style>
  <w:style w:type="paragraph" w:customStyle="1" w:styleId="74">
    <w:name w:val="正文格式111"/>
    <w:basedOn w:val="1"/>
    <w:qFormat/>
    <w:uiPriority w:val="0"/>
    <w:pPr>
      <w:spacing w:line="420" w:lineRule="auto"/>
      <w:ind w:firstLine="480" w:firstLineChars="200"/>
    </w:pPr>
    <w:rPr>
      <w:rFonts w:ascii="Calibri" w:hAnsi="Calibri"/>
      <w:bCs/>
      <w:kern w:val="0"/>
      <w:sz w:val="24"/>
    </w:rPr>
  </w:style>
  <w:style w:type="paragraph" w:customStyle="1" w:styleId="75">
    <w:name w:val="正文的格式"/>
    <w:basedOn w:val="1"/>
    <w:qFormat/>
    <w:uiPriority w:val="0"/>
    <w:pPr>
      <w:autoSpaceDE w:val="0"/>
      <w:autoSpaceDN w:val="0"/>
      <w:adjustRightInd w:val="0"/>
      <w:spacing w:line="360" w:lineRule="auto"/>
      <w:ind w:firstLine="200" w:firstLineChars="200"/>
      <w:jc w:val="left"/>
    </w:pPr>
    <w:rPr>
      <w:kern w:val="0"/>
    </w:rPr>
  </w:style>
  <w:style w:type="paragraph" w:customStyle="1" w:styleId="76">
    <w:name w:val="正文1.0"/>
    <w:basedOn w:val="1"/>
    <w:qFormat/>
    <w:uiPriority w:val="0"/>
    <w:pPr>
      <w:spacing w:line="360" w:lineRule="auto"/>
      <w:ind w:firstLine="480" w:firstLineChars="200"/>
    </w:pPr>
    <w:rPr>
      <w:color w:val="FF0000"/>
      <w:kern w:val="0"/>
      <w:sz w:val="24"/>
    </w:rPr>
  </w:style>
  <w:style w:type="paragraph" w:customStyle="1" w:styleId="77">
    <w:name w:val="正文首行缩进1"/>
    <w:basedOn w:val="1"/>
    <w:qFormat/>
    <w:uiPriority w:val="0"/>
    <w:pPr>
      <w:spacing w:line="360" w:lineRule="auto"/>
      <w:ind w:firstLine="200" w:firstLineChars="200"/>
    </w:pPr>
    <w:rPr>
      <w:snapToGrid w:val="0"/>
      <w:color w:val="000000"/>
      <w:kern w:val="0"/>
      <w:sz w:val="24"/>
    </w:rPr>
  </w:style>
  <w:style w:type="paragraph" w:customStyle="1" w:styleId="78">
    <w:name w:val="表格文字两端对齐"/>
    <w:basedOn w:val="67"/>
    <w:qFormat/>
    <w:uiPriority w:val="0"/>
    <w:pPr>
      <w:tabs>
        <w:tab w:val="clear" w:pos="1980"/>
      </w:tabs>
      <w:jc w:val="both"/>
    </w:pPr>
  </w:style>
  <w:style w:type="paragraph" w:customStyle="1" w:styleId="79">
    <w:name w:val="文本"/>
    <w:basedOn w:val="1"/>
    <w:link w:val="100"/>
    <w:qFormat/>
    <w:uiPriority w:val="0"/>
    <w:pPr>
      <w:spacing w:line="360" w:lineRule="auto"/>
      <w:ind w:firstLine="200" w:firstLineChars="200"/>
    </w:pPr>
    <w:rPr>
      <w:rFonts w:cs="宋体"/>
      <w:sz w:val="24"/>
    </w:rPr>
  </w:style>
  <w:style w:type="character" w:customStyle="1" w:styleId="80">
    <w:name w:val="页眉 Char1"/>
    <w:basedOn w:val="24"/>
    <w:qFormat/>
    <w:uiPriority w:val="0"/>
  </w:style>
  <w:style w:type="character" w:customStyle="1" w:styleId="81">
    <w:name w:val="表格名称 Char Char"/>
    <w:basedOn w:val="24"/>
    <w:link w:val="27"/>
    <w:qFormat/>
    <w:uiPriority w:val="0"/>
    <w:rPr>
      <w:b/>
      <w:kern w:val="2"/>
      <w:sz w:val="21"/>
      <w:szCs w:val="24"/>
    </w:rPr>
  </w:style>
  <w:style w:type="paragraph" w:customStyle="1" w:styleId="82">
    <w:name w:val="普通(网站)1"/>
    <w:basedOn w:val="1"/>
    <w:qFormat/>
    <w:uiPriority w:val="0"/>
    <w:pPr>
      <w:widowControl/>
      <w:spacing w:beforeAutospacing="1" w:afterAutospacing="1"/>
      <w:jc w:val="left"/>
    </w:pPr>
    <w:rPr>
      <w:rFonts w:hint="eastAsia" w:ascii="宋体" w:hAnsi="宋体"/>
      <w:sz w:val="24"/>
    </w:rPr>
  </w:style>
  <w:style w:type="paragraph" w:customStyle="1" w:styleId="83">
    <w:name w:val="大纲正文"/>
    <w:basedOn w:val="1"/>
    <w:link w:val="92"/>
    <w:qFormat/>
    <w:uiPriority w:val="0"/>
    <w:pPr>
      <w:widowControl/>
      <w:adjustRightInd w:val="0"/>
      <w:snapToGrid w:val="0"/>
      <w:spacing w:line="300" w:lineRule="auto"/>
      <w:ind w:firstLine="200" w:firstLineChars="200"/>
    </w:pPr>
    <w:rPr>
      <w:rFonts w:ascii="宋体" w:hAnsi="宋体" w:cs="宋体"/>
      <w:sz w:val="24"/>
      <w:szCs w:val="20"/>
    </w:rPr>
  </w:style>
  <w:style w:type="paragraph" w:customStyle="1" w:styleId="84">
    <w:name w:val="7表格(治)"/>
    <w:link w:val="97"/>
    <w:qFormat/>
    <w:uiPriority w:val="0"/>
    <w:pPr>
      <w:widowControl w:val="0"/>
      <w:tabs>
        <w:tab w:val="center" w:pos="4153"/>
        <w:tab w:val="right" w:pos="8306"/>
      </w:tabs>
      <w:suppressAutoHyphens/>
      <w:snapToGrid w:val="0"/>
      <w:jc w:val="center"/>
    </w:pPr>
    <w:rPr>
      <w:rFonts w:ascii="宋体" w:hAnsi="宋体" w:eastAsia="宋体" w:cs="宋体"/>
      <w:szCs w:val="21"/>
      <w:lang w:val="en-US" w:eastAsia="zh-CN" w:bidi="ar-SA"/>
    </w:rPr>
  </w:style>
  <w:style w:type="paragraph" w:customStyle="1" w:styleId="85">
    <w:name w:val="表1"/>
    <w:basedOn w:val="1"/>
    <w:qFormat/>
    <w:uiPriority w:val="0"/>
    <w:pPr>
      <w:snapToGrid w:val="0"/>
      <w:spacing w:line="360" w:lineRule="auto"/>
      <w:jc w:val="center"/>
    </w:pPr>
    <w:rPr>
      <w:b/>
      <w:spacing w:val="2"/>
      <w:sz w:val="24"/>
      <w:szCs w:val="20"/>
    </w:rPr>
  </w:style>
  <w:style w:type="paragraph" w:customStyle="1" w:styleId="86">
    <w:name w:val="自定正文"/>
    <w:basedOn w:val="1"/>
    <w:qFormat/>
    <w:uiPriority w:val="0"/>
    <w:pPr>
      <w:snapToGrid w:val="0"/>
      <w:spacing w:line="360" w:lineRule="auto"/>
      <w:ind w:firstLine="200" w:firstLineChars="200"/>
      <w:textAlignment w:val="center"/>
    </w:pPr>
    <w:rPr>
      <w:rFonts w:ascii="Arial" w:hAnsi="Arial"/>
      <w:snapToGrid w:val="0"/>
      <w:color w:val="000000"/>
      <w:sz w:val="26"/>
    </w:rPr>
  </w:style>
  <w:style w:type="paragraph" w:customStyle="1" w:styleId="87">
    <w:name w:val="常用"/>
    <w:basedOn w:val="1"/>
    <w:qFormat/>
    <w:uiPriority w:val="0"/>
    <w:pPr>
      <w:adjustRightInd w:val="0"/>
      <w:snapToGrid w:val="0"/>
      <w:spacing w:line="360" w:lineRule="auto"/>
      <w:ind w:firstLine="200" w:firstLineChars="200"/>
    </w:pPr>
    <w:rPr>
      <w:rFonts w:eastAsia="Times New Roman"/>
    </w:rPr>
  </w:style>
  <w:style w:type="character" w:customStyle="1" w:styleId="88">
    <w:name w:val="表格标题 Char"/>
    <w:link w:val="40"/>
    <w:qFormat/>
    <w:uiPriority w:val="0"/>
    <w:rPr>
      <w:rFonts w:ascii="Times New Roman" w:hAnsi="Times New Roman" w:eastAsia="宋体" w:cs="Times New Roman"/>
      <w:b/>
      <w:kern w:val="2"/>
      <w:sz w:val="24"/>
      <w:szCs w:val="24"/>
      <w:lang w:val="en-US" w:eastAsia="zh-CN" w:bidi="ar-SA"/>
    </w:rPr>
  </w:style>
  <w:style w:type="paragraph" w:customStyle="1" w:styleId="89">
    <w:name w:val="Table Paragraph"/>
    <w:basedOn w:val="1"/>
    <w:qFormat/>
    <w:uiPriority w:val="1"/>
    <w:pPr>
      <w:jc w:val="center"/>
    </w:pPr>
    <w:rPr>
      <w:rFonts w:ascii="宋体" w:hAnsi="宋体" w:cs="宋体"/>
      <w:lang w:val="zh-CN" w:bidi="zh-CN"/>
    </w:rPr>
  </w:style>
  <w:style w:type="character" w:customStyle="1" w:styleId="90">
    <w:name w:val="我的正文 Char"/>
    <w:basedOn w:val="24"/>
    <w:link w:val="91"/>
    <w:qFormat/>
    <w:locked/>
    <w:uiPriority w:val="0"/>
    <w:rPr>
      <w:rFonts w:ascii="宋体" w:hAnsi="宋体"/>
      <w:bCs/>
      <w:kern w:val="44"/>
      <w:sz w:val="24"/>
      <w:szCs w:val="24"/>
    </w:rPr>
  </w:style>
  <w:style w:type="paragraph" w:customStyle="1" w:styleId="91">
    <w:name w:val="我的正文"/>
    <w:basedOn w:val="1"/>
    <w:link w:val="90"/>
    <w:qFormat/>
    <w:uiPriority w:val="0"/>
    <w:pPr>
      <w:spacing w:line="360" w:lineRule="auto"/>
      <w:ind w:firstLine="480" w:firstLineChars="200"/>
      <w:jc w:val="left"/>
    </w:pPr>
    <w:rPr>
      <w:rFonts w:ascii="宋体" w:hAnsi="宋体"/>
      <w:bCs/>
      <w:kern w:val="44"/>
      <w:sz w:val="24"/>
    </w:rPr>
  </w:style>
  <w:style w:type="character" w:customStyle="1" w:styleId="92">
    <w:name w:val="大纲正文 Char"/>
    <w:link w:val="83"/>
    <w:qFormat/>
    <w:locked/>
    <w:uiPriority w:val="0"/>
    <w:rPr>
      <w:rFonts w:ascii="宋体" w:hAnsi="宋体" w:cs="宋体"/>
      <w:kern w:val="2"/>
      <w:sz w:val="24"/>
    </w:rPr>
  </w:style>
  <w:style w:type="character" w:customStyle="1" w:styleId="93">
    <w:name w:val="表格内容 Char Char"/>
    <w:link w:val="63"/>
    <w:qFormat/>
    <w:locked/>
    <w:uiPriority w:val="0"/>
    <w:rPr>
      <w:rFonts w:eastAsia="仿宋_GB2312"/>
      <w:sz w:val="21"/>
      <w:szCs w:val="24"/>
      <w:lang w:bidi="he-IL"/>
    </w:rPr>
  </w:style>
  <w:style w:type="character" w:customStyle="1" w:styleId="94">
    <w:name w:val="@ 正文 Char"/>
    <w:basedOn w:val="24"/>
    <w:link w:val="65"/>
    <w:qFormat/>
    <w:locked/>
    <w:uiPriority w:val="0"/>
    <w:rPr>
      <w:rFonts w:hAnsi="宋体" w:eastAsia="Times New Roman"/>
      <w:kern w:val="2"/>
      <w:sz w:val="24"/>
      <w:szCs w:val="21"/>
    </w:rPr>
  </w:style>
  <w:style w:type="paragraph" w:customStyle="1" w:styleId="95">
    <w:name w:val="4 级标题"/>
    <w:basedOn w:val="1"/>
    <w:qFormat/>
    <w:uiPriority w:val="0"/>
    <w:pPr>
      <w:spacing w:line="360" w:lineRule="auto"/>
      <w:jc w:val="left"/>
      <w:outlineLvl w:val="3"/>
    </w:pPr>
    <w:rPr>
      <w:sz w:val="24"/>
    </w:rPr>
  </w:style>
  <w:style w:type="character" w:customStyle="1" w:styleId="96">
    <w:name w:val="纯文本 Char1"/>
    <w:basedOn w:val="24"/>
    <w:qFormat/>
    <w:locked/>
    <w:uiPriority w:val="0"/>
    <w:rPr>
      <w:rFonts w:ascii="宋体" w:hAnsi="Courier New"/>
      <w:sz w:val="24"/>
      <w:szCs w:val="21"/>
    </w:rPr>
  </w:style>
  <w:style w:type="character" w:customStyle="1" w:styleId="97">
    <w:name w:val="7表格(治) Char"/>
    <w:link w:val="84"/>
    <w:qFormat/>
    <w:locked/>
    <w:uiPriority w:val="0"/>
    <w:rPr>
      <w:rFonts w:ascii="宋体" w:hAnsi="宋体" w:cs="宋体"/>
      <w:szCs w:val="21"/>
    </w:rPr>
  </w:style>
  <w:style w:type="character" w:customStyle="1" w:styleId="98">
    <w:name w:val="5文章(治) Char"/>
    <w:basedOn w:val="24"/>
    <w:link w:val="50"/>
    <w:qFormat/>
    <w:uiPriority w:val="0"/>
    <w:rPr>
      <w:rFonts w:ascii="Arial" w:hAnsi="Arial" w:cs="Tahoma"/>
      <w:kern w:val="2"/>
      <w:sz w:val="24"/>
      <w:szCs w:val="21"/>
    </w:rPr>
  </w:style>
  <w:style w:type="character" w:customStyle="1" w:styleId="99">
    <w:name w:val="HTML 预设格式 字符"/>
    <w:basedOn w:val="24"/>
    <w:link w:val="18"/>
    <w:semiHidden/>
    <w:qFormat/>
    <w:uiPriority w:val="0"/>
    <w:rPr>
      <w:rFonts w:ascii="Arial" w:hAnsi="Arial" w:cs="Arial"/>
      <w:sz w:val="24"/>
      <w:szCs w:val="24"/>
    </w:rPr>
  </w:style>
  <w:style w:type="character" w:customStyle="1" w:styleId="100">
    <w:name w:val="文本 Char Char"/>
    <w:basedOn w:val="24"/>
    <w:link w:val="79"/>
    <w:qFormat/>
    <w:locked/>
    <w:uiPriority w:val="0"/>
    <w:rPr>
      <w:rFonts w:cs="宋体"/>
      <w:kern w:val="2"/>
      <w:sz w:val="24"/>
      <w:szCs w:val="24"/>
    </w:rPr>
  </w:style>
  <w:style w:type="character" w:customStyle="1" w:styleId="101">
    <w:name w:val="5 正文 Char Char"/>
    <w:link w:val="42"/>
    <w:qFormat/>
    <w:locked/>
    <w:uiPriority w:val="0"/>
    <w:rPr>
      <w:rFonts w:hAnsi="宋体"/>
      <w:kern w:val="2"/>
      <w:sz w:val="24"/>
      <w:szCs w:val="21"/>
      <w:lang w:eastAsia="en-US"/>
    </w:rPr>
  </w:style>
  <w:style w:type="paragraph" w:customStyle="1" w:styleId="102">
    <w:name w:val="zhang正文 Char"/>
    <w:basedOn w:val="3"/>
    <w:qFormat/>
    <w:uiPriority w:val="0"/>
    <w:pPr>
      <w:autoSpaceDE w:val="0"/>
      <w:autoSpaceDN w:val="0"/>
      <w:adjustRightInd w:val="0"/>
      <w:snapToGrid w:val="0"/>
      <w:spacing w:after="0" w:line="500" w:lineRule="exact"/>
      <w:ind w:left="0" w:leftChars="0" w:firstLine="539"/>
    </w:pPr>
    <w:rPr>
      <w:rFonts w:eastAsia="楷体_GB2312"/>
      <w:sz w:val="28"/>
      <w:szCs w:val="20"/>
    </w:rPr>
  </w:style>
  <w:style w:type="character" w:customStyle="1" w:styleId="103">
    <w:name w:val="表格 Char2"/>
    <w:basedOn w:val="24"/>
    <w:link w:val="33"/>
    <w:qFormat/>
    <w:locked/>
    <w:uiPriority w:val="0"/>
    <w:rPr>
      <w:rFonts w:ascii="宋体" w:hAnsi="宋体" w:cs="宋体"/>
      <w:sz w:val="24"/>
      <w:szCs w:val="24"/>
    </w:rPr>
  </w:style>
  <w:style w:type="paragraph" w:customStyle="1" w:styleId="104">
    <w:name w:val="表格固定文字"/>
    <w:basedOn w:val="1"/>
    <w:qFormat/>
    <w:uiPriority w:val="0"/>
  </w:style>
  <w:style w:type="character" w:customStyle="1" w:styleId="105">
    <w:name w:val="apple-converted-space"/>
    <w:basedOn w:val="24"/>
    <w:qFormat/>
    <w:uiPriority w:val="0"/>
  </w:style>
  <w:style w:type="paragraph" w:customStyle="1" w:styleId="106">
    <w:name w:val="正文A"/>
    <w:basedOn w:val="1"/>
    <w:qFormat/>
    <w:uiPriority w:val="99"/>
    <w:pPr>
      <w:autoSpaceDE w:val="0"/>
      <w:autoSpaceDN w:val="0"/>
      <w:snapToGrid w:val="0"/>
      <w:spacing w:line="400" w:lineRule="atLeast"/>
      <w:ind w:firstLine="539"/>
    </w:pPr>
    <w:rPr>
      <w:rFonts w:hAnsi="宋体"/>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8.emf"/><Relationship Id="rId54" Type="http://schemas.openxmlformats.org/officeDocument/2006/relationships/oleObject" Target="embeddings/oleObject14.bin"/><Relationship Id="rId53" Type="http://schemas.openxmlformats.org/officeDocument/2006/relationships/image" Target="media/image27.emf"/><Relationship Id="rId52" Type="http://schemas.openxmlformats.org/officeDocument/2006/relationships/oleObject" Target="embeddings/oleObject13.bin"/><Relationship Id="rId51" Type="http://schemas.openxmlformats.org/officeDocument/2006/relationships/image" Target="media/image26.png"/><Relationship Id="rId50" Type="http://schemas.openxmlformats.org/officeDocument/2006/relationships/image" Target="media/image25.jpeg"/><Relationship Id="rId5" Type="http://schemas.openxmlformats.org/officeDocument/2006/relationships/header" Target="header3.xml"/><Relationship Id="rId49" Type="http://schemas.openxmlformats.org/officeDocument/2006/relationships/image" Target="media/image24.emf"/><Relationship Id="rId48" Type="http://schemas.openxmlformats.org/officeDocument/2006/relationships/oleObject" Target="embeddings/oleObject12.bin"/><Relationship Id="rId47" Type="http://schemas.openxmlformats.org/officeDocument/2006/relationships/image" Target="media/image23.emf"/><Relationship Id="rId46" Type="http://schemas.openxmlformats.org/officeDocument/2006/relationships/oleObject" Target="embeddings/oleObject11.bin"/><Relationship Id="rId45" Type="http://schemas.openxmlformats.org/officeDocument/2006/relationships/image" Target="media/image22.emf"/><Relationship Id="rId44" Type="http://schemas.openxmlformats.org/officeDocument/2006/relationships/oleObject" Target="embeddings/oleObject10.bin"/><Relationship Id="rId43" Type="http://schemas.openxmlformats.org/officeDocument/2006/relationships/image" Target="media/image21.emf"/><Relationship Id="rId42" Type="http://schemas.openxmlformats.org/officeDocument/2006/relationships/oleObject" Target="embeddings/oleObject9.bin"/><Relationship Id="rId41" Type="http://schemas.openxmlformats.org/officeDocument/2006/relationships/image" Target="media/image20.wmf"/><Relationship Id="rId40" Type="http://schemas.openxmlformats.org/officeDocument/2006/relationships/image" Target="media/image19.wmf"/><Relationship Id="rId4" Type="http://schemas.openxmlformats.org/officeDocument/2006/relationships/header" Target="header2.xml"/><Relationship Id="rId39" Type="http://schemas.openxmlformats.org/officeDocument/2006/relationships/image" Target="media/image18.emf"/><Relationship Id="rId38" Type="http://schemas.openxmlformats.org/officeDocument/2006/relationships/oleObject" Target="embeddings/oleObject8.bin"/><Relationship Id="rId37" Type="http://schemas.openxmlformats.org/officeDocument/2006/relationships/image" Target="media/image17.emf"/><Relationship Id="rId36" Type="http://schemas.openxmlformats.org/officeDocument/2006/relationships/oleObject" Target="embeddings/oleObject7.bin"/><Relationship Id="rId35" Type="http://schemas.openxmlformats.org/officeDocument/2006/relationships/image" Target="media/image16.emf"/><Relationship Id="rId34" Type="http://schemas.openxmlformats.org/officeDocument/2006/relationships/oleObject" Target="embeddings/oleObject6.bin"/><Relationship Id="rId33" Type="http://schemas.openxmlformats.org/officeDocument/2006/relationships/image" Target="media/image15.emf"/><Relationship Id="rId32" Type="http://schemas.openxmlformats.org/officeDocument/2006/relationships/oleObject" Target="embeddings/oleObject5.bin"/><Relationship Id="rId31" Type="http://schemas.openxmlformats.org/officeDocument/2006/relationships/image" Target="media/image14.e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13.emf"/><Relationship Id="rId28" Type="http://schemas.openxmlformats.org/officeDocument/2006/relationships/oleObject" Target="embeddings/oleObject3.bin"/><Relationship Id="rId27" Type="http://schemas.openxmlformats.org/officeDocument/2006/relationships/image" Target="media/image12.emf"/><Relationship Id="rId26" Type="http://schemas.openxmlformats.org/officeDocument/2006/relationships/oleObject" Target="embeddings/oleObject2.bin"/><Relationship Id="rId25" Type="http://schemas.openxmlformats.org/officeDocument/2006/relationships/image" Target="media/image11.emf"/><Relationship Id="rId24" Type="http://schemas.openxmlformats.org/officeDocument/2006/relationships/oleObject" Target="embeddings/oleObject1.bin"/><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25447C-672C-47A5-A11A-FE90799A33E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123</Pages>
  <Words>69181</Words>
  <Characters>85386</Characters>
  <Lines>634</Lines>
  <Paragraphs>178</Paragraphs>
  <TotalTime>71</TotalTime>
  <ScaleCrop>false</ScaleCrop>
  <LinksUpToDate>false</LinksUpToDate>
  <CharactersWithSpaces>86848</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2014-11-27T02:14:00Z</dcterms:created>
  <dc:creator>hx001</dc:creator>
  <cp:lastModifiedBy>CiCi</cp:lastModifiedBy>
  <cp:lastPrinted>2018-12-03T02:03:00Z</cp:lastPrinted>
  <dcterms:modified xsi:type="dcterms:W3CDTF">2019-06-12T12:04:19Z</dcterms:modified>
  <dc:title>一、项目基本情况</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