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715" w:type="dxa"/>
        <w:tblInd w:w="-601" w:type="dxa"/>
        <w:tblLayout w:type="fixed"/>
        <w:tblCellMar>
          <w:top w:w="0" w:type="dxa"/>
          <w:left w:w="108" w:type="dxa"/>
          <w:bottom w:w="0" w:type="dxa"/>
          <w:right w:w="108" w:type="dxa"/>
        </w:tblCellMar>
      </w:tblPr>
      <w:tblGrid>
        <w:gridCol w:w="2390"/>
        <w:gridCol w:w="7325"/>
      </w:tblGrid>
      <w:tr>
        <w:tblPrEx>
          <w:tblCellMar>
            <w:top w:w="0" w:type="dxa"/>
            <w:left w:w="108" w:type="dxa"/>
            <w:bottom w:w="0" w:type="dxa"/>
            <w:right w:w="108" w:type="dxa"/>
          </w:tblCellMar>
        </w:tblPrEx>
        <w:trPr>
          <w:trHeight w:val="672" w:hRule="atLeast"/>
        </w:trPr>
        <w:tc>
          <w:tcPr>
            <w:tcW w:w="9715" w:type="dxa"/>
            <w:gridSpan w:val="2"/>
            <w:tcBorders>
              <w:top w:val="nil"/>
              <w:left w:val="nil"/>
              <w:bottom w:val="nil"/>
              <w:right w:val="nil"/>
            </w:tcBorders>
            <w:vAlign w:val="center"/>
          </w:tcPr>
          <w:p>
            <w:pPr>
              <w:widowControl/>
              <w:jc w:val="center"/>
              <w:rPr>
                <w:rFonts w:ascii="宋体" w:hAnsi="宋体"/>
                <w:b/>
                <w:bCs/>
                <w:kern w:val="0"/>
                <w:sz w:val="40"/>
                <w:szCs w:val="40"/>
              </w:rPr>
            </w:pPr>
            <w:r>
              <w:rPr>
                <w:rFonts w:hint="eastAsia" w:ascii="宋体" w:hAnsi="宋体"/>
                <w:b/>
                <w:bCs/>
                <w:kern w:val="0"/>
                <w:sz w:val="40"/>
                <w:szCs w:val="40"/>
              </w:rPr>
              <w:t>随机抽查事项清单（一）</w:t>
            </w:r>
          </w:p>
        </w:tc>
      </w:tr>
      <w:tr>
        <w:tblPrEx>
          <w:tblCellMar>
            <w:top w:w="0" w:type="dxa"/>
            <w:left w:w="108" w:type="dxa"/>
            <w:bottom w:w="0" w:type="dxa"/>
            <w:right w:w="108" w:type="dxa"/>
          </w:tblCellMar>
        </w:tblPrEx>
        <w:trPr>
          <w:trHeight w:val="438" w:hRule="atLeast"/>
        </w:trPr>
        <w:tc>
          <w:tcPr>
            <w:tcW w:w="239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事项</w:t>
            </w:r>
          </w:p>
        </w:tc>
        <w:tc>
          <w:tcPr>
            <w:tcW w:w="732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内容</w:t>
            </w:r>
          </w:p>
        </w:tc>
      </w:tr>
      <w:tr>
        <w:tblPrEx>
          <w:tblCellMar>
            <w:top w:w="0" w:type="dxa"/>
            <w:left w:w="108" w:type="dxa"/>
            <w:bottom w:w="0" w:type="dxa"/>
            <w:right w:w="108" w:type="dxa"/>
          </w:tblCellMar>
        </w:tblPrEx>
        <w:trPr>
          <w:trHeight w:val="438"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名称</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对市级社会团体的监督管理</w:t>
            </w:r>
          </w:p>
        </w:tc>
      </w:tr>
      <w:tr>
        <w:tblPrEx>
          <w:tblCellMar>
            <w:top w:w="0" w:type="dxa"/>
            <w:left w:w="108" w:type="dxa"/>
            <w:bottom w:w="0" w:type="dxa"/>
            <w:right w:w="108" w:type="dxa"/>
          </w:tblCellMar>
        </w:tblPrEx>
        <w:trPr>
          <w:trHeight w:val="2369"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主要内容</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 xml:space="preserve">对社会团体成立、变更、注销的登记或者备案进行监督检查;市级社会团体换届或者更换法定代表人之前的财务审计情况进行监督检查；实施年度检查，对市级社会团体违反《社会团体登记管理条例》的其他行为进行监督检查。 </w:t>
            </w:r>
          </w:p>
        </w:tc>
      </w:tr>
      <w:tr>
        <w:tblPrEx>
          <w:tblCellMar>
            <w:top w:w="0" w:type="dxa"/>
            <w:left w:w="108" w:type="dxa"/>
            <w:bottom w:w="0" w:type="dxa"/>
            <w:right w:w="108" w:type="dxa"/>
          </w:tblCellMar>
        </w:tblPrEx>
        <w:trPr>
          <w:trHeight w:val="4982"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依据</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 xml:space="preserve">   《社会团体登记管理条例》（国务院令第250号）</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第六条 国务院民政部门和县级以上地方各级人民政府民政部门是本级人民政府的社会团体登记管理机关(以下简称登记管理机关)。</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第二十七条 登记管理机关履行下列监督管理职责：</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(一)负责社会团体的成立、变更、注销的登记或者备案;  </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(二)对社会团体实施年度检查;  </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(三)对社会团体违反本条例的问题进行监督检查，对社会团体违反本条例的行为给予行政处罚。</w:t>
            </w:r>
          </w:p>
        </w:tc>
      </w:tr>
      <w:tr>
        <w:tblPrEx>
          <w:tblCellMar>
            <w:top w:w="0" w:type="dxa"/>
            <w:left w:w="108" w:type="dxa"/>
            <w:bottom w:w="0" w:type="dxa"/>
            <w:right w:w="108" w:type="dxa"/>
          </w:tblCellMar>
        </w:tblPrEx>
        <w:trPr>
          <w:trHeight w:val="633"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责任主体</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福鼎市民政局</w:t>
            </w:r>
          </w:p>
        </w:tc>
      </w:tr>
      <w:tr>
        <w:tblPrEx>
          <w:tblCellMar>
            <w:top w:w="0" w:type="dxa"/>
            <w:left w:w="108" w:type="dxa"/>
            <w:bottom w:w="0" w:type="dxa"/>
            <w:right w:w="108" w:type="dxa"/>
          </w:tblCellMar>
        </w:tblPrEx>
        <w:trPr>
          <w:trHeight w:val="617"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执法人员</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随机抽取</w:t>
            </w:r>
          </w:p>
        </w:tc>
      </w:tr>
      <w:tr>
        <w:tblPrEx>
          <w:tblCellMar>
            <w:top w:w="0" w:type="dxa"/>
            <w:left w:w="108" w:type="dxa"/>
            <w:bottom w:w="0" w:type="dxa"/>
            <w:right w:w="108" w:type="dxa"/>
          </w:tblCellMar>
        </w:tblPrEx>
        <w:trPr>
          <w:trHeight w:val="958"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抽查对象及比例</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市级社会团体，比例5%。随机抽取。</w:t>
            </w:r>
          </w:p>
        </w:tc>
      </w:tr>
      <w:tr>
        <w:tblPrEx>
          <w:tblCellMar>
            <w:top w:w="0" w:type="dxa"/>
            <w:left w:w="108" w:type="dxa"/>
            <w:bottom w:w="0" w:type="dxa"/>
            <w:right w:w="108" w:type="dxa"/>
          </w:tblCellMar>
        </w:tblPrEx>
        <w:trPr>
          <w:trHeight w:val="471"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抽查频次</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每年2次</w:t>
            </w:r>
          </w:p>
        </w:tc>
      </w:tr>
      <w:tr>
        <w:tblPrEx>
          <w:tblCellMar>
            <w:top w:w="0" w:type="dxa"/>
            <w:left w:w="108" w:type="dxa"/>
            <w:bottom w:w="0" w:type="dxa"/>
            <w:right w:w="108" w:type="dxa"/>
          </w:tblCellMar>
        </w:tblPrEx>
        <w:trPr>
          <w:trHeight w:val="649"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抽查方式</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书面检查、实地检查</w:t>
            </w:r>
          </w:p>
        </w:tc>
      </w:tr>
      <w:tr>
        <w:tblPrEx>
          <w:tblCellMar>
            <w:top w:w="0" w:type="dxa"/>
            <w:left w:w="108" w:type="dxa"/>
            <w:bottom w:w="0" w:type="dxa"/>
            <w:right w:w="108" w:type="dxa"/>
          </w:tblCellMar>
        </w:tblPrEx>
        <w:trPr>
          <w:trHeight w:val="584"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进度安排</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由相关业务股室结合工作实际开展</w:t>
            </w:r>
          </w:p>
        </w:tc>
      </w:tr>
      <w:tr>
        <w:tblPrEx>
          <w:tblCellMar>
            <w:top w:w="0" w:type="dxa"/>
            <w:left w:w="108" w:type="dxa"/>
            <w:bottom w:w="0" w:type="dxa"/>
            <w:right w:w="108" w:type="dxa"/>
          </w:tblCellMar>
        </w:tblPrEx>
        <w:trPr>
          <w:trHeight w:val="438" w:hRule="atLeast"/>
        </w:trPr>
        <w:tc>
          <w:tcPr>
            <w:tcW w:w="2390"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备注</w:t>
            </w:r>
          </w:p>
        </w:tc>
        <w:tc>
          <w:tcPr>
            <w:tcW w:w="7325" w:type="dxa"/>
            <w:tcBorders>
              <w:top w:val="nil"/>
              <w:left w:val="nil"/>
              <w:bottom w:val="single" w:color="auto" w:sz="4" w:space="0"/>
              <w:right w:val="single" w:color="auto" w:sz="4" w:space="0"/>
            </w:tcBorders>
            <w:vAlign w:val="center"/>
          </w:tcPr>
          <w:p>
            <w:pPr>
              <w:widowControl/>
              <w:spacing w:line="440" w:lineRule="exact"/>
              <w:jc w:val="left"/>
              <w:rPr>
                <w:rFonts w:ascii="仿宋_GB2312" w:eastAsia="仿宋_GB2312" w:cs="宋体"/>
                <w:kern w:val="0"/>
                <w:sz w:val="28"/>
                <w:szCs w:val="28"/>
              </w:rPr>
            </w:pPr>
            <w:r>
              <w:rPr>
                <w:rFonts w:hint="eastAsia" w:ascii="仿宋_GB2312" w:eastAsia="仿宋_GB2312" w:cs="宋体"/>
                <w:kern w:val="0"/>
                <w:sz w:val="28"/>
                <w:szCs w:val="28"/>
              </w:rPr>
              <w:t>　</w:t>
            </w:r>
          </w:p>
        </w:tc>
      </w:tr>
    </w:tbl>
    <w:p>
      <w:pPr>
        <w:spacing w:line="440" w:lineRule="exact"/>
        <w:rPr>
          <w:rFonts w:ascii="仿宋_GB2312" w:eastAsia="仿宋_GB2312"/>
          <w:sz w:val="32"/>
          <w:szCs w:val="32"/>
        </w:rPr>
      </w:pPr>
      <w:r>
        <w:rPr>
          <w:rFonts w:hint="eastAsia" w:ascii="仿宋_GB2312" w:eastAsia="仿宋_GB2312"/>
          <w:sz w:val="32"/>
          <w:szCs w:val="32"/>
        </w:rPr>
        <w:t xml:space="preserve"> </w:t>
      </w:r>
    </w:p>
    <w:tbl>
      <w:tblPr>
        <w:tblStyle w:val="2"/>
        <w:tblW w:w="9781" w:type="dxa"/>
        <w:tblInd w:w="-601" w:type="dxa"/>
        <w:tblLayout w:type="fixed"/>
        <w:tblCellMar>
          <w:top w:w="0" w:type="dxa"/>
          <w:left w:w="108" w:type="dxa"/>
          <w:bottom w:w="0" w:type="dxa"/>
          <w:right w:w="108" w:type="dxa"/>
        </w:tblCellMar>
      </w:tblPr>
      <w:tblGrid>
        <w:gridCol w:w="2294"/>
        <w:gridCol w:w="140"/>
        <w:gridCol w:w="7347"/>
      </w:tblGrid>
      <w:tr>
        <w:tblPrEx>
          <w:tblCellMar>
            <w:top w:w="0" w:type="dxa"/>
            <w:left w:w="108" w:type="dxa"/>
            <w:bottom w:w="0" w:type="dxa"/>
            <w:right w:w="108" w:type="dxa"/>
          </w:tblCellMar>
        </w:tblPrEx>
        <w:trPr>
          <w:trHeight w:val="621" w:hRule="atLeast"/>
        </w:trPr>
        <w:tc>
          <w:tcPr>
            <w:tcW w:w="9781" w:type="dxa"/>
            <w:gridSpan w:val="3"/>
            <w:tcBorders>
              <w:top w:val="nil"/>
              <w:left w:val="nil"/>
              <w:bottom w:val="nil"/>
              <w:right w:val="nil"/>
            </w:tcBorders>
            <w:vAlign w:val="center"/>
          </w:tcPr>
          <w:p>
            <w:pPr>
              <w:widowControl/>
              <w:ind w:firstLine="2570" w:firstLineChars="640"/>
              <w:rPr>
                <w:rFonts w:ascii="宋体" w:hAnsi="宋体"/>
                <w:b/>
                <w:bCs/>
                <w:kern w:val="0"/>
                <w:sz w:val="40"/>
                <w:szCs w:val="40"/>
              </w:rPr>
            </w:pPr>
            <w:r>
              <w:rPr>
                <w:rFonts w:hint="eastAsia" w:ascii="宋体" w:hAnsi="宋体"/>
                <w:b/>
                <w:bCs/>
                <w:kern w:val="0"/>
                <w:sz w:val="40"/>
                <w:szCs w:val="40"/>
              </w:rPr>
              <w:t>随机抽查事项清单（二）</w:t>
            </w:r>
          </w:p>
        </w:tc>
      </w:tr>
      <w:tr>
        <w:tblPrEx>
          <w:tblCellMar>
            <w:top w:w="0" w:type="dxa"/>
            <w:left w:w="108" w:type="dxa"/>
            <w:bottom w:w="0" w:type="dxa"/>
            <w:right w:w="108" w:type="dxa"/>
          </w:tblCellMar>
        </w:tblPrEx>
        <w:trPr>
          <w:trHeight w:val="405" w:hRule="atLeast"/>
        </w:trPr>
        <w:tc>
          <w:tcPr>
            <w:tcW w:w="22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事项</w:t>
            </w:r>
          </w:p>
        </w:tc>
        <w:tc>
          <w:tcPr>
            <w:tcW w:w="748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内容</w:t>
            </w:r>
          </w:p>
        </w:tc>
      </w:tr>
      <w:tr>
        <w:tblPrEx>
          <w:tblCellMar>
            <w:top w:w="0" w:type="dxa"/>
            <w:left w:w="108" w:type="dxa"/>
            <w:bottom w:w="0" w:type="dxa"/>
            <w:right w:w="108" w:type="dxa"/>
          </w:tblCellMar>
        </w:tblPrEx>
        <w:trPr>
          <w:trHeight w:val="405"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名称</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对民办非企业的监督管理</w:t>
            </w:r>
          </w:p>
        </w:tc>
      </w:tr>
      <w:tr>
        <w:tblPrEx>
          <w:tblCellMar>
            <w:top w:w="0" w:type="dxa"/>
            <w:left w:w="108" w:type="dxa"/>
            <w:bottom w:w="0" w:type="dxa"/>
            <w:right w:w="108" w:type="dxa"/>
          </w:tblCellMar>
        </w:tblPrEx>
        <w:trPr>
          <w:trHeight w:val="1995"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主要内容</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 xml:space="preserve">对民办非企业成立、变更、注销的登记或者备案进行监督检查;市级民办非企业换届或者更换法定代表人之前的财务审计情况进行监督检查；实施年度检查，对市级民办非企业违反《民办非企业单位登记管理暂行条例》的其他行为进行监督检查。 </w:t>
            </w:r>
          </w:p>
        </w:tc>
      </w:tr>
      <w:tr>
        <w:tblPrEx>
          <w:tblCellMar>
            <w:top w:w="0" w:type="dxa"/>
            <w:left w:w="108" w:type="dxa"/>
            <w:bottom w:w="0" w:type="dxa"/>
            <w:right w:w="108" w:type="dxa"/>
          </w:tblCellMar>
        </w:tblPrEx>
        <w:trPr>
          <w:trHeight w:val="5568"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依据</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 xml:space="preserve">     1.《民办非企业单位登记管理暂行条例》（国务院令第251号）</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第五条 国务院民政部门和县级以上地方各级人民政府民政部门是本级人民政府的民办非企业单位登记管理机关（以下简称登记管理机关）。</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第十九条 登记管理机关履行下列监督管理职责：</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（一）负责民办非企业单位的成立、变更、注销登记；</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（二）对民办非企业单位实施年度检查；</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（三）对民办非企业单位违反本条例的问题进行监督检查，对民办非企业单位违反本条例的行为给予行政处罚。</w:t>
            </w:r>
            <w:r>
              <w:rPr>
                <w:rFonts w:hint="eastAsia" w:ascii="仿宋_GB2312" w:eastAsia="仿宋_GB2312" w:cs="宋体"/>
                <w:kern w:val="0"/>
                <w:sz w:val="28"/>
                <w:szCs w:val="28"/>
              </w:rPr>
              <w:br w:type="textWrapping"/>
            </w:r>
            <w:r>
              <w:rPr>
                <w:rFonts w:hint="eastAsia" w:ascii="仿宋_GB2312" w:eastAsia="仿宋_GB2312" w:cs="宋体"/>
                <w:kern w:val="0"/>
                <w:sz w:val="28"/>
                <w:szCs w:val="28"/>
              </w:rPr>
              <w:t xml:space="preserve">   </w:t>
            </w:r>
            <w:r>
              <w:rPr>
                <w:rFonts w:hint="eastAsia" w:ascii="仿宋_GB2312" w:eastAsia="仿宋_GB2312" w:cs="宋体"/>
                <w:spacing w:val="-10"/>
                <w:kern w:val="0"/>
                <w:sz w:val="28"/>
                <w:szCs w:val="28"/>
              </w:rPr>
              <w:t xml:space="preserve"> 2.《民办非企业单位名称管理暂行规定》（民发【1999】129号）</w:t>
            </w:r>
            <w:r>
              <w:rPr>
                <w:rFonts w:hint="eastAsia" w:ascii="仿宋_GB2312" w:eastAsia="仿宋_GB2312" w:cs="宋体"/>
                <w:spacing w:val="-10"/>
                <w:kern w:val="0"/>
                <w:sz w:val="28"/>
                <w:szCs w:val="28"/>
              </w:rPr>
              <w:br w:type="textWrapping"/>
            </w:r>
            <w:r>
              <w:rPr>
                <w:rFonts w:hint="eastAsia" w:ascii="仿宋_GB2312" w:eastAsia="仿宋_GB2312" w:cs="宋体"/>
                <w:kern w:val="0"/>
                <w:sz w:val="28"/>
                <w:szCs w:val="28"/>
              </w:rPr>
              <w:t xml:space="preserve">    第二条第一款：民办非企业单位登记管理机关负责民办非企业单位名称的核准登记，监督管理其名称的使用，保护其名称权。</w:t>
            </w:r>
          </w:p>
        </w:tc>
      </w:tr>
      <w:tr>
        <w:tblPrEx>
          <w:tblCellMar>
            <w:top w:w="0" w:type="dxa"/>
            <w:left w:w="108" w:type="dxa"/>
            <w:bottom w:w="0" w:type="dxa"/>
            <w:right w:w="108" w:type="dxa"/>
          </w:tblCellMar>
        </w:tblPrEx>
        <w:trPr>
          <w:trHeight w:val="435"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责任主体</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福鼎市民政局</w:t>
            </w:r>
          </w:p>
        </w:tc>
      </w:tr>
      <w:tr>
        <w:tblPrEx>
          <w:tblCellMar>
            <w:top w:w="0" w:type="dxa"/>
            <w:left w:w="108" w:type="dxa"/>
            <w:bottom w:w="0" w:type="dxa"/>
            <w:right w:w="108" w:type="dxa"/>
          </w:tblCellMar>
        </w:tblPrEx>
        <w:trPr>
          <w:trHeight w:val="495"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执法人员</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随机抽取</w:t>
            </w:r>
          </w:p>
        </w:tc>
      </w:tr>
      <w:tr>
        <w:tblPrEx>
          <w:tblCellMar>
            <w:top w:w="0" w:type="dxa"/>
            <w:left w:w="108" w:type="dxa"/>
            <w:bottom w:w="0" w:type="dxa"/>
            <w:right w:w="108" w:type="dxa"/>
          </w:tblCellMar>
        </w:tblPrEx>
        <w:trPr>
          <w:trHeight w:val="780"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抽查对象及比例</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市级民办非企业，比例5%。随机抽取。</w:t>
            </w:r>
          </w:p>
        </w:tc>
      </w:tr>
      <w:tr>
        <w:tblPrEx>
          <w:tblCellMar>
            <w:top w:w="0" w:type="dxa"/>
            <w:left w:w="108" w:type="dxa"/>
            <w:bottom w:w="0" w:type="dxa"/>
            <w:right w:w="108" w:type="dxa"/>
          </w:tblCellMar>
        </w:tblPrEx>
        <w:trPr>
          <w:trHeight w:val="510"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抽查频次</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每年2次</w:t>
            </w:r>
          </w:p>
        </w:tc>
      </w:tr>
      <w:tr>
        <w:tblPrEx>
          <w:tblCellMar>
            <w:top w:w="0" w:type="dxa"/>
            <w:left w:w="108" w:type="dxa"/>
            <w:bottom w:w="0" w:type="dxa"/>
            <w:right w:w="108" w:type="dxa"/>
          </w:tblCellMar>
        </w:tblPrEx>
        <w:trPr>
          <w:trHeight w:val="560"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抽查方式</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书面检查、实地检查</w:t>
            </w:r>
          </w:p>
        </w:tc>
      </w:tr>
      <w:tr>
        <w:tblPrEx>
          <w:tblCellMar>
            <w:top w:w="0" w:type="dxa"/>
            <w:left w:w="108" w:type="dxa"/>
            <w:bottom w:w="0" w:type="dxa"/>
            <w:right w:w="108" w:type="dxa"/>
          </w:tblCellMar>
        </w:tblPrEx>
        <w:trPr>
          <w:trHeight w:val="614"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进度安排</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由相关业务股室结合工作实际开展</w:t>
            </w:r>
          </w:p>
        </w:tc>
      </w:tr>
      <w:tr>
        <w:tblPrEx>
          <w:tblCellMar>
            <w:top w:w="0" w:type="dxa"/>
            <w:left w:w="108" w:type="dxa"/>
            <w:bottom w:w="0" w:type="dxa"/>
            <w:right w:w="108" w:type="dxa"/>
          </w:tblCellMar>
        </w:tblPrEx>
        <w:trPr>
          <w:trHeight w:val="520" w:hRule="atLeast"/>
        </w:trPr>
        <w:tc>
          <w:tcPr>
            <w:tcW w:w="229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备注</w:t>
            </w:r>
          </w:p>
        </w:tc>
        <w:tc>
          <w:tcPr>
            <w:tcW w:w="7487"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　</w:t>
            </w:r>
          </w:p>
        </w:tc>
      </w:tr>
      <w:tr>
        <w:tblPrEx>
          <w:tblCellMar>
            <w:top w:w="0" w:type="dxa"/>
            <w:left w:w="108" w:type="dxa"/>
            <w:bottom w:w="0" w:type="dxa"/>
            <w:right w:w="108" w:type="dxa"/>
          </w:tblCellMar>
        </w:tblPrEx>
        <w:trPr>
          <w:trHeight w:val="611" w:hRule="atLeast"/>
        </w:trPr>
        <w:tc>
          <w:tcPr>
            <w:tcW w:w="9781" w:type="dxa"/>
            <w:gridSpan w:val="3"/>
            <w:tcBorders>
              <w:top w:val="nil"/>
              <w:left w:val="nil"/>
              <w:bottom w:val="single" w:color="auto" w:sz="4" w:space="0"/>
              <w:right w:val="nil"/>
            </w:tcBorders>
            <w:vAlign w:val="center"/>
          </w:tcPr>
          <w:p>
            <w:pPr>
              <w:widowControl/>
              <w:jc w:val="left"/>
              <w:rPr>
                <w:rFonts w:ascii="宋体" w:hAnsi="宋体"/>
                <w:b/>
                <w:bCs/>
                <w:kern w:val="0"/>
                <w:sz w:val="40"/>
                <w:szCs w:val="40"/>
              </w:rPr>
            </w:pPr>
            <w:r>
              <w:rPr>
                <w:rFonts w:hint="eastAsia" w:ascii="宋体" w:hAnsi="宋体"/>
                <w:b/>
                <w:bCs/>
                <w:kern w:val="0"/>
                <w:sz w:val="40"/>
                <w:szCs w:val="40"/>
              </w:rPr>
              <w:t xml:space="preserve">            随机抽查事项清单（三）</w:t>
            </w:r>
          </w:p>
        </w:tc>
      </w:tr>
      <w:tr>
        <w:tblPrEx>
          <w:tblCellMar>
            <w:top w:w="0" w:type="dxa"/>
            <w:left w:w="108" w:type="dxa"/>
            <w:bottom w:w="0" w:type="dxa"/>
            <w:right w:w="108" w:type="dxa"/>
          </w:tblCellMar>
        </w:tblPrEx>
        <w:trPr>
          <w:trHeight w:val="405"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事项</w:t>
            </w:r>
          </w:p>
        </w:tc>
        <w:tc>
          <w:tcPr>
            <w:tcW w:w="7347" w:type="dxa"/>
            <w:tcBorders>
              <w:top w:val="nil"/>
              <w:left w:val="nil"/>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内容</w:t>
            </w:r>
          </w:p>
        </w:tc>
      </w:tr>
      <w:tr>
        <w:tblPrEx>
          <w:tblCellMar>
            <w:top w:w="0" w:type="dxa"/>
            <w:left w:w="108" w:type="dxa"/>
            <w:bottom w:w="0" w:type="dxa"/>
            <w:right w:w="108" w:type="dxa"/>
          </w:tblCellMar>
        </w:tblPrEx>
        <w:trPr>
          <w:trHeight w:val="405"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名称</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 xml:space="preserve">对养老机构的监督检查 </w:t>
            </w:r>
          </w:p>
        </w:tc>
      </w:tr>
      <w:tr>
        <w:tblPrEx>
          <w:tblCellMar>
            <w:top w:w="0" w:type="dxa"/>
            <w:left w:w="108" w:type="dxa"/>
            <w:bottom w:w="0" w:type="dxa"/>
            <w:right w:w="108" w:type="dxa"/>
          </w:tblCellMar>
        </w:tblPrEx>
        <w:trPr>
          <w:trHeight w:val="1034"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主要内容</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lang w:val="en-US" w:eastAsia="zh-CN"/>
              </w:rPr>
              <w:t>1</w:t>
            </w:r>
            <w:r>
              <w:rPr>
                <w:rFonts w:hint="eastAsia" w:ascii="仿宋_GB2312" w:eastAsia="仿宋_GB2312" w:cs="宋体"/>
                <w:kern w:val="0"/>
                <w:sz w:val="28"/>
                <w:szCs w:val="28"/>
              </w:rPr>
              <w:t>.抽查养老机构是否有提交年度报告，报告是否完整；</w:t>
            </w:r>
            <w:r>
              <w:rPr>
                <w:rFonts w:hint="eastAsia" w:ascii="仿宋_GB2312" w:eastAsia="仿宋_GB2312" w:cs="宋体"/>
                <w:kern w:val="0"/>
                <w:sz w:val="28"/>
                <w:szCs w:val="28"/>
              </w:rPr>
              <w:br w:type="textWrapping"/>
            </w:r>
            <w:r>
              <w:rPr>
                <w:rFonts w:hint="eastAsia" w:ascii="仿宋_GB2312" w:eastAsia="仿宋_GB2312" w:cs="宋体"/>
                <w:kern w:val="0"/>
                <w:sz w:val="28"/>
                <w:szCs w:val="28"/>
                <w:lang w:val="en-US" w:eastAsia="zh-CN"/>
              </w:rPr>
              <w:t>2</w:t>
            </w:r>
            <w:r>
              <w:rPr>
                <w:rFonts w:hint="eastAsia" w:ascii="仿宋_GB2312" w:eastAsia="仿宋_GB2312" w:cs="宋体"/>
                <w:kern w:val="0"/>
                <w:sz w:val="28"/>
                <w:szCs w:val="28"/>
              </w:rPr>
              <w:t>.抽查养老机构是否依据《养老机构管理办法》开展运营。</w:t>
            </w:r>
          </w:p>
        </w:tc>
      </w:tr>
      <w:tr>
        <w:tblPrEx>
          <w:tblCellMar>
            <w:top w:w="0" w:type="dxa"/>
            <w:left w:w="108" w:type="dxa"/>
            <w:bottom w:w="0" w:type="dxa"/>
            <w:right w:w="108" w:type="dxa"/>
          </w:tblCellMar>
        </w:tblPrEx>
        <w:trPr>
          <w:trHeight w:val="5769"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依据</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《中华人民共和国老年人权益保障法》</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第四十四条 地方各级人民政府加强对本行政区域养老机构管理工作的领导，建立养老机构综合监管制度。</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县级以上人民政府民政部门负责养老机构的指导、监督和管理，其他有关部门依照职责分工对养老机构实施监督。</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第四十五条 县级以上人民政府民政部门依法履行监督检查职责，可以采取以下措施：</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（一）向养老机构和个人了解情况；</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（二）进入涉嫌违法的养老机构进行现场检查；</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（三）查阅或者复制有关合同、票据、账簿及其他有关资料；</w:t>
            </w:r>
          </w:p>
          <w:p>
            <w:pPr>
              <w:widowControl/>
              <w:spacing w:line="400" w:lineRule="exact"/>
              <w:jc w:val="left"/>
              <w:rPr>
                <w:rFonts w:hint="eastAsia" w:ascii="仿宋_GB2312" w:eastAsia="仿宋_GB2312" w:cs="宋体"/>
                <w:kern w:val="0"/>
                <w:sz w:val="28"/>
                <w:szCs w:val="28"/>
              </w:rPr>
            </w:pPr>
            <w:r>
              <w:rPr>
                <w:rFonts w:hint="eastAsia" w:ascii="仿宋_GB2312" w:eastAsia="仿宋_GB2312" w:cs="宋体"/>
                <w:kern w:val="0"/>
                <w:sz w:val="28"/>
                <w:szCs w:val="28"/>
              </w:rPr>
              <w:t xml:space="preserve">    （四）发现养老机构存在可能危及人身健康和生命财产安全风险的，责令限期改正，逾期不改正的，责令停业整顿。</w:t>
            </w:r>
          </w:p>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 xml:space="preserve">    县级以上人民政府民政部门调查养老机构涉嫌违法的行为，应当遵守《中华人民共和国行政强制法》和其他有关法律、行政法规的规定。</w:t>
            </w:r>
          </w:p>
        </w:tc>
      </w:tr>
      <w:tr>
        <w:tblPrEx>
          <w:tblCellMar>
            <w:top w:w="0" w:type="dxa"/>
            <w:left w:w="108" w:type="dxa"/>
            <w:bottom w:w="0" w:type="dxa"/>
            <w:right w:w="108" w:type="dxa"/>
          </w:tblCellMar>
        </w:tblPrEx>
        <w:trPr>
          <w:trHeight w:val="329"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责任主体</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福鼎市民政局</w:t>
            </w:r>
          </w:p>
        </w:tc>
      </w:tr>
      <w:tr>
        <w:tblPrEx>
          <w:tblCellMar>
            <w:top w:w="0" w:type="dxa"/>
            <w:left w:w="108" w:type="dxa"/>
            <w:bottom w:w="0" w:type="dxa"/>
            <w:right w:w="108" w:type="dxa"/>
          </w:tblCellMar>
        </w:tblPrEx>
        <w:trPr>
          <w:trHeight w:val="269"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执法人员</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随机抽取</w:t>
            </w:r>
          </w:p>
        </w:tc>
      </w:tr>
      <w:tr>
        <w:tblPrEx>
          <w:tblCellMar>
            <w:top w:w="0" w:type="dxa"/>
            <w:left w:w="108" w:type="dxa"/>
            <w:bottom w:w="0" w:type="dxa"/>
            <w:right w:w="108" w:type="dxa"/>
          </w:tblCellMar>
        </w:tblPrEx>
        <w:trPr>
          <w:trHeight w:val="480"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抽查对象及比例</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乡镇敬老院，比例10%。随机抽取。</w:t>
            </w:r>
          </w:p>
        </w:tc>
      </w:tr>
      <w:tr>
        <w:tblPrEx>
          <w:tblCellMar>
            <w:top w:w="0" w:type="dxa"/>
            <w:left w:w="108" w:type="dxa"/>
            <w:bottom w:w="0" w:type="dxa"/>
            <w:right w:w="108" w:type="dxa"/>
          </w:tblCellMar>
        </w:tblPrEx>
        <w:trPr>
          <w:trHeight w:val="584"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抽查频次</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每年2次</w:t>
            </w:r>
          </w:p>
        </w:tc>
      </w:tr>
      <w:tr>
        <w:tblPrEx>
          <w:tblCellMar>
            <w:top w:w="0" w:type="dxa"/>
            <w:left w:w="108" w:type="dxa"/>
            <w:bottom w:w="0" w:type="dxa"/>
            <w:right w:w="108" w:type="dxa"/>
          </w:tblCellMar>
        </w:tblPrEx>
        <w:trPr>
          <w:trHeight w:val="525"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抽查方式</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书面抽查、实地抽查</w:t>
            </w:r>
          </w:p>
        </w:tc>
      </w:tr>
      <w:tr>
        <w:tblPrEx>
          <w:tblCellMar>
            <w:top w:w="0" w:type="dxa"/>
            <w:left w:w="108" w:type="dxa"/>
            <w:bottom w:w="0" w:type="dxa"/>
            <w:right w:w="108" w:type="dxa"/>
          </w:tblCellMar>
        </w:tblPrEx>
        <w:trPr>
          <w:trHeight w:val="703"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进度安排</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r>
              <w:rPr>
                <w:rFonts w:hint="eastAsia" w:ascii="仿宋_GB2312" w:eastAsia="仿宋_GB2312" w:cs="宋体"/>
                <w:kern w:val="0"/>
                <w:sz w:val="28"/>
                <w:szCs w:val="28"/>
              </w:rPr>
              <w:t>由相关业务股室结合工作实际开展</w:t>
            </w:r>
          </w:p>
        </w:tc>
      </w:tr>
      <w:tr>
        <w:tblPrEx>
          <w:tblCellMar>
            <w:top w:w="0" w:type="dxa"/>
            <w:left w:w="108" w:type="dxa"/>
            <w:bottom w:w="0" w:type="dxa"/>
            <w:right w:w="108" w:type="dxa"/>
          </w:tblCellMar>
        </w:tblPrEx>
        <w:trPr>
          <w:trHeight w:val="770" w:hRule="atLeast"/>
        </w:trPr>
        <w:tc>
          <w:tcPr>
            <w:tcW w:w="2434"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eastAsia="仿宋_GB2312" w:cs="宋体"/>
                <w:b/>
                <w:bCs/>
                <w:kern w:val="0"/>
                <w:sz w:val="28"/>
                <w:szCs w:val="28"/>
              </w:rPr>
            </w:pPr>
            <w:r>
              <w:rPr>
                <w:rFonts w:hint="eastAsia" w:ascii="仿宋_GB2312" w:eastAsia="仿宋_GB2312" w:cs="宋体"/>
                <w:b/>
                <w:bCs/>
                <w:kern w:val="0"/>
                <w:sz w:val="28"/>
                <w:szCs w:val="28"/>
              </w:rPr>
              <w:t>备注</w:t>
            </w:r>
          </w:p>
        </w:tc>
        <w:tc>
          <w:tcPr>
            <w:tcW w:w="7347" w:type="dxa"/>
            <w:tcBorders>
              <w:top w:val="nil"/>
              <w:left w:val="nil"/>
              <w:bottom w:val="single" w:color="auto" w:sz="4" w:space="0"/>
              <w:right w:val="single" w:color="auto" w:sz="4" w:space="0"/>
            </w:tcBorders>
            <w:vAlign w:val="center"/>
          </w:tcPr>
          <w:p>
            <w:pPr>
              <w:widowControl/>
              <w:spacing w:line="400" w:lineRule="exact"/>
              <w:jc w:val="left"/>
              <w:rPr>
                <w:rFonts w:ascii="仿宋_GB2312" w:eastAsia="仿宋_GB2312" w:cs="宋体"/>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20C"/>
    <w:rsid w:val="004C563C"/>
    <w:rsid w:val="005729F8"/>
    <w:rsid w:val="0067080B"/>
    <w:rsid w:val="00B4220C"/>
    <w:rsid w:val="00B64CE7"/>
    <w:rsid w:val="00DD68A2"/>
    <w:rsid w:val="00F2667A"/>
    <w:rsid w:val="198E36CF"/>
    <w:rsid w:val="681B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244</Words>
  <Characters>1391</Characters>
  <Lines>11</Lines>
  <Paragraphs>3</Paragraphs>
  <TotalTime>6</TotalTime>
  <ScaleCrop>false</ScaleCrop>
  <LinksUpToDate>false</LinksUpToDate>
  <CharactersWithSpaces>1632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2018-10-09T02:01:00Z</dcterms:created>
  <dc:creator>Asus</dc:creator>
  <cp:lastModifiedBy>Administrator</cp:lastModifiedBy>
  <dcterms:modified xsi:type="dcterms:W3CDTF">2019-12-27T01:26:03Z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