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国民经济主要指标</w:t>
      </w:r>
    </w:p>
    <w:p>
      <w:pPr>
        <w:ind w:firstLine="5580" w:firstLineChars="310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单位：万元</w:t>
      </w:r>
    </w:p>
    <w:tbl>
      <w:tblPr>
        <w:tblStyle w:val="3"/>
        <w:tblW w:w="489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2"/>
        <w:gridCol w:w="1039"/>
        <w:gridCol w:w="85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none" w:color="000000"/>
              </w:rPr>
              <w:t>1-</w:t>
            </w:r>
            <w:r>
              <w:rPr>
                <w:rFonts w:hint="eastAsia"/>
                <w:color w:val="000000"/>
                <w:sz w:val="18"/>
                <w:szCs w:val="18"/>
                <w:u w:val="none" w:color="000000"/>
              </w:rPr>
              <w:t>9月</w:t>
            </w:r>
          </w:p>
          <w:p>
            <w:pPr>
              <w:spacing w:line="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累  计</w:t>
            </w:r>
          </w:p>
        </w:tc>
        <w:tc>
          <w:tcPr>
            <w:tcW w:w="85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 上 年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同期增长(%)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single" w:color="auto" w:sz="8" w:space="0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地区生产总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值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3157460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0.2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农林牧渔业总产值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622599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3.2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90" w:firstLineChars="50"/>
              <w:jc w:val="left"/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规模以上工业增加值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-20.5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固定资产投资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15.5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社会消费品零售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1527761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7.5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18" w:firstLineChars="69"/>
              <w:jc w:val="left"/>
              <w:rPr>
                <w:rFonts w:ascii="宋体" w:hAnsi="宋体"/>
                <w:spacing w:val="-4"/>
                <w:sz w:val="18"/>
                <w:szCs w:val="18"/>
              </w:rPr>
            </w:pPr>
            <w:bookmarkStart w:id="0" w:name="OLE_LINK10" w:colFirst="1" w:colLast="1"/>
            <w:bookmarkStart w:id="1" w:name="OLE_LINK11" w:colFirst="2" w:colLast="2"/>
            <w:r>
              <w:rPr>
                <w:rFonts w:ascii="宋体" w:hAnsi="宋体"/>
                <w:color w:val="000000"/>
                <w:spacing w:val="-4"/>
                <w:sz w:val="18"/>
                <w:szCs w:val="18"/>
                <w:u w:val="none" w:color="000000"/>
              </w:rPr>
              <w:t xml:space="preserve">实际利用外资(验资口径)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63.0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一般公共预算总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301395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45.9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282" w:firstLineChars="157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#地方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收入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198467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53.1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一般公共预算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支出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295738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-7.6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bookmarkStart w:id="2" w:name="OLE_LINK6" w:colFirst="0" w:colLast="0"/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存款月末余额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3549773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金融机构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人民币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贷款月末余额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5488455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8.9 </w:t>
            </w:r>
          </w:p>
        </w:tc>
      </w:tr>
      <w:bookmarkEnd w:id="2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城镇居民人均可支配收入(元)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35406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10.0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3002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124" w:firstLineChars="69"/>
              <w:jc w:val="left"/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农村居民人均</w:t>
            </w:r>
            <w:r>
              <w:rPr>
                <w:rFonts w:ascii="宋体" w:hAnsi="宋体"/>
                <w:color w:val="000000"/>
                <w:sz w:val="18"/>
                <w:szCs w:val="18"/>
                <w:u w:val="none" w:color="000000"/>
              </w:rPr>
              <w:t>可支配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none" w:color="000000"/>
              </w:rPr>
              <w:t>收入(元)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16712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14.3 </w:t>
            </w:r>
          </w:p>
        </w:tc>
      </w:tr>
      <w:bookmarkEnd w:id="0"/>
      <w:bookmarkEnd w:id="1"/>
    </w:tbl>
    <w:p>
      <w:pPr>
        <w:jc w:val="center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注：因统计方法制度改革，投资和工业数据仅体现增速。</w:t>
      </w:r>
    </w:p>
    <w:p>
      <w:pPr>
        <w:jc w:val="center"/>
        <w:rPr>
          <w:rFonts w:hint="eastAsia"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30A56"/>
    <w:rsid w:val="03C86D14"/>
    <w:rsid w:val="13D3024F"/>
    <w:rsid w:val="1CD44471"/>
    <w:rsid w:val="1E435CA1"/>
    <w:rsid w:val="273534C2"/>
    <w:rsid w:val="3AAB2B3E"/>
    <w:rsid w:val="42D443C6"/>
    <w:rsid w:val="5F230A56"/>
    <w:rsid w:val="70897379"/>
    <w:rsid w:val="7E0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2021-11-23T07:04:00Z</dcterms:created>
  <dc:creator>Administrator</dc:creator>
  <cp:lastModifiedBy>Administrator</cp:lastModifiedBy>
  <dcterms:modified xsi:type="dcterms:W3CDTF">2021-11-23T07:22:43Z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