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国民经济主要指标</w:t>
      </w:r>
    </w:p>
    <w:p>
      <w:pPr>
        <w:ind w:firstLine="5580" w:firstLineChars="3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单位：万元</w:t>
      </w:r>
    </w:p>
    <w:tbl>
      <w:tblPr>
        <w:tblStyle w:val="4"/>
        <w:tblW w:w="4899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2"/>
        <w:gridCol w:w="1039"/>
        <w:gridCol w:w="85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3002" w:type="dxa"/>
            <w:tcBorders>
              <w:top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none" w:color="000000"/>
              </w:rPr>
              <w:t>1-3月</w:t>
            </w:r>
          </w:p>
          <w:p>
            <w:pPr>
              <w:spacing w:line="6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累  计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 上 年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同期增长(%)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地区生产总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值</w:t>
            </w:r>
          </w:p>
        </w:tc>
        <w:tc>
          <w:tcPr>
            <w:tcW w:w="1039" w:type="dxa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942210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农林牧渔业总产值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90" w:firstLineChars="50"/>
              <w:jc w:val="left"/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规模以上工业增加值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固定资产投资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社会消费品零售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总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额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524481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18" w:firstLineChars="69"/>
              <w:jc w:val="left"/>
              <w:rPr>
                <w:rFonts w:ascii="宋体" w:hAnsi="宋体"/>
                <w:spacing w:val="-4"/>
                <w:sz w:val="18"/>
                <w:szCs w:val="18"/>
              </w:rPr>
            </w:pPr>
            <w:bookmarkStart w:id="0" w:name="OLE_LINK10" w:colFirst="1" w:colLast="1"/>
            <w:bookmarkStart w:id="1" w:name="OLE_LINK11" w:colFirst="2" w:colLast="2"/>
            <w:r>
              <w:rPr>
                <w:rFonts w:ascii="宋体" w:hAnsi="宋体"/>
                <w:color w:val="000000"/>
                <w:spacing w:val="-4"/>
                <w:sz w:val="18"/>
                <w:szCs w:val="18"/>
                <w:u w:val="none" w:color="000000"/>
              </w:rPr>
              <w:t xml:space="preserve">实际利用外资(验资口径)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一般公共预算总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收入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97984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282" w:firstLineChars="157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#地方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一般公共预算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收入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一般公共预算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支出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bookmarkStart w:id="2" w:name="OLE_LINK6" w:colFirst="0" w:colLast="0"/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金融机构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人民币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存款月末余额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3465224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金融机构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人民币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贷款月末余额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5357001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</w:p>
        </w:tc>
      </w:tr>
      <w:bookmarkEnd w:id="2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城镇居民人均可支配收入(元)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农村居民人均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可支配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收入(元)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21.4</w:t>
            </w:r>
          </w:p>
        </w:tc>
      </w:tr>
      <w:bookmarkEnd w:id="0"/>
      <w:bookmarkEnd w:id="1"/>
    </w:tbl>
    <w:p>
      <w:pPr>
        <w:jc w:val="center"/>
      </w:pPr>
      <w:r>
        <w:rPr>
          <w:rFonts w:hint="eastAsia" w:ascii="宋体" w:hAnsi="宋体"/>
          <w:sz w:val="18"/>
          <w:szCs w:val="18"/>
        </w:rPr>
        <w:t>注：因统计方法制度改革，投资和工业数据仅体现增速。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30A56"/>
    <w:rsid w:val="1B3008F3"/>
    <w:rsid w:val="1E435CA1"/>
    <w:rsid w:val="3AAB2B3E"/>
    <w:rsid w:val="5F23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2021-11-23T07:04:00Z</dcterms:created>
  <dc:creator>Administrator</dc:creator>
  <cp:lastModifiedBy>Administrator</cp:lastModifiedBy>
  <dcterms:modified xsi:type="dcterms:W3CDTF">2021-11-23T07:24:59Z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