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“红旗窗口”和“服务之星”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评比标准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被评为季度“红旗窗口”单位应具备如下条件：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每月窗口考评分均要达到1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窗口模范遵守执行十三项机关效能建设基本制度和办事制度，认真完成中心管委会布置的各项工作任务，成绩突出。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窗口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能及时指导、协助完成乡镇便民服务中心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和街道党群服务中心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涉及对应部门相关任务的。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凡出现以下情形之一的，取消“红旗窗口”评比资格：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.窗口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违反“马上就办”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廉洁自律规定，被效能告诫或被党政纪处理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2.窗口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被效能办和中心通报或告诫的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3.窗口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落实“最多跑一趟”“一趟不用跑”，让群众跑多趟的。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4.窗口因落实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“四心”服务不到位问题被投诉的。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窗口不重视服务礼仪，经第三方督导发现多人次达不到服务礼仪标准考核分80分的（标准参照&lt;</w:t>
      </w:r>
      <w:r>
        <w:rPr>
          <w:rFonts w:hint="eastAsia" w:ascii="仿宋_GB2312" w:eastAsia="仿宋_GB2312"/>
          <w:sz w:val="32"/>
          <w:szCs w:val="32"/>
        </w:rPr>
        <w:t>鼎行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综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&gt;）。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被新闻媒体批评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曝光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、被评为季度“服务之星”窗口工作人员应具备以下条件：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到中心办公出勤率达100%。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模范遵守执行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中心效能十三项制度和办事制度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，工作成绩突出，且每月考核分不低于103分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（需符合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E1规定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凡出现以下情形之一的，取消“服务之星”评比资格：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违反“马上就办”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廉洁自律规定，被效能告诫或被党政纪处理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不认真落实“最多跑一趟”“一趟不用跑”，让群众跑多趟的。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3.个人因落实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“四心”服务不到位问题被投诉的。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4.个人经服务礼仪第三方督导发现不达标，第二次督导仍达不到服务礼仪标准考核分80分的（标准参照&lt;</w:t>
      </w:r>
      <w:r>
        <w:rPr>
          <w:rFonts w:hint="eastAsia" w:ascii="仿宋_GB2312" w:eastAsia="仿宋_GB2312"/>
          <w:sz w:val="32"/>
          <w:szCs w:val="32"/>
        </w:rPr>
        <w:t>鼎行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综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&gt;）。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三、年度“星级红旗窗口”和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星级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服务之星”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候选对象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应具备以下条件：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1.当年度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至少获得2次“红旗窗口”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且符合季度“红旗窗口”所有条件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的窗口作为年度“星级服务窗口”评比候选对象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2.当年度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至少获得2次“服务之星”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且符合季度“服务之星”所有条件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的窗口A岗工作人员，作为年度“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星级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服务之星”评比候选对象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tbl>
      <w:tblPr>
        <w:tblStyle w:val="4"/>
        <w:tblpPr w:leftFromText="180" w:rightFromText="180" w:vertAnchor="text" w:horzAnchor="page" w:tblpX="1515" w:tblpY="3741"/>
        <w:tblOverlap w:val="never"/>
        <w:tblW w:w="918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19" w:leftChars="133" w:hanging="840" w:hangingChars="300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抄送：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驻市政府办纪检监察组，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市效能办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福鼎市行政服务中心建设工作领导小组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95428"/>
    <w:rsid w:val="07E15174"/>
    <w:rsid w:val="093E406E"/>
    <w:rsid w:val="094E62BA"/>
    <w:rsid w:val="172B1551"/>
    <w:rsid w:val="28AD7552"/>
    <w:rsid w:val="37B36EF0"/>
    <w:rsid w:val="44F5559B"/>
    <w:rsid w:val="45004B38"/>
    <w:rsid w:val="4EE8030C"/>
    <w:rsid w:val="60E97E2D"/>
    <w:rsid w:val="63C41DAE"/>
    <w:rsid w:val="75C95428"/>
    <w:rsid w:val="79647A37"/>
    <w:rsid w:val="7A7E0E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2019-09-11T02:17:00Z</dcterms:created>
  <dc:creator>WPS_135273594</dc:creator>
  <cp:lastModifiedBy>Administrator</cp:lastModifiedBy>
  <cp:lastPrinted>2020-08-27T08:51:08Z</cp:lastPrinted>
  <dcterms:modified xsi:type="dcterms:W3CDTF">2020-08-27T09:08:04Z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