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700" w:lineRule="exact"/>
        <w:ind w:firstLine="0" w:firstLineChars="0"/>
        <w:jc w:val="center"/>
        <w:rPr>
          <w:rFonts w:ascii="Times New Roman" w:hAnsi="Times New Roman" w:eastAsia="方正小标宋简体" w:cs="Times New Roman"/>
          <w:color w:val="auto"/>
          <w:sz w:val="44"/>
          <w:szCs w:val="44"/>
          <w:u w:val="none"/>
        </w:rPr>
      </w:pPr>
      <w:bookmarkStart w:id="0" w:name="_top"/>
      <w:bookmarkEnd w:id="0"/>
      <w:bookmarkStart w:id="1" w:name="_Toc97653036"/>
      <w:bookmarkStart w:id="2" w:name="_Toc97206313"/>
    </w:p>
    <w:p>
      <w:pPr>
        <w:adjustRightInd/>
        <w:snapToGrid/>
        <w:spacing w:line="700" w:lineRule="exact"/>
        <w:ind w:firstLine="0" w:firstLineChars="0"/>
        <w:jc w:val="center"/>
        <w:rPr>
          <w:rFonts w:ascii="Times New Roman" w:hAnsi="Times New Roman" w:eastAsia="方正小标宋简体" w:cs="Times New Roman"/>
          <w:color w:val="auto"/>
          <w:sz w:val="44"/>
          <w:szCs w:val="44"/>
          <w:u w:val="none"/>
        </w:rPr>
      </w:pPr>
    </w:p>
    <w:p>
      <w:pPr>
        <w:adjustRightInd/>
        <w:snapToGrid/>
        <w:spacing w:line="240" w:lineRule="auto"/>
        <w:ind w:firstLine="0" w:firstLineChars="0"/>
        <w:rPr>
          <w:rFonts w:ascii="Times New Roman" w:hAnsi="Times New Roman" w:eastAsia="仿宋_GB2312" w:cs="Times New Roman"/>
          <w:color w:val="auto"/>
          <w:sz w:val="28"/>
          <w:szCs w:val="32"/>
          <w:u w:val="none"/>
        </w:rPr>
      </w:pPr>
    </w:p>
    <w:p>
      <w:pPr>
        <w:widowControl/>
        <w:adjustRightInd/>
        <w:snapToGrid w:val="0"/>
        <w:spacing w:line="240" w:lineRule="auto"/>
        <w:ind w:firstLine="0" w:firstLineChars="0"/>
        <w:jc w:val="center"/>
        <w:rPr>
          <w:rFonts w:hint="eastAsia" w:ascii="华文中宋" w:hAnsi="华文中宋" w:eastAsia="华文中宋" w:cs="Arial"/>
          <w:b/>
          <w:bCs/>
          <w:color w:val="auto"/>
          <w:sz w:val="52"/>
          <w:szCs w:val="40"/>
          <w:u w:val="none"/>
          <w:lang w:val="en-US" w:eastAsia="zh-CN"/>
        </w:rPr>
      </w:pPr>
      <w:r>
        <w:rPr>
          <w:rFonts w:hint="eastAsia" w:ascii="华文中宋" w:hAnsi="华文中宋" w:eastAsia="华文中宋" w:cs="Arial"/>
          <w:b/>
          <w:bCs/>
          <w:color w:val="auto"/>
          <w:sz w:val="52"/>
          <w:szCs w:val="40"/>
          <w:u w:val="none"/>
        </w:rPr>
        <w:t>福鼎市“十四五”</w:t>
      </w:r>
      <w:r>
        <w:rPr>
          <w:rFonts w:hint="eastAsia" w:ascii="华文中宋" w:hAnsi="华文中宋" w:eastAsia="华文中宋" w:cs="Arial"/>
          <w:b/>
          <w:bCs/>
          <w:color w:val="auto"/>
          <w:sz w:val="52"/>
          <w:szCs w:val="40"/>
          <w:u w:val="none"/>
          <w:lang w:val="en-US" w:eastAsia="zh-CN"/>
        </w:rPr>
        <w:t>地下水</w:t>
      </w:r>
    </w:p>
    <w:p>
      <w:pPr>
        <w:widowControl/>
        <w:adjustRightInd/>
        <w:snapToGrid w:val="0"/>
        <w:spacing w:line="240" w:lineRule="auto"/>
        <w:ind w:firstLine="0" w:firstLineChars="0"/>
        <w:jc w:val="center"/>
        <w:rPr>
          <w:rFonts w:hint="eastAsia" w:ascii="华文中宋" w:hAnsi="华文中宋" w:eastAsia="华文中宋" w:cs="Arial"/>
          <w:b/>
          <w:bCs/>
          <w:color w:val="auto"/>
          <w:sz w:val="52"/>
          <w:szCs w:val="40"/>
          <w:u w:val="none"/>
          <w:lang w:eastAsia="zh-CN"/>
        </w:rPr>
      </w:pPr>
      <w:r>
        <w:rPr>
          <w:rFonts w:hint="eastAsia" w:ascii="华文中宋" w:hAnsi="华文中宋" w:eastAsia="华文中宋" w:cs="Arial"/>
          <w:b/>
          <w:bCs/>
          <w:color w:val="auto"/>
          <w:sz w:val="52"/>
          <w:szCs w:val="40"/>
          <w:u w:val="none"/>
          <w:lang w:val="en-US" w:eastAsia="zh-CN"/>
        </w:rPr>
        <w:t>污染防治规划</w:t>
      </w:r>
    </w:p>
    <w:p>
      <w:pPr>
        <w:widowControl w:val="0"/>
        <w:adjustRightInd w:val="0"/>
        <w:snapToGrid w:val="0"/>
        <w:spacing w:line="360" w:lineRule="auto"/>
        <w:ind w:firstLine="0" w:firstLineChars="0"/>
        <w:jc w:val="center"/>
        <w:rPr>
          <w:rFonts w:ascii="Times New Roman" w:hAnsi="Times New Roman" w:eastAsia="楷体_GB2312" w:cs="Times New Roman"/>
          <w:b/>
          <w:bCs/>
          <w:color w:val="auto"/>
          <w:kern w:val="2"/>
          <w:sz w:val="32"/>
          <w:szCs w:val="32"/>
          <w:u w:val="none"/>
          <w:lang w:val="en-US" w:eastAsia="zh-CN" w:bidi="ar-SA"/>
        </w:rPr>
      </w:pPr>
      <w:bookmarkStart w:id="57" w:name="_GoBack"/>
      <w:bookmarkEnd w:id="57"/>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val="0"/>
        <w:adjustRightInd w:val="0"/>
        <w:snapToGrid w:val="0"/>
        <w:spacing w:line="560" w:lineRule="exact"/>
        <w:ind w:firstLine="720" w:firstLineChars="200"/>
        <w:jc w:val="center"/>
        <w:rPr>
          <w:rFonts w:ascii="Times New Roman" w:hAnsi="Times New Roman" w:eastAsia="仿宋_GB2312" w:cs="Times New Roman"/>
          <w:b/>
          <w:color w:val="auto"/>
          <w:kern w:val="2"/>
          <w:sz w:val="32"/>
          <w:szCs w:val="32"/>
          <w:u w:val="none"/>
          <w:lang w:val="en-US" w:eastAsia="zh-CN" w:bidi="ar-SA"/>
        </w:rPr>
      </w:pPr>
      <w:r>
        <w:rPr>
          <w:rFonts w:ascii="仿宋_GB2312" w:hAnsi="等线" w:eastAsia="仿宋_GB2312" w:cs="Times New Roman"/>
          <w:kern w:val="2"/>
          <w:sz w:val="36"/>
          <w:szCs w:val="36"/>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1351280</wp:posOffset>
                </wp:positionH>
                <wp:positionV relativeFrom="paragraph">
                  <wp:posOffset>76200</wp:posOffset>
                </wp:positionV>
                <wp:extent cx="2620645" cy="1189355"/>
                <wp:effectExtent l="0" t="0" r="8255" b="10795"/>
                <wp:wrapNone/>
                <wp:docPr id="16" name="文本框 16"/>
                <wp:cNvGraphicFramePr/>
                <a:graphic xmlns:a="http://schemas.openxmlformats.org/drawingml/2006/main">
                  <a:graphicData uri="http://schemas.microsoft.com/office/word/2010/wordprocessingShape">
                    <wps:wsp>
                      <wps:cNvSpPr txBox="1"/>
                      <wps:spPr>
                        <a:xfrm>
                          <a:off x="0" y="0"/>
                          <a:ext cx="2620645" cy="1189355"/>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300" w:lineRule="auto"/>
                              <w:ind w:left="0" w:leftChars="0" w:firstLine="0" w:firstLineChars="0"/>
                              <w:jc w:val="distribute"/>
                              <w:textAlignment w:val="auto"/>
                              <w:rPr>
                                <w:rFonts w:hint="default" w:ascii="Times New Roman" w:hAnsi="Times New Roman" w:eastAsia="黑体" w:cs="Times New Roman"/>
                                <w:b/>
                                <w:bCs/>
                                <w:color w:val="auto"/>
                                <w:sz w:val="36"/>
                                <w:szCs w:val="36"/>
                                <w:lang w:val="en-US" w:eastAsia="zh-CN"/>
                              </w:rPr>
                            </w:pPr>
                            <w:r>
                              <w:rPr>
                                <w:rFonts w:hint="eastAsia" w:ascii="Times New Roman" w:hAnsi="Times New Roman" w:eastAsia="黑体" w:cs="Times New Roman"/>
                                <w:b/>
                                <w:bCs/>
                                <w:color w:val="auto"/>
                                <w:sz w:val="36"/>
                                <w:szCs w:val="36"/>
                                <w:lang w:val="en-US" w:eastAsia="zh-CN"/>
                              </w:rPr>
                              <w:t>宁德市福鼎生态环境局</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firstLine="0" w:firstLineChars="0"/>
                              <w:jc w:val="distribute"/>
                              <w:textAlignment w:val="auto"/>
                              <w:rPr>
                                <w:rFonts w:hint="default" w:ascii="Times New Roman" w:hAnsi="Times New Roman" w:eastAsia="黑体" w:cs="Times New Roman"/>
                                <w:b/>
                                <w:bCs/>
                                <w:color w:val="auto"/>
                                <w:sz w:val="36"/>
                                <w:szCs w:val="36"/>
                                <w:lang w:val="en-US" w:eastAsia="zh-CN"/>
                              </w:rPr>
                            </w:pPr>
                            <w:r>
                              <w:rPr>
                                <w:rFonts w:hint="eastAsia" w:ascii="Times New Roman" w:hAnsi="Times New Roman" w:eastAsia="黑体" w:cs="Times New Roman"/>
                                <w:b/>
                                <w:bCs/>
                                <w:color w:val="auto"/>
                                <w:sz w:val="36"/>
                                <w:szCs w:val="36"/>
                                <w:lang w:val="en-US" w:eastAsia="zh-CN"/>
                              </w:rPr>
                              <w:t>福鼎市自然资源局</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firstLine="0" w:firstLineChars="0"/>
                              <w:jc w:val="distribute"/>
                              <w:textAlignment w:val="auto"/>
                              <w:rPr>
                                <w:rFonts w:hint="default" w:ascii="Times New Roman" w:hAnsi="Times New Roman" w:eastAsia="黑体" w:cs="Times New Roman"/>
                                <w:b/>
                                <w:bCs/>
                                <w:color w:val="auto"/>
                                <w:sz w:val="36"/>
                                <w:szCs w:val="36"/>
                                <w:lang w:val="en-US" w:eastAsia="zh-CN"/>
                              </w:rPr>
                            </w:pPr>
                            <w:r>
                              <w:rPr>
                                <w:rFonts w:hint="eastAsia" w:ascii="Times New Roman" w:hAnsi="Times New Roman" w:eastAsia="黑体" w:cs="Times New Roman"/>
                                <w:b/>
                                <w:bCs/>
                                <w:color w:val="auto"/>
                                <w:sz w:val="36"/>
                                <w:szCs w:val="36"/>
                                <w:lang w:val="en-US" w:eastAsia="zh-CN"/>
                              </w:rPr>
                              <w:t>福鼎市水利局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4pt;margin-top:6pt;height:93.65pt;width:206.35pt;z-index:251659264;mso-width-relative:page;mso-height-relative:page;" fillcolor="#FFFFFF" filled="t" stroked="f" coordsize="21600,21600" o:gfxdata="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YVt261QAAAAoB&#10;AAAPAAAAAAAAAAEAIAAAACIAAABkcnMvZG93bnJldi54bWxQSwECFAAUAAAACACHTuJAo2NCXlcC&#10;AACgBAAADgAAAAAAAAABACAAAAAkAQAAZHJzL2Uyb0RvYy54bWxQSwUGAAAAAAYABgBZAQAA7QUA&#10;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00" w:lineRule="auto"/>
                        <w:ind w:left="0" w:leftChars="0" w:firstLine="0" w:firstLineChars="0"/>
                        <w:jc w:val="distribute"/>
                        <w:textAlignment w:val="auto"/>
                        <w:rPr>
                          <w:rFonts w:hint="default" w:ascii="Times New Roman" w:hAnsi="Times New Roman" w:eastAsia="黑体" w:cs="Times New Roman"/>
                          <w:b/>
                          <w:bCs/>
                          <w:color w:val="auto"/>
                          <w:sz w:val="36"/>
                          <w:szCs w:val="36"/>
                          <w:lang w:val="en-US" w:eastAsia="zh-CN"/>
                        </w:rPr>
                      </w:pPr>
                      <w:r>
                        <w:rPr>
                          <w:rFonts w:hint="eastAsia" w:ascii="Times New Roman" w:hAnsi="Times New Roman" w:eastAsia="黑体" w:cs="Times New Roman"/>
                          <w:b/>
                          <w:bCs/>
                          <w:color w:val="auto"/>
                          <w:sz w:val="36"/>
                          <w:szCs w:val="36"/>
                          <w:lang w:val="en-US" w:eastAsia="zh-CN"/>
                        </w:rPr>
                        <w:t>宁德市福鼎生态环境局</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firstLine="0" w:firstLineChars="0"/>
                        <w:jc w:val="distribute"/>
                        <w:textAlignment w:val="auto"/>
                        <w:rPr>
                          <w:rFonts w:hint="default" w:ascii="Times New Roman" w:hAnsi="Times New Roman" w:eastAsia="黑体" w:cs="Times New Roman"/>
                          <w:b/>
                          <w:bCs/>
                          <w:color w:val="auto"/>
                          <w:sz w:val="36"/>
                          <w:szCs w:val="36"/>
                          <w:lang w:val="en-US" w:eastAsia="zh-CN"/>
                        </w:rPr>
                      </w:pPr>
                      <w:r>
                        <w:rPr>
                          <w:rFonts w:hint="eastAsia" w:ascii="Times New Roman" w:hAnsi="Times New Roman" w:eastAsia="黑体" w:cs="Times New Roman"/>
                          <w:b/>
                          <w:bCs/>
                          <w:color w:val="auto"/>
                          <w:sz w:val="36"/>
                          <w:szCs w:val="36"/>
                          <w:lang w:val="en-US" w:eastAsia="zh-CN"/>
                        </w:rPr>
                        <w:t>福鼎市自然资源局</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firstLine="0" w:firstLineChars="0"/>
                        <w:jc w:val="distribute"/>
                        <w:textAlignment w:val="auto"/>
                        <w:rPr>
                          <w:rFonts w:hint="default" w:ascii="Times New Roman" w:hAnsi="Times New Roman" w:eastAsia="黑体" w:cs="Times New Roman"/>
                          <w:b/>
                          <w:bCs/>
                          <w:color w:val="auto"/>
                          <w:sz w:val="36"/>
                          <w:szCs w:val="36"/>
                          <w:lang w:val="en-US" w:eastAsia="zh-CN"/>
                        </w:rPr>
                      </w:pPr>
                      <w:r>
                        <w:rPr>
                          <w:rFonts w:hint="eastAsia" w:ascii="Times New Roman" w:hAnsi="Times New Roman" w:eastAsia="黑体" w:cs="Times New Roman"/>
                          <w:b/>
                          <w:bCs/>
                          <w:color w:val="auto"/>
                          <w:sz w:val="36"/>
                          <w:szCs w:val="36"/>
                          <w:lang w:val="en-US" w:eastAsia="zh-CN"/>
                        </w:rPr>
                        <w:t>福鼎市水利局</w:t>
                      </w:r>
                    </w:p>
                  </w:txbxContent>
                </v:textbox>
              </v:shape>
            </w:pict>
          </mc:Fallback>
        </mc:AlternateContent>
      </w:r>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val="0"/>
        <w:adjustRightInd w:val="0"/>
        <w:snapToGrid w:val="0"/>
        <w:spacing w:line="560" w:lineRule="exact"/>
        <w:ind w:firstLine="643" w:firstLineChars="200"/>
        <w:jc w:val="center"/>
        <w:rPr>
          <w:rFonts w:ascii="Times New Roman" w:hAnsi="Times New Roman" w:eastAsia="仿宋_GB2312" w:cs="Times New Roman"/>
          <w:b/>
          <w:color w:val="auto"/>
          <w:kern w:val="2"/>
          <w:sz w:val="32"/>
          <w:szCs w:val="32"/>
          <w:u w:val="none"/>
          <w:lang w:val="en-US" w:eastAsia="zh-CN" w:bidi="ar-SA"/>
        </w:rPr>
      </w:pPr>
    </w:p>
    <w:p>
      <w:pPr>
        <w:widowControl/>
        <w:adjustRightInd/>
        <w:snapToGrid/>
        <w:spacing w:line="240" w:lineRule="auto"/>
        <w:ind w:firstLine="0" w:firstLineChars="0"/>
        <w:jc w:val="center"/>
        <w:rPr>
          <w:rFonts w:ascii="黑体" w:hAnsi="黑体" w:eastAsia="黑体" w:cs="Times New Roman"/>
          <w:b/>
          <w:bCs/>
          <w:color w:val="auto"/>
          <w:sz w:val="36"/>
          <w:szCs w:val="36"/>
          <w:u w:val="none"/>
        </w:rPr>
      </w:pPr>
    </w:p>
    <w:p>
      <w:pPr>
        <w:adjustRightInd w:val="0"/>
        <w:snapToGrid w:val="0"/>
        <w:ind w:firstLine="0" w:firstLineChars="0"/>
        <w:jc w:val="center"/>
        <w:rPr>
          <w:rFonts w:ascii="Times New Roman" w:hAnsi="Times New Roman" w:eastAsia="黑体" w:cs="Times New Roman"/>
          <w:b/>
          <w:color w:val="auto"/>
          <w:sz w:val="36"/>
          <w:szCs w:val="36"/>
          <w:u w:val="none"/>
        </w:rPr>
        <w:sectPr>
          <w:footerReference r:id="rId5" w:type="default"/>
          <w:footerReference r:id="rId6" w:type="even"/>
          <w:pgSz w:w="11906" w:h="16838"/>
          <w:pgMar w:top="1440" w:right="1800" w:bottom="1440" w:left="1800" w:header="851" w:footer="850" w:gutter="0"/>
          <w:cols w:space="720" w:num="1"/>
          <w:docGrid w:type="lines" w:linePitch="312" w:charSpace="0"/>
        </w:sectPr>
      </w:pPr>
      <w:r>
        <w:rPr>
          <w:rFonts w:ascii="Times New Roman" w:hAnsi="Times New Roman" w:eastAsia="黑体" w:cs="Times New Roman"/>
          <w:b/>
          <w:color w:val="auto"/>
          <w:kern w:val="2"/>
          <w:sz w:val="36"/>
          <w:szCs w:val="36"/>
          <w:u w:val="none"/>
          <w:lang w:val="en-US" w:eastAsia="zh-CN" w:bidi="ar-SA"/>
        </w:rPr>
        <w:t>二〇二二年</w:t>
      </w:r>
      <w:r>
        <w:rPr>
          <w:rFonts w:hint="eastAsia" w:ascii="Times New Roman" w:hAnsi="Times New Roman" w:eastAsia="黑体" w:cs="Times New Roman"/>
          <w:b/>
          <w:color w:val="auto"/>
          <w:kern w:val="2"/>
          <w:sz w:val="36"/>
          <w:szCs w:val="36"/>
          <w:u w:val="none"/>
          <w:lang w:val="en-US" w:eastAsia="zh-CN" w:bidi="ar-SA"/>
        </w:rPr>
        <w:t>十</w:t>
      </w:r>
      <w:r>
        <w:rPr>
          <w:rFonts w:ascii="Times New Roman" w:hAnsi="Times New Roman" w:eastAsia="黑体" w:cs="Times New Roman"/>
          <w:b/>
          <w:color w:val="auto"/>
          <w:kern w:val="2"/>
          <w:sz w:val="36"/>
          <w:szCs w:val="36"/>
          <w:u w:val="none"/>
          <w:lang w:val="en-US" w:eastAsia="zh-CN" w:bidi="ar-SA"/>
        </w:rPr>
        <w:t>月</w:t>
      </w:r>
    </w:p>
    <w:p>
      <w:pPr>
        <w:ind w:firstLine="0" w:firstLineChars="0"/>
        <w:jc w:val="center"/>
        <w:rPr>
          <w:rFonts w:ascii="Times New Roman" w:hAnsi="Times New Roman" w:eastAsia="黑体" w:cs="Times New Roman"/>
          <w:color w:val="auto"/>
          <w:sz w:val="36"/>
          <w:szCs w:val="36"/>
        </w:rPr>
      </w:pPr>
      <w:r>
        <w:rPr>
          <w:rFonts w:ascii="Times New Roman" w:hAnsi="Times New Roman" w:eastAsia="黑体" w:cs="Times New Roman"/>
          <w:color w:val="auto"/>
          <w:sz w:val="36"/>
          <w:szCs w:val="36"/>
        </w:rPr>
        <w:t>前  言</w:t>
      </w:r>
      <w:bookmarkEnd w:id="1"/>
      <w:bookmarkEnd w:id="2"/>
    </w:p>
    <w:p>
      <w:pPr>
        <w:rPr>
          <w:rFonts w:ascii="Times New Roman" w:hAnsi="Times New Roman" w:cs="Times New Roman"/>
          <w:color w:val="auto"/>
        </w:rPr>
      </w:pPr>
    </w:p>
    <w:p>
      <w:pPr>
        <w:ind w:firstLine="640"/>
        <w:rPr>
          <w:rFonts w:ascii="Times New Roman" w:hAnsi="Times New Roman" w:cs="Times New Roman"/>
          <w:color w:val="auto"/>
          <w:sz w:val="32"/>
          <w:szCs w:val="24"/>
        </w:rPr>
      </w:pPr>
      <w:r>
        <w:rPr>
          <w:rFonts w:hint="eastAsia" w:ascii="Times New Roman" w:hAnsi="Times New Roman" w:cs="Times New Roman"/>
          <w:color w:val="auto"/>
          <w:sz w:val="32"/>
          <w:szCs w:val="24"/>
        </w:rPr>
        <w:t>地下水环境关系饮水安全和人民群众身体健康，关乎人民群众对美好生活的向往。“十四五”时期，是开启全面建设社会主义现代化国家新征程、谱写美丽中国建设新篇章、向第二个百年奋斗目标进军的起步开局时期，科学编制“十四五”地下水污染防治规划，是全市深入打好污染防治攻坚战的坚实基础。</w:t>
      </w:r>
    </w:p>
    <w:p>
      <w:pPr>
        <w:ind w:firstLine="640"/>
        <w:rPr>
          <w:rFonts w:ascii="Times New Roman" w:hAnsi="Times New Roman" w:cs="Times New Roman"/>
          <w:color w:val="auto"/>
          <w:sz w:val="32"/>
          <w:szCs w:val="24"/>
        </w:rPr>
      </w:pPr>
      <w:r>
        <w:rPr>
          <w:rFonts w:ascii="Times New Roman" w:hAnsi="Times New Roman" w:cs="Times New Roman"/>
          <w:color w:val="auto"/>
          <w:sz w:val="32"/>
          <w:szCs w:val="24"/>
        </w:rPr>
        <w:t>2019</w:t>
      </w:r>
      <w:r>
        <w:rPr>
          <w:rFonts w:hint="eastAsia" w:ascii="Times New Roman" w:hAnsi="Times New Roman" w:cs="Times New Roman"/>
          <w:color w:val="auto"/>
          <w:sz w:val="32"/>
          <w:szCs w:val="24"/>
        </w:rPr>
        <w:t>年</w:t>
      </w:r>
      <w:r>
        <w:rPr>
          <w:rFonts w:ascii="Times New Roman" w:hAnsi="Times New Roman" w:cs="Times New Roman"/>
          <w:color w:val="auto"/>
          <w:sz w:val="32"/>
          <w:szCs w:val="24"/>
        </w:rPr>
        <w:t>12</w:t>
      </w:r>
      <w:r>
        <w:rPr>
          <w:rFonts w:hint="eastAsia" w:ascii="Times New Roman" w:hAnsi="Times New Roman" w:cs="Times New Roman"/>
          <w:color w:val="auto"/>
          <w:sz w:val="32"/>
          <w:szCs w:val="24"/>
        </w:rPr>
        <w:t>月，宁德市生态环境局等</w:t>
      </w:r>
      <w:r>
        <w:rPr>
          <w:rFonts w:ascii="Times New Roman" w:hAnsi="Times New Roman" w:cs="Times New Roman"/>
          <w:color w:val="auto"/>
          <w:sz w:val="32"/>
          <w:szCs w:val="24"/>
        </w:rPr>
        <w:t>6</w:t>
      </w:r>
      <w:r>
        <w:rPr>
          <w:rFonts w:hint="eastAsia" w:ascii="Times New Roman" w:hAnsi="Times New Roman" w:cs="Times New Roman"/>
          <w:color w:val="auto"/>
          <w:sz w:val="32"/>
          <w:szCs w:val="24"/>
        </w:rPr>
        <w:t>部门联合发布《宁德市地下水污染防治实施方案》（宁市环土〔</w:t>
      </w:r>
      <w:r>
        <w:rPr>
          <w:rFonts w:ascii="Times New Roman" w:hAnsi="Times New Roman" w:cs="Times New Roman"/>
          <w:color w:val="auto"/>
          <w:sz w:val="32"/>
          <w:szCs w:val="24"/>
        </w:rPr>
        <w:t>2019</w:t>
      </w:r>
      <w:r>
        <w:rPr>
          <w:rFonts w:hint="eastAsia" w:ascii="Times New Roman" w:hAnsi="Times New Roman" w:cs="Times New Roman"/>
          <w:color w:val="auto"/>
          <w:sz w:val="32"/>
          <w:szCs w:val="24"/>
        </w:rPr>
        <w:t>〕</w:t>
      </w:r>
      <w:r>
        <w:rPr>
          <w:rFonts w:ascii="Times New Roman" w:hAnsi="Times New Roman" w:cs="Times New Roman"/>
          <w:color w:val="auto"/>
          <w:sz w:val="32"/>
          <w:szCs w:val="24"/>
        </w:rPr>
        <w:t>21</w:t>
      </w:r>
      <w:r>
        <w:rPr>
          <w:rFonts w:hint="eastAsia" w:ascii="Times New Roman" w:hAnsi="Times New Roman" w:cs="Times New Roman"/>
          <w:color w:val="auto"/>
          <w:sz w:val="32"/>
          <w:szCs w:val="24"/>
        </w:rPr>
        <w:t>号），明确要求各地组织编制</w:t>
      </w:r>
      <w:r>
        <w:rPr>
          <w:rFonts w:ascii="Times New Roman" w:hAnsi="Times New Roman" w:cs="Times New Roman"/>
          <w:color w:val="auto"/>
          <w:sz w:val="32"/>
          <w:szCs w:val="24"/>
        </w:rPr>
        <w:t>2021-2025</w:t>
      </w:r>
      <w:r>
        <w:rPr>
          <w:rFonts w:hint="eastAsia" w:ascii="Times New Roman" w:hAnsi="Times New Roman" w:cs="Times New Roman"/>
          <w:color w:val="auto"/>
          <w:sz w:val="32"/>
          <w:szCs w:val="24"/>
        </w:rPr>
        <w:t>年地下水污染防治规划，落实地下水污染防治主体责任。“十四五”地下水污染防治规划编制，坚持以习近平新时代中国特色社会主义思想为指导，紧盯“保障地下水环境质量”总体目标，坚持“精准治污、科学治污、依法治污”，突出“问题导向、目标导向、结果导向”，着力“摸清底数、分区管理、分类防控、协同治理”，加快推进地下水污染防治，逐步改善区域地下水环境质量，实现地下水资源可持续利用，推动经济社会高质量发展。</w:t>
      </w:r>
    </w:p>
    <w:p>
      <w:pPr>
        <w:ind w:firstLine="640"/>
        <w:rPr>
          <w:rFonts w:ascii="Times New Roman" w:hAnsi="Times New Roman" w:cs="Times New Roman"/>
          <w:color w:val="auto"/>
          <w:sz w:val="32"/>
          <w:szCs w:val="24"/>
        </w:rPr>
      </w:pPr>
      <w:r>
        <w:rPr>
          <w:rFonts w:hint="eastAsia" w:ascii="Times New Roman" w:hAnsi="Times New Roman" w:cs="Times New Roman"/>
          <w:color w:val="auto"/>
          <w:sz w:val="32"/>
          <w:szCs w:val="24"/>
        </w:rPr>
        <w:t>本规划基期为</w:t>
      </w:r>
      <w:r>
        <w:rPr>
          <w:rFonts w:ascii="Times New Roman" w:hAnsi="Times New Roman" w:cs="Times New Roman"/>
          <w:color w:val="auto"/>
          <w:sz w:val="32"/>
          <w:szCs w:val="24"/>
        </w:rPr>
        <w:t>2020年，规划期为2021—2025</w:t>
      </w:r>
      <w:r>
        <w:rPr>
          <w:rFonts w:hint="eastAsia" w:ascii="Times New Roman" w:hAnsi="Times New Roman" w:cs="Times New Roman"/>
          <w:color w:val="auto"/>
          <w:sz w:val="32"/>
          <w:szCs w:val="24"/>
        </w:rPr>
        <w:t>年。主要明确未来五年全市</w:t>
      </w:r>
      <w:r>
        <w:rPr>
          <w:rFonts w:ascii="Times New Roman" w:hAnsi="Times New Roman" w:cs="Times New Roman"/>
          <w:color w:val="auto"/>
          <w:sz w:val="32"/>
          <w:szCs w:val="24"/>
        </w:rPr>
        <w:t>地下水污染防治的指导思想、基本原则、目标指标</w:t>
      </w:r>
      <w:r>
        <w:rPr>
          <w:rFonts w:hint="eastAsia" w:ascii="Times New Roman" w:hAnsi="Times New Roman" w:cs="Times New Roman"/>
          <w:color w:val="auto"/>
          <w:sz w:val="32"/>
          <w:szCs w:val="24"/>
        </w:rPr>
        <w:t>和</w:t>
      </w:r>
      <w:r>
        <w:rPr>
          <w:rFonts w:ascii="Times New Roman" w:hAnsi="Times New Roman" w:cs="Times New Roman"/>
          <w:color w:val="auto"/>
          <w:sz w:val="32"/>
          <w:szCs w:val="24"/>
        </w:rPr>
        <w:t>主要任务，是推进地下水污染防治的重要依据。</w:t>
      </w:r>
    </w:p>
    <w:p>
      <w:pPr>
        <w:widowControl/>
        <w:adjustRightInd/>
        <w:snapToGrid/>
        <w:spacing w:line="240" w:lineRule="auto"/>
        <w:ind w:firstLine="0" w:firstLineChars="0"/>
        <w:jc w:val="left"/>
        <w:rPr>
          <w:rFonts w:ascii="Times New Roman" w:hAnsi="Times New Roman" w:cs="Times New Roman"/>
          <w:color w:val="auto"/>
          <w:sz w:val="32"/>
          <w:szCs w:val="24"/>
        </w:rPr>
      </w:pPr>
      <w:r>
        <w:rPr>
          <w:rFonts w:ascii="Times New Roman" w:hAnsi="Times New Roman" w:cs="Times New Roman"/>
          <w:color w:val="auto"/>
          <w:sz w:val="32"/>
          <w:szCs w:val="24"/>
        </w:rPr>
        <w:br w:type="page"/>
      </w:r>
    </w:p>
    <w:p>
      <w:pPr>
        <w:rPr>
          <w:rFonts w:ascii="Times New Roman" w:hAnsi="Times New Roman" w:cs="Times New Roman"/>
          <w:color w:val="auto"/>
        </w:rPr>
        <w:sectPr>
          <w:headerReference r:id="rId9" w:type="first"/>
          <w:footerReference r:id="rId12" w:type="first"/>
          <w:headerReference r:id="rId7" w:type="default"/>
          <w:footerReference r:id="rId10" w:type="default"/>
          <w:headerReference r:id="rId8" w:type="even"/>
          <w:footerReference r:id="rId11" w:type="even"/>
          <w:pgSz w:w="11906" w:h="16838"/>
          <w:pgMar w:top="1418" w:right="1701" w:bottom="1418" w:left="1701" w:header="851" w:footer="992" w:gutter="0"/>
          <w:pgNumType w:fmt="upperRoman"/>
          <w:cols w:space="720" w:num="1"/>
          <w:docGrid w:type="lines" w:linePitch="381" w:charSpace="0"/>
        </w:sectPr>
      </w:pPr>
    </w:p>
    <w:sdt>
      <w:sdtPr>
        <w:rPr>
          <w:rFonts w:ascii="Times New Roman" w:hAnsi="Times New Roman" w:eastAsia="仿宋_GB2312" w:cs="Times New Roman"/>
          <w:bCs w:val="0"/>
          <w:color w:val="auto"/>
          <w:kern w:val="2"/>
          <w:szCs w:val="22"/>
          <w:lang w:val="zh-CN"/>
        </w:rPr>
        <w:id w:val="-1069039092"/>
        <w:docPartObj>
          <w:docPartGallery w:val="Table of Contents"/>
          <w:docPartUnique/>
        </w:docPartObj>
      </w:sdtPr>
      <w:sdtEndPr>
        <w:rPr>
          <w:rFonts w:ascii="Times New Roman" w:hAnsi="Times New Roman" w:eastAsia="仿宋_GB2312" w:cs="Times New Roman"/>
          <w:bCs w:val="0"/>
          <w:color w:val="auto"/>
          <w:kern w:val="2"/>
          <w:sz w:val="24"/>
          <w:szCs w:val="22"/>
          <w:lang w:val="zh-CN"/>
        </w:rPr>
      </w:sdtEndPr>
      <w:sdtContent>
        <w:p>
          <w:pPr>
            <w:pStyle w:val="62"/>
            <w:jc w:val="center"/>
            <w:rPr>
              <w:rFonts w:ascii="Times New Roman" w:hAnsi="Times New Roman" w:eastAsia="黑体" w:cs="Times New Roman"/>
              <w:bCs w:val="0"/>
              <w:color w:val="auto"/>
              <w:kern w:val="2"/>
              <w:sz w:val="36"/>
              <w:szCs w:val="36"/>
            </w:rPr>
          </w:pPr>
          <w:r>
            <w:rPr>
              <w:rFonts w:ascii="Times New Roman" w:hAnsi="Times New Roman" w:eastAsia="黑体" w:cs="Times New Roman"/>
              <w:bCs w:val="0"/>
              <w:color w:val="auto"/>
              <w:kern w:val="2"/>
              <w:sz w:val="36"/>
              <w:szCs w:val="36"/>
            </w:rPr>
            <w:t>目   录</w:t>
          </w:r>
        </w:p>
        <w:p>
          <w:pPr>
            <w:pStyle w:val="18"/>
            <w:tabs>
              <w:tab w:val="right" w:leader="dot" w:pos="8494"/>
            </w:tabs>
            <w:ind w:firstLine="0" w:firstLineChars="0"/>
            <w:rPr>
              <w:rFonts w:ascii="黑体" w:hAnsi="黑体" w:eastAsia="黑体"/>
              <w:color w:val="auto"/>
              <w:sz w:val="21"/>
            </w:rPr>
          </w:pPr>
          <w:r>
            <w:rPr>
              <w:rFonts w:ascii="Times New Roman" w:hAnsi="Times New Roman" w:eastAsia="楷体" w:cs="Times New Roman"/>
              <w:color w:val="auto"/>
              <w:sz w:val="36"/>
              <w:szCs w:val="32"/>
            </w:rPr>
            <w:fldChar w:fldCharType="begin"/>
          </w:r>
          <w:r>
            <w:rPr>
              <w:rFonts w:ascii="Times New Roman" w:hAnsi="Times New Roman" w:eastAsia="楷体" w:cs="Times New Roman"/>
              <w:color w:val="auto"/>
              <w:sz w:val="36"/>
              <w:szCs w:val="32"/>
            </w:rPr>
            <w:instrText xml:space="preserve"> TOC \o "1-3" \h \z \u </w:instrText>
          </w:r>
          <w:r>
            <w:rPr>
              <w:rFonts w:ascii="Times New Roman" w:hAnsi="Times New Roman" w:eastAsia="楷体" w:cs="Times New Roman"/>
              <w:color w:val="auto"/>
              <w:sz w:val="36"/>
              <w:szCs w:val="32"/>
            </w:rPr>
            <w:fldChar w:fldCharType="separate"/>
          </w:r>
          <w:r>
            <w:rPr>
              <w:color w:val="auto"/>
            </w:rPr>
            <w:fldChar w:fldCharType="begin"/>
          </w:r>
          <w:r>
            <w:rPr>
              <w:color w:val="auto"/>
            </w:rPr>
            <w:instrText xml:space="preserve"> HYPERLINK \l "_Toc99552407" </w:instrText>
          </w:r>
          <w:r>
            <w:rPr>
              <w:color w:val="auto"/>
            </w:rPr>
            <w:fldChar w:fldCharType="separate"/>
          </w:r>
          <w:r>
            <w:rPr>
              <w:rStyle w:val="27"/>
              <w:rFonts w:hint="eastAsia" w:ascii="黑体" w:hAnsi="黑体" w:eastAsia="黑体"/>
              <w:color w:val="auto"/>
            </w:rPr>
            <w:t>第一章</w:t>
          </w:r>
          <w:r>
            <w:rPr>
              <w:rStyle w:val="27"/>
              <w:rFonts w:ascii="黑体" w:hAnsi="黑体" w:eastAsia="黑体"/>
              <w:color w:val="auto"/>
            </w:rPr>
            <w:t xml:space="preserve"> </w:t>
          </w:r>
          <w:r>
            <w:rPr>
              <w:rStyle w:val="27"/>
              <w:rFonts w:hint="eastAsia" w:ascii="黑体" w:hAnsi="黑体" w:eastAsia="黑体"/>
              <w:color w:val="auto"/>
            </w:rPr>
            <w:t>规划背景</w:t>
          </w:r>
          <w:r>
            <w:rPr>
              <w:rFonts w:ascii="黑体" w:hAnsi="黑体" w:eastAsia="黑体"/>
              <w:color w:val="auto"/>
            </w:rPr>
            <w:tab/>
          </w:r>
          <w:r>
            <w:rPr>
              <w:rFonts w:ascii="黑体" w:hAnsi="黑体" w:eastAsia="黑体"/>
              <w:color w:val="auto"/>
            </w:rPr>
            <w:fldChar w:fldCharType="begin"/>
          </w:r>
          <w:r>
            <w:rPr>
              <w:rFonts w:ascii="黑体" w:hAnsi="黑体" w:eastAsia="黑体"/>
              <w:color w:val="auto"/>
            </w:rPr>
            <w:instrText xml:space="preserve"> PAGEREF _Toc99552407 \h </w:instrText>
          </w:r>
          <w:r>
            <w:rPr>
              <w:rFonts w:ascii="黑体" w:hAnsi="黑体" w:eastAsia="黑体"/>
              <w:color w:val="auto"/>
            </w:rPr>
            <w:fldChar w:fldCharType="separate"/>
          </w:r>
          <w:r>
            <w:rPr>
              <w:rFonts w:ascii="黑体" w:hAnsi="黑体" w:eastAsia="黑体"/>
              <w:color w:val="auto"/>
            </w:rPr>
            <w:t>1</w:t>
          </w:r>
          <w:r>
            <w:rPr>
              <w:rFonts w:ascii="黑体" w:hAnsi="黑体" w:eastAsia="黑体"/>
              <w:color w:val="auto"/>
            </w:rPr>
            <w:fldChar w:fldCharType="end"/>
          </w:r>
          <w:r>
            <w:rPr>
              <w:rFonts w:ascii="黑体" w:hAnsi="黑体" w:eastAsia="黑体"/>
              <w:color w:val="auto"/>
            </w:rPr>
            <w:fldChar w:fldCharType="end"/>
          </w:r>
        </w:p>
        <w:p>
          <w:pPr>
            <w:pStyle w:val="20"/>
            <w:tabs>
              <w:tab w:val="right" w:leader="dot" w:pos="8494"/>
            </w:tabs>
            <w:ind w:left="0" w:leftChars="0"/>
            <w:rPr>
              <w:rFonts w:ascii="楷体" w:hAnsi="楷体" w:eastAsia="楷体"/>
              <w:color w:val="auto"/>
              <w:sz w:val="20"/>
            </w:rPr>
          </w:pPr>
          <w:r>
            <w:rPr>
              <w:color w:val="auto"/>
            </w:rPr>
            <w:fldChar w:fldCharType="begin"/>
          </w:r>
          <w:r>
            <w:rPr>
              <w:color w:val="auto"/>
            </w:rPr>
            <w:instrText xml:space="preserve"> HYPERLINK \l "_Toc99552408" </w:instrText>
          </w:r>
          <w:r>
            <w:rPr>
              <w:color w:val="auto"/>
            </w:rPr>
            <w:fldChar w:fldCharType="separate"/>
          </w:r>
          <w:r>
            <w:rPr>
              <w:rStyle w:val="27"/>
              <w:rFonts w:hint="eastAsia" w:ascii="楷体" w:hAnsi="楷体" w:eastAsia="楷体"/>
              <w:color w:val="auto"/>
              <w:sz w:val="24"/>
            </w:rPr>
            <w:t>第一节</w:t>
          </w:r>
          <w:r>
            <w:rPr>
              <w:rStyle w:val="27"/>
              <w:rFonts w:ascii="楷体" w:hAnsi="楷体" w:eastAsia="楷体"/>
              <w:color w:val="auto"/>
              <w:sz w:val="24"/>
            </w:rPr>
            <w:t xml:space="preserve"> </w:t>
          </w:r>
          <w:r>
            <w:rPr>
              <w:rStyle w:val="27"/>
              <w:rFonts w:hint="eastAsia" w:ascii="楷体" w:hAnsi="楷体" w:eastAsia="楷体"/>
              <w:color w:val="auto"/>
              <w:sz w:val="24"/>
            </w:rPr>
            <w:t>“十三五</w:t>
          </w:r>
          <w:r>
            <w:rPr>
              <w:rStyle w:val="27"/>
              <w:rFonts w:ascii="楷体" w:hAnsi="楷体" w:eastAsia="楷体"/>
              <w:color w:val="auto"/>
              <w:sz w:val="24"/>
            </w:rPr>
            <w:t>”</w:t>
          </w:r>
          <w:r>
            <w:rPr>
              <w:rStyle w:val="27"/>
              <w:rFonts w:hint="eastAsia" w:ascii="楷体" w:hAnsi="楷体" w:eastAsia="楷体"/>
              <w:color w:val="auto"/>
              <w:sz w:val="24"/>
            </w:rPr>
            <w:t>时期工作成效</w:t>
          </w:r>
          <w:r>
            <w:rPr>
              <w:rFonts w:ascii="楷体" w:hAnsi="楷体" w:eastAsia="楷体"/>
              <w:color w:val="auto"/>
              <w:sz w:val="24"/>
            </w:rPr>
            <w:tab/>
          </w:r>
          <w:r>
            <w:rPr>
              <w:rFonts w:ascii="楷体" w:hAnsi="楷体" w:eastAsia="楷体"/>
              <w:color w:val="auto"/>
              <w:sz w:val="24"/>
            </w:rPr>
            <w:fldChar w:fldCharType="begin"/>
          </w:r>
          <w:r>
            <w:rPr>
              <w:rFonts w:ascii="楷体" w:hAnsi="楷体" w:eastAsia="楷体"/>
              <w:color w:val="auto"/>
              <w:sz w:val="24"/>
            </w:rPr>
            <w:instrText xml:space="preserve"> PAGEREF _Toc99552408 \h </w:instrText>
          </w:r>
          <w:r>
            <w:rPr>
              <w:rFonts w:ascii="楷体" w:hAnsi="楷体" w:eastAsia="楷体"/>
              <w:color w:val="auto"/>
              <w:sz w:val="24"/>
            </w:rPr>
            <w:fldChar w:fldCharType="separate"/>
          </w:r>
          <w:r>
            <w:rPr>
              <w:rFonts w:ascii="楷体" w:hAnsi="楷体" w:eastAsia="楷体"/>
              <w:color w:val="auto"/>
              <w:sz w:val="24"/>
            </w:rPr>
            <w:t>1</w:t>
          </w:r>
          <w:r>
            <w:rPr>
              <w:rFonts w:ascii="楷体" w:hAnsi="楷体" w:eastAsia="楷体"/>
              <w:color w:val="auto"/>
              <w:sz w:val="24"/>
            </w:rPr>
            <w:fldChar w:fldCharType="end"/>
          </w:r>
          <w:r>
            <w:rPr>
              <w:rFonts w:ascii="楷体" w:hAnsi="楷体" w:eastAsia="楷体"/>
              <w:color w:val="auto"/>
              <w:sz w:val="24"/>
            </w:rPr>
            <w:fldChar w:fldCharType="end"/>
          </w:r>
        </w:p>
        <w:p>
          <w:pPr>
            <w:pStyle w:val="20"/>
            <w:tabs>
              <w:tab w:val="right" w:leader="dot" w:pos="8494"/>
            </w:tabs>
            <w:ind w:left="0" w:leftChars="0"/>
            <w:rPr>
              <w:rFonts w:ascii="楷体" w:hAnsi="楷体" w:eastAsia="楷体"/>
              <w:color w:val="auto"/>
              <w:sz w:val="20"/>
            </w:rPr>
          </w:pPr>
          <w:r>
            <w:rPr>
              <w:color w:val="auto"/>
            </w:rPr>
            <w:fldChar w:fldCharType="begin"/>
          </w:r>
          <w:r>
            <w:rPr>
              <w:color w:val="auto"/>
            </w:rPr>
            <w:instrText xml:space="preserve"> HYPERLINK \l "_Toc99552409" </w:instrText>
          </w:r>
          <w:r>
            <w:rPr>
              <w:color w:val="auto"/>
            </w:rPr>
            <w:fldChar w:fldCharType="separate"/>
          </w:r>
          <w:r>
            <w:rPr>
              <w:rStyle w:val="27"/>
              <w:rFonts w:hint="eastAsia" w:ascii="楷体" w:hAnsi="楷体" w:eastAsia="楷体"/>
              <w:color w:val="auto"/>
              <w:sz w:val="24"/>
            </w:rPr>
            <w:t>第二节</w:t>
          </w:r>
          <w:r>
            <w:rPr>
              <w:rStyle w:val="27"/>
              <w:rFonts w:ascii="楷体" w:hAnsi="楷体" w:eastAsia="楷体"/>
              <w:color w:val="auto"/>
              <w:sz w:val="24"/>
            </w:rPr>
            <w:t xml:space="preserve"> </w:t>
          </w:r>
          <w:r>
            <w:rPr>
              <w:rStyle w:val="27"/>
              <w:rFonts w:hint="eastAsia" w:ascii="楷体" w:hAnsi="楷体" w:eastAsia="楷体"/>
              <w:color w:val="auto"/>
              <w:sz w:val="24"/>
            </w:rPr>
            <w:t>地下水污染防治存在问题</w:t>
          </w:r>
          <w:r>
            <w:rPr>
              <w:rFonts w:ascii="楷体" w:hAnsi="楷体" w:eastAsia="楷体"/>
              <w:color w:val="auto"/>
              <w:sz w:val="24"/>
            </w:rPr>
            <w:tab/>
          </w:r>
          <w:r>
            <w:rPr>
              <w:rFonts w:ascii="楷体" w:hAnsi="楷体" w:eastAsia="楷体"/>
              <w:color w:val="auto"/>
              <w:sz w:val="24"/>
            </w:rPr>
            <w:fldChar w:fldCharType="begin"/>
          </w:r>
          <w:r>
            <w:rPr>
              <w:rFonts w:ascii="楷体" w:hAnsi="楷体" w:eastAsia="楷体"/>
              <w:color w:val="auto"/>
              <w:sz w:val="24"/>
            </w:rPr>
            <w:instrText xml:space="preserve"> PAGEREF _Toc99552409 \h </w:instrText>
          </w:r>
          <w:r>
            <w:rPr>
              <w:rFonts w:ascii="楷体" w:hAnsi="楷体" w:eastAsia="楷体"/>
              <w:color w:val="auto"/>
              <w:sz w:val="24"/>
            </w:rPr>
            <w:fldChar w:fldCharType="separate"/>
          </w:r>
          <w:r>
            <w:rPr>
              <w:rFonts w:ascii="楷体" w:hAnsi="楷体" w:eastAsia="楷体"/>
              <w:color w:val="auto"/>
              <w:sz w:val="24"/>
            </w:rPr>
            <w:t>2</w:t>
          </w:r>
          <w:r>
            <w:rPr>
              <w:rFonts w:ascii="楷体" w:hAnsi="楷体" w:eastAsia="楷体"/>
              <w:color w:val="auto"/>
              <w:sz w:val="24"/>
            </w:rPr>
            <w:fldChar w:fldCharType="end"/>
          </w:r>
          <w:r>
            <w:rPr>
              <w:rFonts w:ascii="楷体" w:hAnsi="楷体" w:eastAsia="楷体"/>
              <w:color w:val="auto"/>
              <w:sz w:val="24"/>
            </w:rPr>
            <w:fldChar w:fldCharType="end"/>
          </w:r>
        </w:p>
        <w:p>
          <w:pPr>
            <w:pStyle w:val="20"/>
            <w:tabs>
              <w:tab w:val="right" w:leader="dot" w:pos="8494"/>
            </w:tabs>
            <w:ind w:left="0" w:leftChars="0"/>
            <w:rPr>
              <w:rFonts w:ascii="楷体" w:hAnsi="楷体" w:eastAsia="楷体"/>
              <w:color w:val="auto"/>
              <w:sz w:val="20"/>
            </w:rPr>
          </w:pPr>
          <w:r>
            <w:rPr>
              <w:color w:val="auto"/>
            </w:rPr>
            <w:fldChar w:fldCharType="begin"/>
          </w:r>
          <w:r>
            <w:rPr>
              <w:color w:val="auto"/>
            </w:rPr>
            <w:instrText xml:space="preserve"> HYPERLINK \l "_Toc99552410" </w:instrText>
          </w:r>
          <w:r>
            <w:rPr>
              <w:color w:val="auto"/>
            </w:rPr>
            <w:fldChar w:fldCharType="separate"/>
          </w:r>
          <w:r>
            <w:rPr>
              <w:rStyle w:val="27"/>
              <w:rFonts w:hint="eastAsia" w:ascii="楷体" w:hAnsi="楷体" w:eastAsia="楷体"/>
              <w:color w:val="auto"/>
              <w:sz w:val="24"/>
            </w:rPr>
            <w:t>第三节</w:t>
          </w:r>
          <w:r>
            <w:rPr>
              <w:rStyle w:val="27"/>
              <w:rFonts w:ascii="楷体" w:hAnsi="楷体" w:eastAsia="楷体"/>
              <w:color w:val="auto"/>
              <w:sz w:val="24"/>
            </w:rPr>
            <w:t xml:space="preserve"> </w:t>
          </w:r>
          <w:r>
            <w:rPr>
              <w:rStyle w:val="27"/>
              <w:rFonts w:hint="eastAsia" w:ascii="楷体" w:hAnsi="楷体" w:eastAsia="楷体"/>
              <w:color w:val="auto"/>
              <w:sz w:val="24"/>
            </w:rPr>
            <w:t>面临形势与挑战</w:t>
          </w:r>
          <w:r>
            <w:rPr>
              <w:rFonts w:ascii="楷体" w:hAnsi="楷体" w:eastAsia="楷体"/>
              <w:color w:val="auto"/>
              <w:sz w:val="24"/>
            </w:rPr>
            <w:tab/>
          </w:r>
          <w:r>
            <w:rPr>
              <w:rFonts w:ascii="楷体" w:hAnsi="楷体" w:eastAsia="楷体"/>
              <w:color w:val="auto"/>
              <w:sz w:val="24"/>
            </w:rPr>
            <w:fldChar w:fldCharType="begin"/>
          </w:r>
          <w:r>
            <w:rPr>
              <w:rFonts w:ascii="楷体" w:hAnsi="楷体" w:eastAsia="楷体"/>
              <w:color w:val="auto"/>
              <w:sz w:val="24"/>
            </w:rPr>
            <w:instrText xml:space="preserve"> PAGEREF _Toc99552410 \h </w:instrText>
          </w:r>
          <w:r>
            <w:rPr>
              <w:rFonts w:ascii="楷体" w:hAnsi="楷体" w:eastAsia="楷体"/>
              <w:color w:val="auto"/>
              <w:sz w:val="24"/>
            </w:rPr>
            <w:fldChar w:fldCharType="separate"/>
          </w:r>
          <w:r>
            <w:rPr>
              <w:rFonts w:ascii="楷体" w:hAnsi="楷体" w:eastAsia="楷体"/>
              <w:color w:val="auto"/>
              <w:sz w:val="24"/>
            </w:rPr>
            <w:t>3</w:t>
          </w:r>
          <w:r>
            <w:rPr>
              <w:rFonts w:ascii="楷体" w:hAnsi="楷体" w:eastAsia="楷体"/>
              <w:color w:val="auto"/>
              <w:sz w:val="24"/>
            </w:rPr>
            <w:fldChar w:fldCharType="end"/>
          </w:r>
          <w:r>
            <w:rPr>
              <w:rFonts w:ascii="楷体" w:hAnsi="楷体" w:eastAsia="楷体"/>
              <w:color w:val="auto"/>
              <w:sz w:val="24"/>
            </w:rPr>
            <w:fldChar w:fldCharType="end"/>
          </w:r>
        </w:p>
        <w:p>
          <w:pPr>
            <w:pStyle w:val="18"/>
            <w:tabs>
              <w:tab w:val="right" w:leader="dot" w:pos="8494"/>
            </w:tabs>
            <w:ind w:firstLine="0" w:firstLineChars="0"/>
            <w:rPr>
              <w:rStyle w:val="27"/>
              <w:rFonts w:ascii="黑体" w:hAnsi="黑体" w:eastAsia="黑体"/>
              <w:color w:val="auto"/>
            </w:rPr>
          </w:pPr>
          <w:r>
            <w:rPr>
              <w:color w:val="auto"/>
            </w:rPr>
            <w:fldChar w:fldCharType="begin"/>
          </w:r>
          <w:r>
            <w:rPr>
              <w:color w:val="auto"/>
            </w:rPr>
            <w:instrText xml:space="preserve"> HYPERLINK \l "_Toc99552411" </w:instrText>
          </w:r>
          <w:r>
            <w:rPr>
              <w:color w:val="auto"/>
            </w:rPr>
            <w:fldChar w:fldCharType="separate"/>
          </w:r>
          <w:r>
            <w:rPr>
              <w:rStyle w:val="27"/>
              <w:rFonts w:hint="eastAsia" w:ascii="黑体" w:hAnsi="黑体" w:eastAsia="黑体"/>
              <w:color w:val="auto"/>
            </w:rPr>
            <w:t>第二章</w:t>
          </w:r>
          <w:r>
            <w:rPr>
              <w:rStyle w:val="27"/>
              <w:rFonts w:ascii="黑体" w:hAnsi="黑体" w:eastAsia="黑体"/>
              <w:color w:val="auto"/>
            </w:rPr>
            <w:t xml:space="preserve"> </w:t>
          </w:r>
          <w:r>
            <w:rPr>
              <w:rStyle w:val="27"/>
              <w:rFonts w:hint="eastAsia" w:ascii="黑体" w:hAnsi="黑体" w:eastAsia="黑体"/>
              <w:color w:val="auto"/>
            </w:rPr>
            <w:t>总体要求</w:t>
          </w:r>
          <w:r>
            <w:rPr>
              <w:rStyle w:val="27"/>
              <w:rFonts w:ascii="黑体" w:hAnsi="黑体" w:eastAsia="黑体"/>
              <w:color w:val="auto"/>
            </w:rPr>
            <w:tab/>
          </w:r>
          <w:r>
            <w:rPr>
              <w:rStyle w:val="27"/>
              <w:rFonts w:ascii="黑体" w:hAnsi="黑体" w:eastAsia="黑体"/>
              <w:color w:val="auto"/>
            </w:rPr>
            <w:fldChar w:fldCharType="begin"/>
          </w:r>
          <w:r>
            <w:rPr>
              <w:rStyle w:val="27"/>
              <w:rFonts w:ascii="黑体" w:hAnsi="黑体" w:eastAsia="黑体"/>
              <w:color w:val="auto"/>
            </w:rPr>
            <w:instrText xml:space="preserve"> PAGEREF _Toc99552411 \h </w:instrText>
          </w:r>
          <w:r>
            <w:rPr>
              <w:rStyle w:val="27"/>
              <w:rFonts w:ascii="黑体" w:hAnsi="黑体" w:eastAsia="黑体"/>
              <w:color w:val="auto"/>
            </w:rPr>
            <w:fldChar w:fldCharType="separate"/>
          </w:r>
          <w:r>
            <w:rPr>
              <w:rStyle w:val="27"/>
              <w:rFonts w:ascii="黑体" w:hAnsi="黑体" w:eastAsia="黑体"/>
              <w:color w:val="auto"/>
            </w:rPr>
            <w:t>5</w:t>
          </w:r>
          <w:r>
            <w:rPr>
              <w:rStyle w:val="27"/>
              <w:rFonts w:ascii="黑体" w:hAnsi="黑体" w:eastAsia="黑体"/>
              <w:color w:val="auto"/>
            </w:rPr>
            <w:fldChar w:fldCharType="end"/>
          </w:r>
          <w:r>
            <w:rPr>
              <w:rStyle w:val="27"/>
              <w:rFonts w:ascii="黑体" w:hAnsi="黑体" w:eastAsia="黑体"/>
              <w:color w:val="auto"/>
            </w:rPr>
            <w:fldChar w:fldCharType="end"/>
          </w:r>
        </w:p>
        <w:p>
          <w:pPr>
            <w:pStyle w:val="20"/>
            <w:tabs>
              <w:tab w:val="right" w:leader="dot" w:pos="8494"/>
            </w:tabs>
            <w:ind w:left="0" w:leftChars="0"/>
            <w:rPr>
              <w:rStyle w:val="27"/>
              <w:rFonts w:ascii="楷体" w:hAnsi="楷体" w:eastAsia="楷体"/>
              <w:color w:val="auto"/>
              <w:sz w:val="24"/>
            </w:rPr>
          </w:pPr>
          <w:r>
            <w:rPr>
              <w:color w:val="auto"/>
            </w:rPr>
            <w:fldChar w:fldCharType="begin"/>
          </w:r>
          <w:r>
            <w:rPr>
              <w:color w:val="auto"/>
            </w:rPr>
            <w:instrText xml:space="preserve"> HYPERLINK \l "_Toc99552412" </w:instrText>
          </w:r>
          <w:r>
            <w:rPr>
              <w:color w:val="auto"/>
            </w:rPr>
            <w:fldChar w:fldCharType="separate"/>
          </w:r>
          <w:r>
            <w:rPr>
              <w:rStyle w:val="27"/>
              <w:rFonts w:hint="eastAsia" w:ascii="楷体" w:hAnsi="楷体" w:eastAsia="楷体"/>
              <w:color w:val="auto"/>
              <w:sz w:val="24"/>
            </w:rPr>
            <w:t>第一节</w:t>
          </w:r>
          <w:r>
            <w:rPr>
              <w:rStyle w:val="27"/>
              <w:rFonts w:ascii="楷体" w:hAnsi="楷体" w:eastAsia="楷体"/>
              <w:color w:val="auto"/>
              <w:sz w:val="24"/>
            </w:rPr>
            <w:t xml:space="preserve"> </w:t>
          </w:r>
          <w:r>
            <w:rPr>
              <w:rStyle w:val="27"/>
              <w:rFonts w:hint="eastAsia" w:ascii="楷体" w:hAnsi="楷体" w:eastAsia="楷体"/>
              <w:color w:val="auto"/>
              <w:sz w:val="24"/>
            </w:rPr>
            <w:t>指导思想</w:t>
          </w:r>
          <w:r>
            <w:rPr>
              <w:rStyle w:val="27"/>
              <w:rFonts w:ascii="楷体" w:hAnsi="楷体" w:eastAsia="楷体"/>
              <w:color w:val="auto"/>
              <w:sz w:val="24"/>
            </w:rPr>
            <w:tab/>
          </w:r>
          <w:r>
            <w:rPr>
              <w:rStyle w:val="27"/>
              <w:rFonts w:ascii="楷体" w:hAnsi="楷体" w:eastAsia="楷体"/>
              <w:color w:val="auto"/>
              <w:sz w:val="24"/>
            </w:rPr>
            <w:fldChar w:fldCharType="begin"/>
          </w:r>
          <w:r>
            <w:rPr>
              <w:rStyle w:val="27"/>
              <w:rFonts w:ascii="楷体" w:hAnsi="楷体" w:eastAsia="楷体"/>
              <w:color w:val="auto"/>
              <w:sz w:val="24"/>
            </w:rPr>
            <w:instrText xml:space="preserve"> PAGEREF _Toc99552412 \h </w:instrText>
          </w:r>
          <w:r>
            <w:rPr>
              <w:rStyle w:val="27"/>
              <w:rFonts w:ascii="楷体" w:hAnsi="楷体" w:eastAsia="楷体"/>
              <w:color w:val="auto"/>
              <w:sz w:val="24"/>
            </w:rPr>
            <w:fldChar w:fldCharType="separate"/>
          </w:r>
          <w:r>
            <w:rPr>
              <w:rStyle w:val="27"/>
              <w:rFonts w:ascii="楷体" w:hAnsi="楷体" w:eastAsia="楷体"/>
              <w:color w:val="auto"/>
              <w:sz w:val="24"/>
            </w:rPr>
            <w:t>5</w:t>
          </w:r>
          <w:r>
            <w:rPr>
              <w:rStyle w:val="27"/>
              <w:rFonts w:ascii="楷体" w:hAnsi="楷体" w:eastAsia="楷体"/>
              <w:color w:val="auto"/>
              <w:sz w:val="24"/>
            </w:rPr>
            <w:fldChar w:fldCharType="end"/>
          </w:r>
          <w:r>
            <w:rPr>
              <w:rStyle w:val="27"/>
              <w:rFonts w:ascii="楷体" w:hAnsi="楷体" w:eastAsia="楷体"/>
              <w:color w:val="auto"/>
              <w:sz w:val="24"/>
            </w:rPr>
            <w:fldChar w:fldCharType="end"/>
          </w:r>
        </w:p>
        <w:p>
          <w:pPr>
            <w:pStyle w:val="20"/>
            <w:tabs>
              <w:tab w:val="right" w:leader="dot" w:pos="8494"/>
            </w:tabs>
            <w:ind w:left="0" w:leftChars="0"/>
            <w:rPr>
              <w:rStyle w:val="27"/>
              <w:rFonts w:ascii="楷体" w:hAnsi="楷体" w:eastAsia="楷体"/>
              <w:color w:val="auto"/>
              <w:sz w:val="24"/>
            </w:rPr>
          </w:pPr>
          <w:r>
            <w:rPr>
              <w:color w:val="auto"/>
            </w:rPr>
            <w:fldChar w:fldCharType="begin"/>
          </w:r>
          <w:r>
            <w:rPr>
              <w:color w:val="auto"/>
            </w:rPr>
            <w:instrText xml:space="preserve"> HYPERLINK \l "_Toc99552413" </w:instrText>
          </w:r>
          <w:r>
            <w:rPr>
              <w:color w:val="auto"/>
            </w:rPr>
            <w:fldChar w:fldCharType="separate"/>
          </w:r>
          <w:r>
            <w:rPr>
              <w:rStyle w:val="27"/>
              <w:rFonts w:hint="eastAsia" w:ascii="楷体" w:hAnsi="楷体" w:eastAsia="楷体"/>
              <w:color w:val="auto"/>
              <w:sz w:val="24"/>
            </w:rPr>
            <w:t>第二节</w:t>
          </w:r>
          <w:r>
            <w:rPr>
              <w:rStyle w:val="27"/>
              <w:rFonts w:ascii="楷体" w:hAnsi="楷体" w:eastAsia="楷体"/>
              <w:color w:val="auto"/>
              <w:sz w:val="24"/>
            </w:rPr>
            <w:t xml:space="preserve"> </w:t>
          </w:r>
          <w:r>
            <w:rPr>
              <w:rStyle w:val="27"/>
              <w:rFonts w:hint="eastAsia" w:ascii="楷体" w:hAnsi="楷体" w:eastAsia="楷体"/>
              <w:color w:val="auto"/>
              <w:sz w:val="24"/>
            </w:rPr>
            <w:t>基本原则</w:t>
          </w:r>
          <w:r>
            <w:rPr>
              <w:rStyle w:val="27"/>
              <w:rFonts w:ascii="楷体" w:hAnsi="楷体" w:eastAsia="楷体"/>
              <w:color w:val="auto"/>
              <w:sz w:val="24"/>
            </w:rPr>
            <w:tab/>
          </w:r>
          <w:r>
            <w:rPr>
              <w:rStyle w:val="27"/>
              <w:rFonts w:ascii="楷体" w:hAnsi="楷体" w:eastAsia="楷体"/>
              <w:color w:val="auto"/>
              <w:sz w:val="24"/>
            </w:rPr>
            <w:fldChar w:fldCharType="begin"/>
          </w:r>
          <w:r>
            <w:rPr>
              <w:rStyle w:val="27"/>
              <w:rFonts w:ascii="楷体" w:hAnsi="楷体" w:eastAsia="楷体"/>
              <w:color w:val="auto"/>
              <w:sz w:val="24"/>
            </w:rPr>
            <w:instrText xml:space="preserve"> PAGEREF _Toc99552413 \h </w:instrText>
          </w:r>
          <w:r>
            <w:rPr>
              <w:rStyle w:val="27"/>
              <w:rFonts w:ascii="楷体" w:hAnsi="楷体" w:eastAsia="楷体"/>
              <w:color w:val="auto"/>
              <w:sz w:val="24"/>
            </w:rPr>
            <w:fldChar w:fldCharType="separate"/>
          </w:r>
          <w:r>
            <w:rPr>
              <w:rStyle w:val="27"/>
              <w:rFonts w:ascii="楷体" w:hAnsi="楷体" w:eastAsia="楷体"/>
              <w:color w:val="auto"/>
              <w:sz w:val="24"/>
            </w:rPr>
            <w:t>5</w:t>
          </w:r>
          <w:r>
            <w:rPr>
              <w:rStyle w:val="27"/>
              <w:rFonts w:ascii="楷体" w:hAnsi="楷体" w:eastAsia="楷体"/>
              <w:color w:val="auto"/>
              <w:sz w:val="24"/>
            </w:rPr>
            <w:fldChar w:fldCharType="end"/>
          </w:r>
          <w:r>
            <w:rPr>
              <w:rStyle w:val="27"/>
              <w:rFonts w:ascii="楷体" w:hAnsi="楷体" w:eastAsia="楷体"/>
              <w:color w:val="auto"/>
              <w:sz w:val="24"/>
            </w:rPr>
            <w:fldChar w:fldCharType="end"/>
          </w:r>
        </w:p>
        <w:p>
          <w:pPr>
            <w:pStyle w:val="20"/>
            <w:tabs>
              <w:tab w:val="right" w:leader="dot" w:pos="8494"/>
            </w:tabs>
            <w:ind w:left="0" w:leftChars="0"/>
            <w:rPr>
              <w:rStyle w:val="27"/>
              <w:rFonts w:ascii="楷体" w:hAnsi="楷体" w:eastAsia="楷体"/>
              <w:color w:val="auto"/>
              <w:sz w:val="24"/>
            </w:rPr>
          </w:pPr>
          <w:r>
            <w:rPr>
              <w:color w:val="auto"/>
            </w:rPr>
            <w:fldChar w:fldCharType="begin"/>
          </w:r>
          <w:r>
            <w:rPr>
              <w:color w:val="auto"/>
            </w:rPr>
            <w:instrText xml:space="preserve"> HYPERLINK \l "_Toc99552414" </w:instrText>
          </w:r>
          <w:r>
            <w:rPr>
              <w:color w:val="auto"/>
            </w:rPr>
            <w:fldChar w:fldCharType="separate"/>
          </w:r>
          <w:r>
            <w:rPr>
              <w:rStyle w:val="27"/>
              <w:rFonts w:hint="eastAsia" w:ascii="楷体" w:hAnsi="楷体" w:eastAsia="楷体"/>
              <w:color w:val="auto"/>
              <w:sz w:val="24"/>
            </w:rPr>
            <w:t>第三节</w:t>
          </w:r>
          <w:r>
            <w:rPr>
              <w:rStyle w:val="27"/>
              <w:rFonts w:ascii="楷体" w:hAnsi="楷体" w:eastAsia="楷体"/>
              <w:color w:val="auto"/>
              <w:sz w:val="24"/>
            </w:rPr>
            <w:t xml:space="preserve"> </w:t>
          </w:r>
          <w:r>
            <w:rPr>
              <w:rStyle w:val="27"/>
              <w:rFonts w:hint="eastAsia" w:ascii="楷体" w:hAnsi="楷体" w:eastAsia="楷体"/>
              <w:color w:val="auto"/>
              <w:sz w:val="24"/>
            </w:rPr>
            <w:t>规划目标</w:t>
          </w:r>
          <w:r>
            <w:rPr>
              <w:rStyle w:val="27"/>
              <w:rFonts w:ascii="楷体" w:hAnsi="楷体" w:eastAsia="楷体"/>
              <w:color w:val="auto"/>
              <w:sz w:val="24"/>
            </w:rPr>
            <w:tab/>
          </w:r>
          <w:r>
            <w:rPr>
              <w:rStyle w:val="27"/>
              <w:rFonts w:ascii="楷体" w:hAnsi="楷体" w:eastAsia="楷体"/>
              <w:color w:val="auto"/>
              <w:sz w:val="24"/>
            </w:rPr>
            <w:fldChar w:fldCharType="begin"/>
          </w:r>
          <w:r>
            <w:rPr>
              <w:rStyle w:val="27"/>
              <w:rFonts w:ascii="楷体" w:hAnsi="楷体" w:eastAsia="楷体"/>
              <w:color w:val="auto"/>
              <w:sz w:val="24"/>
            </w:rPr>
            <w:instrText xml:space="preserve"> PAGEREF _Toc99552414 \h </w:instrText>
          </w:r>
          <w:r>
            <w:rPr>
              <w:rStyle w:val="27"/>
              <w:rFonts w:ascii="楷体" w:hAnsi="楷体" w:eastAsia="楷体"/>
              <w:color w:val="auto"/>
              <w:sz w:val="24"/>
            </w:rPr>
            <w:fldChar w:fldCharType="separate"/>
          </w:r>
          <w:r>
            <w:rPr>
              <w:rStyle w:val="27"/>
              <w:rFonts w:ascii="楷体" w:hAnsi="楷体" w:eastAsia="楷体"/>
              <w:color w:val="auto"/>
              <w:sz w:val="24"/>
            </w:rPr>
            <w:t>6</w:t>
          </w:r>
          <w:r>
            <w:rPr>
              <w:rStyle w:val="27"/>
              <w:rFonts w:ascii="楷体" w:hAnsi="楷体" w:eastAsia="楷体"/>
              <w:color w:val="auto"/>
              <w:sz w:val="24"/>
            </w:rPr>
            <w:fldChar w:fldCharType="end"/>
          </w:r>
          <w:r>
            <w:rPr>
              <w:rStyle w:val="27"/>
              <w:rFonts w:ascii="楷体" w:hAnsi="楷体" w:eastAsia="楷体"/>
              <w:color w:val="auto"/>
              <w:sz w:val="24"/>
            </w:rPr>
            <w:fldChar w:fldCharType="end"/>
          </w:r>
        </w:p>
        <w:p>
          <w:pPr>
            <w:pStyle w:val="18"/>
            <w:tabs>
              <w:tab w:val="right" w:leader="dot" w:pos="8494"/>
            </w:tabs>
            <w:ind w:firstLine="0" w:firstLineChars="0"/>
            <w:rPr>
              <w:rStyle w:val="27"/>
              <w:rFonts w:ascii="黑体" w:hAnsi="黑体" w:eastAsia="黑体"/>
              <w:color w:val="auto"/>
            </w:rPr>
          </w:pPr>
          <w:r>
            <w:rPr>
              <w:color w:val="auto"/>
            </w:rPr>
            <w:fldChar w:fldCharType="begin"/>
          </w:r>
          <w:r>
            <w:rPr>
              <w:color w:val="auto"/>
            </w:rPr>
            <w:instrText xml:space="preserve"> HYPERLINK \l "_Toc99552421" </w:instrText>
          </w:r>
          <w:r>
            <w:rPr>
              <w:color w:val="auto"/>
            </w:rPr>
            <w:fldChar w:fldCharType="separate"/>
          </w:r>
          <w:r>
            <w:rPr>
              <w:rStyle w:val="27"/>
              <w:rFonts w:hint="eastAsia" w:ascii="黑体" w:hAnsi="黑体" w:eastAsia="黑体"/>
              <w:color w:val="auto"/>
            </w:rPr>
            <w:t>第三章</w:t>
          </w:r>
          <w:r>
            <w:rPr>
              <w:rStyle w:val="27"/>
              <w:rFonts w:ascii="黑体" w:hAnsi="黑体" w:eastAsia="黑体"/>
              <w:color w:val="auto"/>
            </w:rPr>
            <w:t xml:space="preserve"> </w:t>
          </w:r>
          <w:r>
            <w:rPr>
              <w:rStyle w:val="27"/>
              <w:rFonts w:hint="eastAsia" w:ascii="黑体" w:hAnsi="黑体" w:eastAsia="黑体"/>
              <w:color w:val="auto"/>
            </w:rPr>
            <w:t>主要任务</w:t>
          </w:r>
          <w:r>
            <w:rPr>
              <w:rStyle w:val="27"/>
              <w:rFonts w:ascii="黑体" w:hAnsi="黑体" w:eastAsia="黑体"/>
              <w:color w:val="auto"/>
            </w:rPr>
            <w:tab/>
          </w:r>
          <w:r>
            <w:rPr>
              <w:rStyle w:val="27"/>
              <w:rFonts w:ascii="黑体" w:hAnsi="黑体" w:eastAsia="黑体"/>
              <w:color w:val="auto"/>
            </w:rPr>
            <w:fldChar w:fldCharType="begin"/>
          </w:r>
          <w:r>
            <w:rPr>
              <w:rStyle w:val="27"/>
              <w:rFonts w:ascii="黑体" w:hAnsi="黑体" w:eastAsia="黑体"/>
              <w:color w:val="auto"/>
            </w:rPr>
            <w:instrText xml:space="preserve"> PAGEREF _Toc99552421 \h </w:instrText>
          </w:r>
          <w:r>
            <w:rPr>
              <w:rStyle w:val="27"/>
              <w:rFonts w:ascii="黑体" w:hAnsi="黑体" w:eastAsia="黑体"/>
              <w:color w:val="auto"/>
            </w:rPr>
            <w:fldChar w:fldCharType="separate"/>
          </w:r>
          <w:r>
            <w:rPr>
              <w:rStyle w:val="27"/>
              <w:rFonts w:ascii="黑体" w:hAnsi="黑体" w:eastAsia="黑体"/>
              <w:color w:val="auto"/>
            </w:rPr>
            <w:t>7</w:t>
          </w:r>
          <w:r>
            <w:rPr>
              <w:rStyle w:val="27"/>
              <w:rFonts w:ascii="黑体" w:hAnsi="黑体" w:eastAsia="黑体"/>
              <w:color w:val="auto"/>
            </w:rPr>
            <w:fldChar w:fldCharType="end"/>
          </w:r>
          <w:r>
            <w:rPr>
              <w:rStyle w:val="27"/>
              <w:rFonts w:ascii="黑体" w:hAnsi="黑体" w:eastAsia="黑体"/>
              <w:color w:val="auto"/>
            </w:rPr>
            <w:fldChar w:fldCharType="end"/>
          </w:r>
        </w:p>
        <w:p>
          <w:pPr>
            <w:pStyle w:val="20"/>
            <w:tabs>
              <w:tab w:val="right" w:leader="dot" w:pos="8494"/>
            </w:tabs>
            <w:ind w:left="0" w:leftChars="0"/>
            <w:rPr>
              <w:rStyle w:val="27"/>
              <w:rFonts w:ascii="楷体" w:hAnsi="楷体" w:eastAsia="楷体"/>
              <w:color w:val="auto"/>
              <w:sz w:val="24"/>
            </w:rPr>
          </w:pPr>
          <w:r>
            <w:rPr>
              <w:color w:val="auto"/>
            </w:rPr>
            <w:fldChar w:fldCharType="begin"/>
          </w:r>
          <w:r>
            <w:rPr>
              <w:color w:val="auto"/>
            </w:rPr>
            <w:instrText xml:space="preserve"> HYPERLINK \l "_Toc99552422" </w:instrText>
          </w:r>
          <w:r>
            <w:rPr>
              <w:color w:val="auto"/>
            </w:rPr>
            <w:fldChar w:fldCharType="separate"/>
          </w:r>
          <w:r>
            <w:rPr>
              <w:rStyle w:val="27"/>
              <w:rFonts w:hint="eastAsia" w:ascii="楷体" w:hAnsi="楷体" w:eastAsia="楷体"/>
              <w:color w:val="auto"/>
              <w:sz w:val="24"/>
            </w:rPr>
            <w:t>第一节</w:t>
          </w:r>
          <w:r>
            <w:rPr>
              <w:rStyle w:val="27"/>
              <w:rFonts w:ascii="楷体" w:hAnsi="楷体" w:eastAsia="楷体"/>
              <w:color w:val="auto"/>
              <w:sz w:val="24"/>
            </w:rPr>
            <w:t xml:space="preserve"> </w:t>
          </w:r>
          <w:r>
            <w:rPr>
              <w:rStyle w:val="27"/>
              <w:rFonts w:hint="eastAsia" w:ascii="楷体" w:hAnsi="楷体" w:eastAsia="楷体"/>
              <w:color w:val="auto"/>
              <w:sz w:val="24"/>
            </w:rPr>
            <w:t>开展地下水环境状况调查评估</w:t>
          </w:r>
          <w:r>
            <w:rPr>
              <w:rStyle w:val="27"/>
              <w:rFonts w:ascii="楷体" w:hAnsi="楷体" w:eastAsia="楷体"/>
              <w:color w:val="auto"/>
              <w:sz w:val="24"/>
            </w:rPr>
            <w:tab/>
          </w:r>
          <w:r>
            <w:rPr>
              <w:rStyle w:val="27"/>
              <w:rFonts w:ascii="楷体" w:hAnsi="楷体" w:eastAsia="楷体"/>
              <w:color w:val="auto"/>
              <w:sz w:val="24"/>
            </w:rPr>
            <w:fldChar w:fldCharType="begin"/>
          </w:r>
          <w:r>
            <w:rPr>
              <w:rStyle w:val="27"/>
              <w:rFonts w:ascii="楷体" w:hAnsi="楷体" w:eastAsia="楷体"/>
              <w:color w:val="auto"/>
              <w:sz w:val="24"/>
            </w:rPr>
            <w:instrText xml:space="preserve"> PAGEREF _Toc99552422 \h </w:instrText>
          </w:r>
          <w:r>
            <w:rPr>
              <w:rStyle w:val="27"/>
              <w:rFonts w:ascii="楷体" w:hAnsi="楷体" w:eastAsia="楷体"/>
              <w:color w:val="auto"/>
              <w:sz w:val="24"/>
            </w:rPr>
            <w:fldChar w:fldCharType="separate"/>
          </w:r>
          <w:r>
            <w:rPr>
              <w:rStyle w:val="27"/>
              <w:rFonts w:ascii="楷体" w:hAnsi="楷体" w:eastAsia="楷体"/>
              <w:color w:val="auto"/>
              <w:sz w:val="24"/>
            </w:rPr>
            <w:t>7</w:t>
          </w:r>
          <w:r>
            <w:rPr>
              <w:rStyle w:val="27"/>
              <w:rFonts w:ascii="楷体" w:hAnsi="楷体" w:eastAsia="楷体"/>
              <w:color w:val="auto"/>
              <w:sz w:val="24"/>
            </w:rPr>
            <w:fldChar w:fldCharType="end"/>
          </w:r>
          <w:r>
            <w:rPr>
              <w:rStyle w:val="27"/>
              <w:rFonts w:ascii="楷体" w:hAnsi="楷体" w:eastAsia="楷体"/>
              <w:color w:val="auto"/>
              <w:sz w:val="24"/>
            </w:rPr>
            <w:fldChar w:fldCharType="end"/>
          </w:r>
        </w:p>
        <w:p>
          <w:pPr>
            <w:pStyle w:val="20"/>
            <w:tabs>
              <w:tab w:val="right" w:leader="dot" w:pos="8494"/>
            </w:tabs>
            <w:ind w:left="0" w:leftChars="0"/>
            <w:rPr>
              <w:rStyle w:val="27"/>
              <w:rFonts w:ascii="楷体" w:hAnsi="楷体" w:eastAsia="楷体"/>
              <w:color w:val="auto"/>
              <w:sz w:val="24"/>
            </w:rPr>
          </w:pPr>
          <w:r>
            <w:rPr>
              <w:color w:val="auto"/>
            </w:rPr>
            <w:fldChar w:fldCharType="begin"/>
          </w:r>
          <w:r>
            <w:rPr>
              <w:color w:val="auto"/>
            </w:rPr>
            <w:instrText xml:space="preserve"> HYPERLINK \l "_Toc99552423" </w:instrText>
          </w:r>
          <w:r>
            <w:rPr>
              <w:color w:val="auto"/>
            </w:rPr>
            <w:fldChar w:fldCharType="separate"/>
          </w:r>
          <w:r>
            <w:rPr>
              <w:rStyle w:val="27"/>
              <w:rFonts w:hint="eastAsia" w:ascii="楷体" w:hAnsi="楷体" w:eastAsia="楷体"/>
              <w:color w:val="auto"/>
              <w:sz w:val="24"/>
            </w:rPr>
            <w:t>第二节</w:t>
          </w:r>
          <w:r>
            <w:rPr>
              <w:rStyle w:val="27"/>
              <w:rFonts w:ascii="楷体" w:hAnsi="楷体" w:eastAsia="楷体"/>
              <w:color w:val="auto"/>
              <w:sz w:val="24"/>
            </w:rPr>
            <w:t xml:space="preserve"> </w:t>
          </w:r>
          <w:r>
            <w:rPr>
              <w:rStyle w:val="27"/>
              <w:rFonts w:hint="eastAsia" w:ascii="楷体" w:hAnsi="楷体" w:eastAsia="楷体"/>
              <w:color w:val="auto"/>
              <w:sz w:val="24"/>
            </w:rPr>
            <w:t>加强地下水污染源头预防</w:t>
          </w:r>
          <w:r>
            <w:rPr>
              <w:rStyle w:val="27"/>
              <w:rFonts w:ascii="楷体" w:hAnsi="楷体" w:eastAsia="楷体"/>
              <w:color w:val="auto"/>
              <w:sz w:val="24"/>
            </w:rPr>
            <w:tab/>
          </w:r>
          <w:r>
            <w:rPr>
              <w:rStyle w:val="27"/>
              <w:rFonts w:ascii="楷体" w:hAnsi="楷体" w:eastAsia="楷体"/>
              <w:color w:val="auto"/>
              <w:sz w:val="24"/>
            </w:rPr>
            <w:fldChar w:fldCharType="begin"/>
          </w:r>
          <w:r>
            <w:rPr>
              <w:rStyle w:val="27"/>
              <w:rFonts w:ascii="楷体" w:hAnsi="楷体" w:eastAsia="楷体"/>
              <w:color w:val="auto"/>
              <w:sz w:val="24"/>
            </w:rPr>
            <w:instrText xml:space="preserve"> PAGEREF _Toc99552423 \h </w:instrText>
          </w:r>
          <w:r>
            <w:rPr>
              <w:rStyle w:val="27"/>
              <w:rFonts w:ascii="楷体" w:hAnsi="楷体" w:eastAsia="楷体"/>
              <w:color w:val="auto"/>
              <w:sz w:val="24"/>
            </w:rPr>
            <w:fldChar w:fldCharType="separate"/>
          </w:r>
          <w:r>
            <w:rPr>
              <w:rStyle w:val="27"/>
              <w:rFonts w:ascii="楷体" w:hAnsi="楷体" w:eastAsia="楷体"/>
              <w:color w:val="auto"/>
              <w:sz w:val="24"/>
            </w:rPr>
            <w:t>9</w:t>
          </w:r>
          <w:r>
            <w:rPr>
              <w:rStyle w:val="27"/>
              <w:rFonts w:ascii="楷体" w:hAnsi="楷体" w:eastAsia="楷体"/>
              <w:color w:val="auto"/>
              <w:sz w:val="24"/>
            </w:rPr>
            <w:fldChar w:fldCharType="end"/>
          </w:r>
          <w:r>
            <w:rPr>
              <w:rStyle w:val="27"/>
              <w:rFonts w:ascii="楷体" w:hAnsi="楷体" w:eastAsia="楷体"/>
              <w:color w:val="auto"/>
              <w:sz w:val="24"/>
            </w:rPr>
            <w:fldChar w:fldCharType="end"/>
          </w:r>
        </w:p>
        <w:p>
          <w:pPr>
            <w:pStyle w:val="20"/>
            <w:tabs>
              <w:tab w:val="right" w:leader="dot" w:pos="8494"/>
            </w:tabs>
            <w:ind w:left="0" w:leftChars="0"/>
            <w:rPr>
              <w:rStyle w:val="27"/>
              <w:rFonts w:ascii="楷体" w:hAnsi="楷体" w:eastAsia="楷体"/>
              <w:color w:val="auto"/>
              <w:sz w:val="24"/>
            </w:rPr>
          </w:pPr>
          <w:r>
            <w:rPr>
              <w:color w:val="auto"/>
            </w:rPr>
            <w:fldChar w:fldCharType="begin"/>
          </w:r>
          <w:r>
            <w:rPr>
              <w:color w:val="auto"/>
            </w:rPr>
            <w:instrText xml:space="preserve"> HYPERLINK \l "_Toc99552424" </w:instrText>
          </w:r>
          <w:r>
            <w:rPr>
              <w:color w:val="auto"/>
            </w:rPr>
            <w:fldChar w:fldCharType="separate"/>
          </w:r>
          <w:r>
            <w:rPr>
              <w:rStyle w:val="27"/>
              <w:rFonts w:hint="eastAsia" w:ascii="楷体" w:hAnsi="楷体" w:eastAsia="楷体"/>
              <w:color w:val="auto"/>
              <w:sz w:val="24"/>
            </w:rPr>
            <w:t>第三节</w:t>
          </w:r>
          <w:r>
            <w:rPr>
              <w:rStyle w:val="27"/>
              <w:rFonts w:ascii="楷体" w:hAnsi="楷体" w:eastAsia="楷体"/>
              <w:color w:val="auto"/>
              <w:sz w:val="24"/>
            </w:rPr>
            <w:t xml:space="preserve"> </w:t>
          </w:r>
          <w:r>
            <w:rPr>
              <w:rStyle w:val="27"/>
              <w:rFonts w:hint="eastAsia" w:ascii="楷体" w:hAnsi="楷体" w:eastAsia="楷体"/>
              <w:color w:val="auto"/>
              <w:sz w:val="24"/>
            </w:rPr>
            <w:t>实施地下水污染风险管控及修复</w:t>
          </w:r>
          <w:r>
            <w:rPr>
              <w:rStyle w:val="27"/>
              <w:rFonts w:ascii="楷体" w:hAnsi="楷体" w:eastAsia="楷体"/>
              <w:color w:val="auto"/>
              <w:sz w:val="24"/>
            </w:rPr>
            <w:tab/>
          </w:r>
          <w:r>
            <w:rPr>
              <w:rStyle w:val="27"/>
              <w:rFonts w:ascii="楷体" w:hAnsi="楷体" w:eastAsia="楷体"/>
              <w:color w:val="auto"/>
              <w:sz w:val="24"/>
            </w:rPr>
            <w:fldChar w:fldCharType="begin"/>
          </w:r>
          <w:r>
            <w:rPr>
              <w:rStyle w:val="27"/>
              <w:rFonts w:ascii="楷体" w:hAnsi="楷体" w:eastAsia="楷体"/>
              <w:color w:val="auto"/>
              <w:sz w:val="24"/>
            </w:rPr>
            <w:instrText xml:space="preserve"> PAGEREF _Toc99552424 \h </w:instrText>
          </w:r>
          <w:r>
            <w:rPr>
              <w:rStyle w:val="27"/>
              <w:rFonts w:ascii="楷体" w:hAnsi="楷体" w:eastAsia="楷体"/>
              <w:color w:val="auto"/>
              <w:sz w:val="24"/>
            </w:rPr>
            <w:fldChar w:fldCharType="separate"/>
          </w:r>
          <w:r>
            <w:rPr>
              <w:rStyle w:val="27"/>
              <w:rFonts w:ascii="楷体" w:hAnsi="楷体" w:eastAsia="楷体"/>
              <w:color w:val="auto"/>
              <w:sz w:val="24"/>
            </w:rPr>
            <w:t>11</w:t>
          </w:r>
          <w:r>
            <w:rPr>
              <w:rStyle w:val="27"/>
              <w:rFonts w:ascii="楷体" w:hAnsi="楷体" w:eastAsia="楷体"/>
              <w:color w:val="auto"/>
              <w:sz w:val="24"/>
            </w:rPr>
            <w:fldChar w:fldCharType="end"/>
          </w:r>
          <w:r>
            <w:rPr>
              <w:rStyle w:val="27"/>
              <w:rFonts w:ascii="楷体" w:hAnsi="楷体" w:eastAsia="楷体"/>
              <w:color w:val="auto"/>
              <w:sz w:val="24"/>
            </w:rPr>
            <w:fldChar w:fldCharType="end"/>
          </w:r>
        </w:p>
        <w:p>
          <w:pPr>
            <w:pStyle w:val="20"/>
            <w:tabs>
              <w:tab w:val="right" w:leader="dot" w:pos="8494"/>
            </w:tabs>
            <w:ind w:left="0" w:leftChars="0"/>
            <w:rPr>
              <w:rStyle w:val="27"/>
              <w:rFonts w:ascii="楷体" w:hAnsi="楷体" w:eastAsia="楷体"/>
              <w:color w:val="auto"/>
              <w:sz w:val="24"/>
            </w:rPr>
          </w:pPr>
          <w:r>
            <w:rPr>
              <w:color w:val="auto"/>
            </w:rPr>
            <w:fldChar w:fldCharType="begin"/>
          </w:r>
          <w:r>
            <w:rPr>
              <w:color w:val="auto"/>
            </w:rPr>
            <w:instrText xml:space="preserve"> HYPERLINK \l "_Toc99552425" </w:instrText>
          </w:r>
          <w:r>
            <w:rPr>
              <w:color w:val="auto"/>
            </w:rPr>
            <w:fldChar w:fldCharType="separate"/>
          </w:r>
          <w:r>
            <w:rPr>
              <w:rStyle w:val="27"/>
              <w:rFonts w:hint="eastAsia" w:ascii="楷体" w:hAnsi="楷体" w:eastAsia="楷体"/>
              <w:color w:val="auto"/>
              <w:sz w:val="24"/>
            </w:rPr>
            <w:t>第四节</w:t>
          </w:r>
          <w:r>
            <w:rPr>
              <w:rStyle w:val="27"/>
              <w:rFonts w:ascii="楷体" w:hAnsi="楷体" w:eastAsia="楷体"/>
              <w:color w:val="auto"/>
              <w:sz w:val="24"/>
            </w:rPr>
            <w:t xml:space="preserve"> </w:t>
          </w:r>
          <w:r>
            <w:rPr>
              <w:rStyle w:val="27"/>
              <w:rFonts w:hint="eastAsia" w:ascii="楷体" w:hAnsi="楷体" w:eastAsia="楷体"/>
              <w:color w:val="auto"/>
              <w:sz w:val="24"/>
            </w:rPr>
            <w:t>强化地下水监管能力建设</w:t>
          </w:r>
          <w:r>
            <w:rPr>
              <w:rStyle w:val="27"/>
              <w:rFonts w:ascii="楷体" w:hAnsi="楷体" w:eastAsia="楷体"/>
              <w:color w:val="auto"/>
              <w:sz w:val="24"/>
            </w:rPr>
            <w:tab/>
          </w:r>
          <w:r>
            <w:rPr>
              <w:rStyle w:val="27"/>
              <w:rFonts w:ascii="楷体" w:hAnsi="楷体" w:eastAsia="楷体"/>
              <w:color w:val="auto"/>
              <w:sz w:val="24"/>
            </w:rPr>
            <w:fldChar w:fldCharType="begin"/>
          </w:r>
          <w:r>
            <w:rPr>
              <w:rStyle w:val="27"/>
              <w:rFonts w:ascii="楷体" w:hAnsi="楷体" w:eastAsia="楷体"/>
              <w:color w:val="auto"/>
              <w:sz w:val="24"/>
            </w:rPr>
            <w:instrText xml:space="preserve"> PAGEREF _Toc99552425 \h </w:instrText>
          </w:r>
          <w:r>
            <w:rPr>
              <w:rStyle w:val="27"/>
              <w:rFonts w:ascii="楷体" w:hAnsi="楷体" w:eastAsia="楷体"/>
              <w:color w:val="auto"/>
              <w:sz w:val="24"/>
            </w:rPr>
            <w:fldChar w:fldCharType="separate"/>
          </w:r>
          <w:r>
            <w:rPr>
              <w:rStyle w:val="27"/>
              <w:rFonts w:ascii="楷体" w:hAnsi="楷体" w:eastAsia="楷体"/>
              <w:color w:val="auto"/>
              <w:sz w:val="24"/>
            </w:rPr>
            <w:t>13</w:t>
          </w:r>
          <w:r>
            <w:rPr>
              <w:rStyle w:val="27"/>
              <w:rFonts w:ascii="楷体" w:hAnsi="楷体" w:eastAsia="楷体"/>
              <w:color w:val="auto"/>
              <w:sz w:val="24"/>
            </w:rPr>
            <w:fldChar w:fldCharType="end"/>
          </w:r>
          <w:r>
            <w:rPr>
              <w:rStyle w:val="27"/>
              <w:rFonts w:ascii="楷体" w:hAnsi="楷体" w:eastAsia="楷体"/>
              <w:color w:val="auto"/>
              <w:sz w:val="24"/>
            </w:rPr>
            <w:fldChar w:fldCharType="end"/>
          </w:r>
        </w:p>
        <w:p>
          <w:pPr>
            <w:pStyle w:val="18"/>
            <w:tabs>
              <w:tab w:val="right" w:leader="dot" w:pos="8494"/>
            </w:tabs>
            <w:ind w:firstLine="0" w:firstLineChars="0"/>
            <w:rPr>
              <w:rStyle w:val="27"/>
              <w:rFonts w:ascii="黑体" w:hAnsi="黑体" w:eastAsia="黑体"/>
              <w:color w:val="auto"/>
            </w:rPr>
          </w:pPr>
          <w:r>
            <w:rPr>
              <w:color w:val="auto"/>
            </w:rPr>
            <w:fldChar w:fldCharType="begin"/>
          </w:r>
          <w:r>
            <w:rPr>
              <w:color w:val="auto"/>
            </w:rPr>
            <w:instrText xml:space="preserve"> HYPERLINK \l "_Toc99552426" </w:instrText>
          </w:r>
          <w:r>
            <w:rPr>
              <w:color w:val="auto"/>
            </w:rPr>
            <w:fldChar w:fldCharType="separate"/>
          </w:r>
          <w:r>
            <w:rPr>
              <w:rStyle w:val="27"/>
              <w:rFonts w:hint="eastAsia" w:ascii="黑体" w:hAnsi="黑体" w:eastAsia="黑体"/>
              <w:color w:val="auto"/>
            </w:rPr>
            <w:t>第四章</w:t>
          </w:r>
          <w:r>
            <w:rPr>
              <w:rStyle w:val="27"/>
              <w:rFonts w:ascii="黑体" w:hAnsi="黑体" w:eastAsia="黑体"/>
              <w:color w:val="auto"/>
            </w:rPr>
            <w:t xml:space="preserve"> </w:t>
          </w:r>
          <w:r>
            <w:rPr>
              <w:rStyle w:val="27"/>
              <w:rFonts w:hint="eastAsia" w:ascii="黑体" w:hAnsi="黑体" w:eastAsia="黑体"/>
              <w:color w:val="auto"/>
            </w:rPr>
            <w:t>保障措施</w:t>
          </w:r>
          <w:r>
            <w:rPr>
              <w:rStyle w:val="27"/>
              <w:rFonts w:ascii="黑体" w:hAnsi="黑体" w:eastAsia="黑体"/>
              <w:color w:val="auto"/>
            </w:rPr>
            <w:tab/>
          </w:r>
          <w:r>
            <w:rPr>
              <w:rStyle w:val="27"/>
              <w:rFonts w:ascii="黑体" w:hAnsi="黑体" w:eastAsia="黑体"/>
              <w:color w:val="auto"/>
            </w:rPr>
            <w:fldChar w:fldCharType="begin"/>
          </w:r>
          <w:r>
            <w:rPr>
              <w:rStyle w:val="27"/>
              <w:rFonts w:ascii="黑体" w:hAnsi="黑体" w:eastAsia="黑体"/>
              <w:color w:val="auto"/>
            </w:rPr>
            <w:instrText xml:space="preserve"> PAGEREF _Toc99552426 \h </w:instrText>
          </w:r>
          <w:r>
            <w:rPr>
              <w:rStyle w:val="27"/>
              <w:rFonts w:ascii="黑体" w:hAnsi="黑体" w:eastAsia="黑体"/>
              <w:color w:val="auto"/>
            </w:rPr>
            <w:fldChar w:fldCharType="separate"/>
          </w:r>
          <w:r>
            <w:rPr>
              <w:rStyle w:val="27"/>
              <w:rFonts w:ascii="黑体" w:hAnsi="黑体" w:eastAsia="黑体"/>
              <w:color w:val="auto"/>
            </w:rPr>
            <w:t>15</w:t>
          </w:r>
          <w:r>
            <w:rPr>
              <w:rStyle w:val="27"/>
              <w:rFonts w:ascii="黑体" w:hAnsi="黑体" w:eastAsia="黑体"/>
              <w:color w:val="auto"/>
            </w:rPr>
            <w:fldChar w:fldCharType="end"/>
          </w:r>
          <w:r>
            <w:rPr>
              <w:rStyle w:val="27"/>
              <w:rFonts w:ascii="黑体" w:hAnsi="黑体" w:eastAsia="黑体"/>
              <w:color w:val="auto"/>
            </w:rPr>
            <w:fldChar w:fldCharType="end"/>
          </w:r>
        </w:p>
        <w:p>
          <w:pPr>
            <w:pStyle w:val="20"/>
            <w:tabs>
              <w:tab w:val="right" w:leader="dot" w:pos="8494"/>
            </w:tabs>
            <w:ind w:left="0" w:leftChars="0"/>
            <w:rPr>
              <w:rStyle w:val="27"/>
              <w:rFonts w:ascii="楷体" w:hAnsi="楷体" w:eastAsia="楷体"/>
              <w:color w:val="auto"/>
              <w:sz w:val="24"/>
            </w:rPr>
          </w:pPr>
          <w:r>
            <w:rPr>
              <w:color w:val="auto"/>
            </w:rPr>
            <w:fldChar w:fldCharType="begin"/>
          </w:r>
          <w:r>
            <w:rPr>
              <w:color w:val="auto"/>
            </w:rPr>
            <w:instrText xml:space="preserve"> HYPERLINK \l "_Toc99552427" </w:instrText>
          </w:r>
          <w:r>
            <w:rPr>
              <w:color w:val="auto"/>
            </w:rPr>
            <w:fldChar w:fldCharType="separate"/>
          </w:r>
          <w:r>
            <w:rPr>
              <w:rStyle w:val="27"/>
              <w:rFonts w:hint="eastAsia" w:ascii="楷体" w:hAnsi="楷体" w:eastAsia="楷体"/>
              <w:color w:val="auto"/>
              <w:sz w:val="24"/>
            </w:rPr>
            <w:t>第一节</w:t>
          </w:r>
          <w:r>
            <w:rPr>
              <w:rStyle w:val="27"/>
              <w:rFonts w:ascii="楷体" w:hAnsi="楷体" w:eastAsia="楷体"/>
              <w:color w:val="auto"/>
              <w:sz w:val="24"/>
            </w:rPr>
            <w:t xml:space="preserve"> </w:t>
          </w:r>
          <w:r>
            <w:rPr>
              <w:rStyle w:val="27"/>
              <w:rFonts w:hint="eastAsia" w:ascii="楷体" w:hAnsi="楷体" w:eastAsia="楷体"/>
              <w:color w:val="auto"/>
              <w:sz w:val="24"/>
            </w:rPr>
            <w:t>加强组织实施</w:t>
          </w:r>
          <w:r>
            <w:rPr>
              <w:rStyle w:val="27"/>
              <w:rFonts w:ascii="楷体" w:hAnsi="楷体" w:eastAsia="楷体"/>
              <w:color w:val="auto"/>
              <w:sz w:val="24"/>
            </w:rPr>
            <w:tab/>
          </w:r>
          <w:r>
            <w:rPr>
              <w:rStyle w:val="27"/>
              <w:rFonts w:ascii="楷体" w:hAnsi="楷体" w:eastAsia="楷体"/>
              <w:color w:val="auto"/>
              <w:sz w:val="24"/>
            </w:rPr>
            <w:fldChar w:fldCharType="begin"/>
          </w:r>
          <w:r>
            <w:rPr>
              <w:rStyle w:val="27"/>
              <w:rFonts w:ascii="楷体" w:hAnsi="楷体" w:eastAsia="楷体"/>
              <w:color w:val="auto"/>
              <w:sz w:val="24"/>
            </w:rPr>
            <w:instrText xml:space="preserve"> PAGEREF _Toc99552427 \h </w:instrText>
          </w:r>
          <w:r>
            <w:rPr>
              <w:rStyle w:val="27"/>
              <w:rFonts w:ascii="楷体" w:hAnsi="楷体" w:eastAsia="楷体"/>
              <w:color w:val="auto"/>
              <w:sz w:val="24"/>
            </w:rPr>
            <w:fldChar w:fldCharType="separate"/>
          </w:r>
          <w:r>
            <w:rPr>
              <w:rStyle w:val="27"/>
              <w:rFonts w:ascii="楷体" w:hAnsi="楷体" w:eastAsia="楷体"/>
              <w:color w:val="auto"/>
              <w:sz w:val="24"/>
            </w:rPr>
            <w:t>15</w:t>
          </w:r>
          <w:r>
            <w:rPr>
              <w:rStyle w:val="27"/>
              <w:rFonts w:ascii="楷体" w:hAnsi="楷体" w:eastAsia="楷体"/>
              <w:color w:val="auto"/>
              <w:sz w:val="24"/>
            </w:rPr>
            <w:fldChar w:fldCharType="end"/>
          </w:r>
          <w:r>
            <w:rPr>
              <w:rStyle w:val="27"/>
              <w:rFonts w:ascii="楷体" w:hAnsi="楷体" w:eastAsia="楷体"/>
              <w:color w:val="auto"/>
              <w:sz w:val="24"/>
            </w:rPr>
            <w:fldChar w:fldCharType="end"/>
          </w:r>
        </w:p>
        <w:p>
          <w:pPr>
            <w:pStyle w:val="20"/>
            <w:tabs>
              <w:tab w:val="right" w:leader="dot" w:pos="8494"/>
            </w:tabs>
            <w:ind w:left="0" w:leftChars="0"/>
            <w:rPr>
              <w:rStyle w:val="27"/>
              <w:rFonts w:ascii="楷体" w:hAnsi="楷体" w:eastAsia="楷体"/>
              <w:color w:val="auto"/>
              <w:sz w:val="24"/>
            </w:rPr>
          </w:pPr>
          <w:r>
            <w:rPr>
              <w:color w:val="auto"/>
            </w:rPr>
            <w:fldChar w:fldCharType="begin"/>
          </w:r>
          <w:r>
            <w:rPr>
              <w:color w:val="auto"/>
            </w:rPr>
            <w:instrText xml:space="preserve"> HYPERLINK \l "_Toc99552428" </w:instrText>
          </w:r>
          <w:r>
            <w:rPr>
              <w:color w:val="auto"/>
            </w:rPr>
            <w:fldChar w:fldCharType="separate"/>
          </w:r>
          <w:r>
            <w:rPr>
              <w:rStyle w:val="27"/>
              <w:rFonts w:hint="eastAsia" w:ascii="楷体" w:hAnsi="楷体" w:eastAsia="楷体"/>
              <w:color w:val="auto"/>
              <w:sz w:val="24"/>
            </w:rPr>
            <w:t>第二节</w:t>
          </w:r>
          <w:r>
            <w:rPr>
              <w:rStyle w:val="27"/>
              <w:rFonts w:ascii="楷体" w:hAnsi="楷体" w:eastAsia="楷体"/>
              <w:color w:val="auto"/>
              <w:sz w:val="24"/>
            </w:rPr>
            <w:t xml:space="preserve"> </w:t>
          </w:r>
          <w:r>
            <w:rPr>
              <w:rStyle w:val="27"/>
              <w:rFonts w:hint="eastAsia" w:ascii="楷体" w:hAnsi="楷体" w:eastAsia="楷体"/>
              <w:color w:val="auto"/>
              <w:sz w:val="24"/>
            </w:rPr>
            <w:t>完善经济政策</w:t>
          </w:r>
          <w:r>
            <w:rPr>
              <w:rStyle w:val="27"/>
              <w:rFonts w:ascii="楷体" w:hAnsi="楷体" w:eastAsia="楷体"/>
              <w:color w:val="auto"/>
              <w:sz w:val="24"/>
            </w:rPr>
            <w:tab/>
          </w:r>
          <w:r>
            <w:rPr>
              <w:rStyle w:val="27"/>
              <w:rFonts w:ascii="楷体" w:hAnsi="楷体" w:eastAsia="楷体"/>
              <w:color w:val="auto"/>
              <w:sz w:val="24"/>
            </w:rPr>
            <w:fldChar w:fldCharType="begin"/>
          </w:r>
          <w:r>
            <w:rPr>
              <w:rStyle w:val="27"/>
              <w:rFonts w:ascii="楷体" w:hAnsi="楷体" w:eastAsia="楷体"/>
              <w:color w:val="auto"/>
              <w:sz w:val="24"/>
            </w:rPr>
            <w:instrText xml:space="preserve"> PAGEREF _Toc99552428 \h </w:instrText>
          </w:r>
          <w:r>
            <w:rPr>
              <w:rStyle w:val="27"/>
              <w:rFonts w:ascii="楷体" w:hAnsi="楷体" w:eastAsia="楷体"/>
              <w:color w:val="auto"/>
              <w:sz w:val="24"/>
            </w:rPr>
            <w:fldChar w:fldCharType="separate"/>
          </w:r>
          <w:r>
            <w:rPr>
              <w:rStyle w:val="27"/>
              <w:rFonts w:ascii="楷体" w:hAnsi="楷体" w:eastAsia="楷体"/>
              <w:color w:val="auto"/>
              <w:sz w:val="24"/>
            </w:rPr>
            <w:t>15</w:t>
          </w:r>
          <w:r>
            <w:rPr>
              <w:rStyle w:val="27"/>
              <w:rFonts w:ascii="楷体" w:hAnsi="楷体" w:eastAsia="楷体"/>
              <w:color w:val="auto"/>
              <w:sz w:val="24"/>
            </w:rPr>
            <w:fldChar w:fldCharType="end"/>
          </w:r>
          <w:r>
            <w:rPr>
              <w:rStyle w:val="27"/>
              <w:rFonts w:ascii="楷体" w:hAnsi="楷体" w:eastAsia="楷体"/>
              <w:color w:val="auto"/>
              <w:sz w:val="24"/>
            </w:rPr>
            <w:fldChar w:fldCharType="end"/>
          </w:r>
        </w:p>
        <w:p>
          <w:pPr>
            <w:pStyle w:val="20"/>
            <w:tabs>
              <w:tab w:val="right" w:leader="dot" w:pos="8494"/>
            </w:tabs>
            <w:ind w:left="0" w:leftChars="0"/>
            <w:rPr>
              <w:rStyle w:val="27"/>
              <w:rFonts w:ascii="楷体" w:hAnsi="楷体" w:eastAsia="楷体"/>
              <w:color w:val="auto"/>
              <w:sz w:val="24"/>
            </w:rPr>
          </w:pPr>
          <w:r>
            <w:rPr>
              <w:color w:val="auto"/>
            </w:rPr>
            <w:fldChar w:fldCharType="begin"/>
          </w:r>
          <w:r>
            <w:rPr>
              <w:color w:val="auto"/>
            </w:rPr>
            <w:instrText xml:space="preserve"> HYPERLINK \l "_Toc99552429" </w:instrText>
          </w:r>
          <w:r>
            <w:rPr>
              <w:color w:val="auto"/>
            </w:rPr>
            <w:fldChar w:fldCharType="separate"/>
          </w:r>
          <w:r>
            <w:rPr>
              <w:rStyle w:val="27"/>
              <w:rFonts w:hint="eastAsia" w:ascii="楷体" w:hAnsi="楷体" w:eastAsia="楷体"/>
              <w:color w:val="auto"/>
              <w:sz w:val="24"/>
            </w:rPr>
            <w:t>第三节</w:t>
          </w:r>
          <w:r>
            <w:rPr>
              <w:rStyle w:val="27"/>
              <w:rFonts w:ascii="楷体" w:hAnsi="楷体" w:eastAsia="楷体"/>
              <w:color w:val="auto"/>
              <w:sz w:val="24"/>
            </w:rPr>
            <w:t xml:space="preserve"> </w:t>
          </w:r>
          <w:r>
            <w:rPr>
              <w:rStyle w:val="27"/>
              <w:rFonts w:hint="eastAsia" w:ascii="楷体" w:hAnsi="楷体" w:eastAsia="楷体"/>
              <w:color w:val="auto"/>
              <w:sz w:val="24"/>
            </w:rPr>
            <w:t>推动社会共治</w:t>
          </w:r>
          <w:r>
            <w:rPr>
              <w:rStyle w:val="27"/>
              <w:rFonts w:ascii="楷体" w:hAnsi="楷体" w:eastAsia="楷体"/>
              <w:color w:val="auto"/>
              <w:sz w:val="24"/>
            </w:rPr>
            <w:tab/>
          </w:r>
          <w:r>
            <w:rPr>
              <w:rStyle w:val="27"/>
              <w:rFonts w:ascii="楷体" w:hAnsi="楷体" w:eastAsia="楷体"/>
              <w:color w:val="auto"/>
              <w:sz w:val="24"/>
            </w:rPr>
            <w:fldChar w:fldCharType="begin"/>
          </w:r>
          <w:r>
            <w:rPr>
              <w:rStyle w:val="27"/>
              <w:rFonts w:ascii="楷体" w:hAnsi="楷体" w:eastAsia="楷体"/>
              <w:color w:val="auto"/>
              <w:sz w:val="24"/>
            </w:rPr>
            <w:instrText xml:space="preserve"> PAGEREF _Toc99552429 \h </w:instrText>
          </w:r>
          <w:r>
            <w:rPr>
              <w:rStyle w:val="27"/>
              <w:rFonts w:ascii="楷体" w:hAnsi="楷体" w:eastAsia="楷体"/>
              <w:color w:val="auto"/>
              <w:sz w:val="24"/>
            </w:rPr>
            <w:fldChar w:fldCharType="separate"/>
          </w:r>
          <w:r>
            <w:rPr>
              <w:rStyle w:val="27"/>
              <w:rFonts w:ascii="楷体" w:hAnsi="楷体" w:eastAsia="楷体"/>
              <w:color w:val="auto"/>
              <w:sz w:val="24"/>
            </w:rPr>
            <w:t>16</w:t>
          </w:r>
          <w:r>
            <w:rPr>
              <w:rStyle w:val="27"/>
              <w:rFonts w:ascii="楷体" w:hAnsi="楷体" w:eastAsia="楷体"/>
              <w:color w:val="auto"/>
              <w:sz w:val="24"/>
            </w:rPr>
            <w:fldChar w:fldCharType="end"/>
          </w:r>
          <w:r>
            <w:rPr>
              <w:rStyle w:val="27"/>
              <w:rFonts w:ascii="楷体" w:hAnsi="楷体" w:eastAsia="楷体"/>
              <w:color w:val="auto"/>
              <w:sz w:val="24"/>
            </w:rPr>
            <w:fldChar w:fldCharType="end"/>
          </w:r>
        </w:p>
        <w:p>
          <w:pPr>
            <w:pStyle w:val="20"/>
            <w:tabs>
              <w:tab w:val="right" w:leader="dot" w:pos="8494"/>
            </w:tabs>
            <w:ind w:left="0" w:leftChars="0"/>
            <w:rPr>
              <w:rStyle w:val="27"/>
              <w:rFonts w:ascii="楷体" w:hAnsi="楷体" w:eastAsia="楷体"/>
              <w:color w:val="auto"/>
              <w:sz w:val="24"/>
            </w:rPr>
          </w:pPr>
          <w:r>
            <w:rPr>
              <w:color w:val="auto"/>
            </w:rPr>
            <w:fldChar w:fldCharType="begin"/>
          </w:r>
          <w:r>
            <w:rPr>
              <w:color w:val="auto"/>
            </w:rPr>
            <w:instrText xml:space="preserve"> HYPERLINK \l "_Toc99552430" </w:instrText>
          </w:r>
          <w:r>
            <w:rPr>
              <w:color w:val="auto"/>
            </w:rPr>
            <w:fldChar w:fldCharType="separate"/>
          </w:r>
          <w:r>
            <w:rPr>
              <w:rStyle w:val="27"/>
              <w:rFonts w:hint="eastAsia" w:ascii="楷体" w:hAnsi="楷体" w:eastAsia="楷体"/>
              <w:color w:val="auto"/>
              <w:sz w:val="24"/>
            </w:rPr>
            <w:t>第四节</w:t>
          </w:r>
          <w:r>
            <w:rPr>
              <w:rStyle w:val="27"/>
              <w:rFonts w:ascii="楷体" w:hAnsi="楷体" w:eastAsia="楷体"/>
              <w:color w:val="auto"/>
              <w:sz w:val="24"/>
            </w:rPr>
            <w:t xml:space="preserve"> </w:t>
          </w:r>
          <w:r>
            <w:rPr>
              <w:rStyle w:val="27"/>
              <w:rFonts w:hint="eastAsia" w:ascii="楷体" w:hAnsi="楷体" w:eastAsia="楷体"/>
              <w:color w:val="auto"/>
              <w:sz w:val="24"/>
            </w:rPr>
            <w:t>强化智慧监管</w:t>
          </w:r>
          <w:r>
            <w:rPr>
              <w:rStyle w:val="27"/>
              <w:rFonts w:ascii="楷体" w:hAnsi="楷体" w:eastAsia="楷体"/>
              <w:color w:val="auto"/>
              <w:sz w:val="24"/>
            </w:rPr>
            <w:tab/>
          </w:r>
          <w:r>
            <w:rPr>
              <w:rStyle w:val="27"/>
              <w:rFonts w:ascii="楷体" w:hAnsi="楷体" w:eastAsia="楷体"/>
              <w:color w:val="auto"/>
              <w:sz w:val="24"/>
            </w:rPr>
            <w:fldChar w:fldCharType="begin"/>
          </w:r>
          <w:r>
            <w:rPr>
              <w:rStyle w:val="27"/>
              <w:rFonts w:ascii="楷体" w:hAnsi="楷体" w:eastAsia="楷体"/>
              <w:color w:val="auto"/>
              <w:sz w:val="24"/>
            </w:rPr>
            <w:instrText xml:space="preserve"> PAGEREF _Toc99552430 \h </w:instrText>
          </w:r>
          <w:r>
            <w:rPr>
              <w:rStyle w:val="27"/>
              <w:rFonts w:ascii="楷体" w:hAnsi="楷体" w:eastAsia="楷体"/>
              <w:color w:val="auto"/>
              <w:sz w:val="24"/>
            </w:rPr>
            <w:fldChar w:fldCharType="separate"/>
          </w:r>
          <w:r>
            <w:rPr>
              <w:rStyle w:val="27"/>
              <w:rFonts w:ascii="楷体" w:hAnsi="楷体" w:eastAsia="楷体"/>
              <w:color w:val="auto"/>
              <w:sz w:val="24"/>
            </w:rPr>
            <w:t>16</w:t>
          </w:r>
          <w:r>
            <w:rPr>
              <w:rStyle w:val="27"/>
              <w:rFonts w:ascii="楷体" w:hAnsi="楷体" w:eastAsia="楷体"/>
              <w:color w:val="auto"/>
              <w:sz w:val="24"/>
            </w:rPr>
            <w:fldChar w:fldCharType="end"/>
          </w:r>
          <w:r>
            <w:rPr>
              <w:rStyle w:val="27"/>
              <w:rFonts w:ascii="楷体" w:hAnsi="楷体" w:eastAsia="楷体"/>
              <w:color w:val="auto"/>
              <w:sz w:val="24"/>
            </w:rPr>
            <w:fldChar w:fldCharType="end"/>
          </w:r>
        </w:p>
        <w:p>
          <w:pPr>
            <w:pStyle w:val="18"/>
            <w:tabs>
              <w:tab w:val="right" w:leader="dot" w:pos="8494"/>
            </w:tabs>
            <w:ind w:firstLine="723"/>
            <w:rPr>
              <w:rFonts w:ascii="Times New Roman" w:hAnsi="Times New Roman" w:cs="Times New Roman"/>
              <w:color w:val="auto"/>
              <w:sz w:val="24"/>
            </w:rPr>
          </w:pPr>
          <w:r>
            <w:rPr>
              <w:rFonts w:ascii="Times New Roman" w:hAnsi="Times New Roman" w:eastAsia="楷体" w:cs="Times New Roman"/>
              <w:b/>
              <w:bCs/>
              <w:color w:val="auto"/>
              <w:sz w:val="36"/>
              <w:szCs w:val="32"/>
              <w:lang w:val="zh-CN"/>
            </w:rPr>
            <w:fldChar w:fldCharType="end"/>
          </w:r>
        </w:p>
      </w:sdtContent>
    </w:sdt>
    <w:p>
      <w:pPr>
        <w:pStyle w:val="3"/>
        <w:rPr>
          <w:rFonts w:ascii="Times New Roman" w:hAnsi="Times New Roman"/>
          <w:color w:val="auto"/>
        </w:rPr>
        <w:sectPr>
          <w:headerReference r:id="rId15" w:type="first"/>
          <w:footerReference r:id="rId18" w:type="first"/>
          <w:headerReference r:id="rId13" w:type="default"/>
          <w:footerReference r:id="rId16" w:type="default"/>
          <w:headerReference r:id="rId14" w:type="even"/>
          <w:footerReference r:id="rId17" w:type="even"/>
          <w:type w:val="continuous"/>
          <w:pgSz w:w="11906" w:h="16838"/>
          <w:pgMar w:top="1440" w:right="1800" w:bottom="1440" w:left="1800" w:header="851" w:footer="992" w:gutter="0"/>
          <w:pgNumType w:start="1"/>
          <w:cols w:space="425" w:num="1"/>
          <w:docGrid w:type="lines" w:linePitch="381" w:charSpace="0"/>
        </w:sectPr>
      </w:pPr>
      <w:bookmarkStart w:id="3" w:name="_Toc99552407"/>
    </w:p>
    <w:p>
      <w:pPr>
        <w:pStyle w:val="3"/>
        <w:rPr>
          <w:rFonts w:ascii="Times New Roman" w:hAnsi="Times New Roman"/>
          <w:color w:val="auto"/>
        </w:rPr>
      </w:pPr>
      <w:r>
        <w:rPr>
          <w:rFonts w:ascii="Times New Roman" w:hAnsi="Times New Roman"/>
          <w:color w:val="auto"/>
        </w:rPr>
        <w:t xml:space="preserve">第一章 </w:t>
      </w:r>
      <w:r>
        <w:rPr>
          <w:rFonts w:hint="eastAsia" w:ascii="Times New Roman" w:hAnsi="Times New Roman"/>
          <w:color w:val="auto"/>
        </w:rPr>
        <w:t>规划背景</w:t>
      </w:r>
      <w:bookmarkEnd w:id="3"/>
    </w:p>
    <w:p>
      <w:pPr>
        <w:pStyle w:val="4"/>
        <w:rPr>
          <w:rFonts w:ascii="Times New Roman"/>
          <w:color w:val="auto"/>
        </w:rPr>
      </w:pPr>
      <w:bookmarkStart w:id="4" w:name="_Toc73546316"/>
      <w:bookmarkStart w:id="5" w:name="_Toc99552408"/>
      <w:r>
        <w:rPr>
          <w:rFonts w:ascii="Times New Roman"/>
          <w:color w:val="auto"/>
        </w:rPr>
        <w:t xml:space="preserve">第一节 </w:t>
      </w:r>
      <w:bookmarkEnd w:id="4"/>
      <w:r>
        <w:rPr>
          <w:rFonts w:hint="eastAsia" w:ascii="Times New Roman"/>
          <w:color w:val="auto"/>
        </w:rPr>
        <w:t>“</w:t>
      </w:r>
      <w:r>
        <w:rPr>
          <w:rFonts w:ascii="Times New Roman"/>
          <w:color w:val="auto"/>
        </w:rPr>
        <w:t>十三五”时期工作成效</w:t>
      </w:r>
      <w:bookmarkEnd w:id="5"/>
    </w:p>
    <w:p>
      <w:pPr>
        <w:pStyle w:val="76"/>
        <w:adjustRightInd w:val="0"/>
        <w:snapToGrid w:val="0"/>
        <w:ind w:firstLine="640"/>
        <w:jc w:val="both"/>
        <w:rPr>
          <w:rFonts w:ascii="Times New Roman" w:cs="Times New Roman"/>
          <w:color w:val="auto"/>
        </w:rPr>
      </w:pPr>
      <w:r>
        <w:rPr>
          <w:rFonts w:ascii="Times New Roman" w:cs="Times New Roman"/>
          <w:color w:val="auto"/>
        </w:rPr>
        <w:t>“</w:t>
      </w:r>
      <w:r>
        <w:rPr>
          <w:rFonts w:hint="eastAsia" w:ascii="Times New Roman" w:cs="Times New Roman"/>
          <w:color w:val="auto"/>
        </w:rPr>
        <w:t>十三五”</w:t>
      </w:r>
      <w:r>
        <w:rPr>
          <w:rFonts w:ascii="Times New Roman" w:cs="Times New Roman"/>
          <w:color w:val="auto"/>
        </w:rPr>
        <w:t>以来，全市各有关部门坚持以习近平新时代中国特色社会主义思想为指导，贯彻落实习近平生态文明思想，认真落实市委、市政府工作部署，对标地下水污染防治要求，以改善地下水环境质量为核心，推进地下水生态环境保护取得成效。</w:t>
      </w:r>
    </w:p>
    <w:p>
      <w:pPr>
        <w:ind w:firstLine="643"/>
        <w:rPr>
          <w:rFonts w:ascii="Times New Roman" w:hAnsi="Times New Roman" w:cs="Times New Roman"/>
          <w:color w:val="auto"/>
          <w:sz w:val="32"/>
          <w:szCs w:val="32"/>
        </w:rPr>
      </w:pPr>
      <w:r>
        <w:rPr>
          <w:rFonts w:hint="eastAsia" w:ascii="Times New Roman" w:hAnsi="Times New Roman" w:cs="Times New Roman"/>
          <w:b/>
          <w:color w:val="auto"/>
          <w:sz w:val="32"/>
          <w:szCs w:val="32"/>
        </w:rPr>
        <w:t>落实“十三五”考核任务。</w:t>
      </w:r>
      <w:r>
        <w:rPr>
          <w:rFonts w:hint="eastAsia" w:ascii="Times New Roman" w:hAnsi="Times New Roman" w:cs="Times New Roman"/>
          <w:color w:val="auto"/>
          <w:sz w:val="32"/>
          <w:szCs w:val="32"/>
        </w:rPr>
        <w:t>全市省级</w:t>
      </w:r>
      <w:r>
        <w:rPr>
          <w:rFonts w:ascii="Times New Roman" w:hAnsi="Times New Roman" w:cs="Times New Roman"/>
          <w:color w:val="auto"/>
          <w:sz w:val="32"/>
          <w:szCs w:val="32"/>
        </w:rPr>
        <w:t>地下水</w:t>
      </w:r>
      <w:r>
        <w:rPr>
          <w:rFonts w:hint="eastAsia" w:ascii="Times New Roman" w:hAnsi="Times New Roman" w:cs="Times New Roman"/>
          <w:color w:val="auto"/>
          <w:sz w:val="32"/>
          <w:szCs w:val="32"/>
        </w:rPr>
        <w:t>环境质量考核点位</w:t>
      </w:r>
      <w:r>
        <w:rPr>
          <w:rFonts w:ascii="Times New Roman" w:hAnsi="Times New Roman" w:cs="Times New Roman"/>
          <w:color w:val="auto"/>
          <w:sz w:val="32"/>
          <w:szCs w:val="32"/>
        </w:rPr>
        <w:t>2</w:t>
      </w:r>
      <w:r>
        <w:rPr>
          <w:rFonts w:hint="eastAsia" w:ascii="Times New Roman" w:hAnsi="Times New Roman" w:cs="Times New Roman"/>
          <w:color w:val="auto"/>
          <w:sz w:val="32"/>
          <w:szCs w:val="32"/>
        </w:rPr>
        <w:t>个，</w:t>
      </w:r>
      <w:r>
        <w:rPr>
          <w:rFonts w:ascii="Times New Roman" w:hAnsi="Times New Roman" w:cs="Times New Roman"/>
          <w:color w:val="auto"/>
          <w:sz w:val="32"/>
          <w:szCs w:val="32"/>
        </w:rPr>
        <w:t>极差比例</w:t>
      </w:r>
      <w:r>
        <w:rPr>
          <w:rFonts w:hint="eastAsia" w:ascii="Times New Roman" w:hAnsi="Times New Roman" w:cs="Times New Roman"/>
          <w:color w:val="auto"/>
          <w:sz w:val="32"/>
          <w:szCs w:val="32"/>
        </w:rPr>
        <w:t>均</w:t>
      </w:r>
      <w:r>
        <w:rPr>
          <w:rFonts w:ascii="Times New Roman" w:hAnsi="Times New Roman" w:cs="Times New Roman"/>
          <w:color w:val="auto"/>
          <w:sz w:val="32"/>
          <w:szCs w:val="32"/>
        </w:rPr>
        <w:t>为0%</w:t>
      </w:r>
      <w:r>
        <w:rPr>
          <w:rFonts w:hint="eastAsia" w:ascii="Times New Roman" w:hAnsi="Times New Roman" w:cs="Times New Roman"/>
          <w:color w:val="auto"/>
          <w:sz w:val="32"/>
          <w:szCs w:val="32"/>
        </w:rPr>
        <w:t>，达到福建省和宁德市考核要求。</w:t>
      </w:r>
    </w:p>
    <w:p>
      <w:pPr>
        <w:ind w:firstLine="643"/>
        <w:rPr>
          <w:rFonts w:ascii="Times New Roman" w:hAnsi="Times New Roman" w:cs="Times New Roman"/>
          <w:color w:val="auto"/>
          <w:sz w:val="32"/>
          <w:szCs w:val="32"/>
        </w:rPr>
      </w:pPr>
      <w:r>
        <w:rPr>
          <w:rFonts w:hint="eastAsia" w:ascii="Times New Roman" w:hAnsi="Times New Roman" w:cs="Times New Roman"/>
          <w:b/>
          <w:color w:val="auto"/>
          <w:sz w:val="32"/>
          <w:szCs w:val="32"/>
        </w:rPr>
        <w:t>全面完成加油站防渗改造。</w:t>
      </w:r>
      <w:r>
        <w:rPr>
          <w:rFonts w:hint="eastAsia" w:ascii="Times New Roman" w:hAnsi="Times New Roman" w:cs="Times New Roman"/>
          <w:color w:val="auto"/>
          <w:sz w:val="32"/>
          <w:szCs w:val="32"/>
        </w:rPr>
        <w:t>根据福建省和宁德市加油站地下油罐防渗改造工作部署，福鼎</w:t>
      </w:r>
      <w:r>
        <w:rPr>
          <w:rFonts w:ascii="Times New Roman" w:hAnsi="Times New Roman" w:cs="Times New Roman"/>
          <w:color w:val="auto"/>
          <w:sz w:val="32"/>
          <w:szCs w:val="32"/>
        </w:rPr>
        <w:t>市全面推进落实加油站地下油罐更新改造，</w:t>
      </w:r>
      <w:r>
        <w:rPr>
          <w:rFonts w:hint="eastAsia" w:ascii="Times New Roman" w:hAnsi="Times New Roman" w:cs="Times New Roman"/>
          <w:color w:val="auto"/>
          <w:sz w:val="32"/>
          <w:szCs w:val="32"/>
        </w:rPr>
        <w:t>因地制宜</w:t>
      </w:r>
      <w:r>
        <w:rPr>
          <w:rFonts w:ascii="Times New Roman" w:hAnsi="Times New Roman" w:cs="Times New Roman"/>
          <w:color w:val="auto"/>
          <w:sz w:val="32"/>
          <w:szCs w:val="32"/>
        </w:rPr>
        <w:t>采取双层罐或建造防渗池等防渗措施，防止地下水污染。截至2020</w:t>
      </w:r>
      <w:r>
        <w:rPr>
          <w:rFonts w:hint="eastAsia" w:ascii="Times New Roman" w:hAnsi="Times New Roman" w:cs="Times New Roman"/>
          <w:color w:val="auto"/>
          <w:sz w:val="32"/>
          <w:szCs w:val="32"/>
        </w:rPr>
        <w:t>年</w:t>
      </w:r>
      <w:r>
        <w:rPr>
          <w:rFonts w:ascii="Times New Roman" w:hAnsi="Times New Roman" w:cs="Times New Roman"/>
          <w:color w:val="auto"/>
          <w:sz w:val="32"/>
          <w:szCs w:val="32"/>
        </w:rPr>
        <w:t>12</w:t>
      </w:r>
      <w:r>
        <w:rPr>
          <w:rFonts w:hint="eastAsia" w:ascii="Times New Roman" w:hAnsi="Times New Roman" w:cs="Times New Roman"/>
          <w:color w:val="auto"/>
          <w:sz w:val="32"/>
          <w:szCs w:val="32"/>
        </w:rPr>
        <w:t>月，全市已全部完成加油站防渗改造工作。</w:t>
      </w:r>
    </w:p>
    <w:p>
      <w:pPr>
        <w:ind w:firstLine="643"/>
        <w:rPr>
          <w:rFonts w:ascii="Times New Roman" w:hAnsi="Times New Roman" w:eastAsia="黑体" w:cs="Times New Roman"/>
          <w:bCs/>
          <w:color w:val="auto"/>
          <w:sz w:val="32"/>
          <w:szCs w:val="32"/>
        </w:rPr>
      </w:pPr>
      <w:r>
        <w:rPr>
          <w:rFonts w:hint="eastAsia" w:ascii="Times New Roman" w:hAnsi="Times New Roman" w:cs="Times New Roman"/>
          <w:b/>
          <w:color w:val="auto"/>
          <w:sz w:val="32"/>
          <w:szCs w:val="32"/>
        </w:rPr>
        <w:t>逐步建立</w:t>
      </w:r>
      <w:r>
        <w:rPr>
          <w:rFonts w:ascii="Times New Roman" w:hAnsi="Times New Roman" w:cs="Times New Roman"/>
          <w:b/>
          <w:color w:val="auto"/>
          <w:sz w:val="32"/>
          <w:szCs w:val="32"/>
        </w:rPr>
        <w:t>“</w:t>
      </w:r>
      <w:r>
        <w:rPr>
          <w:rFonts w:hint="eastAsia" w:ascii="Times New Roman" w:hAnsi="Times New Roman" w:cs="Times New Roman"/>
          <w:b/>
          <w:color w:val="auto"/>
          <w:sz w:val="32"/>
          <w:szCs w:val="32"/>
        </w:rPr>
        <w:t>双源</w:t>
      </w:r>
      <w:r>
        <w:rPr>
          <w:rFonts w:ascii="Times New Roman" w:hAnsi="Times New Roman" w:cs="Times New Roman"/>
          <w:b/>
          <w:color w:val="auto"/>
          <w:sz w:val="32"/>
          <w:szCs w:val="32"/>
        </w:rPr>
        <w:t>”</w:t>
      </w:r>
      <w:r>
        <w:rPr>
          <w:rFonts w:hint="eastAsia" w:ascii="Times New Roman" w:hAnsi="Times New Roman" w:cs="Times New Roman"/>
          <w:b/>
          <w:color w:val="auto"/>
          <w:sz w:val="32"/>
          <w:szCs w:val="32"/>
        </w:rPr>
        <w:t>清单。</w:t>
      </w:r>
      <w:r>
        <w:rPr>
          <w:rFonts w:ascii="Times New Roman" w:hAnsi="Times New Roman" w:cs="Times New Roman"/>
          <w:color w:val="auto"/>
          <w:sz w:val="32"/>
          <w:szCs w:val="32"/>
        </w:rPr>
        <w:t xml:space="preserve"> “</w:t>
      </w:r>
      <w:r>
        <w:rPr>
          <w:rFonts w:hint="eastAsia" w:ascii="Times New Roman" w:hAnsi="Times New Roman" w:cs="Times New Roman"/>
          <w:color w:val="auto"/>
          <w:sz w:val="32"/>
          <w:szCs w:val="32"/>
        </w:rPr>
        <w:t>十三五</w:t>
      </w:r>
      <w:r>
        <w:rPr>
          <w:rFonts w:ascii="Times New Roman" w:hAnsi="Times New Roman" w:cs="Times New Roman"/>
          <w:color w:val="auto"/>
          <w:sz w:val="32"/>
          <w:szCs w:val="32"/>
        </w:rPr>
        <w:t>”</w:t>
      </w:r>
      <w:r>
        <w:rPr>
          <w:rFonts w:hint="eastAsia" w:ascii="Times New Roman" w:hAnsi="Times New Roman" w:cs="Times New Roman"/>
          <w:color w:val="auto"/>
          <w:sz w:val="32"/>
          <w:szCs w:val="32"/>
        </w:rPr>
        <w:t>期间，我市着力推进</w:t>
      </w:r>
      <w:r>
        <w:rPr>
          <w:rFonts w:ascii="Times New Roman" w:hAnsi="Times New Roman" w:cs="Times New Roman"/>
          <w:color w:val="auto"/>
          <w:sz w:val="32"/>
          <w:szCs w:val="32"/>
        </w:rPr>
        <w:t>“</w:t>
      </w:r>
      <w:r>
        <w:rPr>
          <w:rFonts w:hint="eastAsia" w:ascii="Times New Roman" w:hAnsi="Times New Roman" w:cs="Times New Roman"/>
          <w:color w:val="auto"/>
          <w:sz w:val="32"/>
          <w:szCs w:val="32"/>
        </w:rPr>
        <w:t>双源</w:t>
      </w:r>
      <w:r>
        <w:rPr>
          <w:rFonts w:ascii="Times New Roman" w:hAnsi="Times New Roman" w:cs="Times New Roman"/>
          <w:color w:val="auto"/>
          <w:sz w:val="32"/>
          <w:szCs w:val="32"/>
        </w:rPr>
        <w:t>”</w:t>
      </w:r>
      <w:r>
        <w:rPr>
          <w:rFonts w:hint="eastAsia" w:ascii="Times New Roman" w:hAnsi="Times New Roman" w:cs="Times New Roman"/>
          <w:color w:val="auto"/>
          <w:sz w:val="32"/>
          <w:szCs w:val="32"/>
        </w:rPr>
        <w:t>（地下水型饮用水水源地和污染源）调查，初步摸清全市集中式地下水型饮用水水源和重点污染源现状，为开展地下水环境状况调查评价、污染防治分区划定、污染源监测等工作奠定基础。全市共梳理形成</w:t>
      </w:r>
      <w:r>
        <w:rPr>
          <w:rFonts w:ascii="Times New Roman" w:hAnsi="Times New Roman" w:cs="Times New Roman"/>
          <w:color w:val="auto"/>
          <w:sz w:val="32"/>
          <w:szCs w:val="32"/>
        </w:rPr>
        <w:t>“</w:t>
      </w:r>
      <w:r>
        <w:rPr>
          <w:rFonts w:hint="eastAsia" w:ascii="Times New Roman" w:hAnsi="Times New Roman" w:cs="Times New Roman"/>
          <w:color w:val="auto"/>
          <w:sz w:val="32"/>
          <w:szCs w:val="32"/>
        </w:rPr>
        <w:t>双源</w:t>
      </w:r>
      <w:r>
        <w:rPr>
          <w:rFonts w:ascii="Times New Roman" w:hAnsi="Times New Roman" w:cs="Times New Roman"/>
          <w:color w:val="auto"/>
          <w:sz w:val="32"/>
          <w:szCs w:val="32"/>
        </w:rPr>
        <w:t>”</w:t>
      </w:r>
      <w:r>
        <w:rPr>
          <w:rFonts w:hint="eastAsia" w:ascii="Times New Roman" w:hAnsi="Times New Roman" w:cs="Times New Roman"/>
          <w:color w:val="auto"/>
          <w:sz w:val="32"/>
          <w:szCs w:val="32"/>
        </w:rPr>
        <w:t>清单</w:t>
      </w:r>
      <w:r>
        <w:rPr>
          <w:rFonts w:ascii="Times New Roman" w:hAnsi="Times New Roman" w:cs="Times New Roman"/>
          <w:color w:val="auto"/>
          <w:sz w:val="32"/>
          <w:szCs w:val="32"/>
        </w:rPr>
        <w:t>29</w:t>
      </w:r>
      <w:r>
        <w:rPr>
          <w:rFonts w:hint="eastAsia" w:ascii="Times New Roman" w:hAnsi="Times New Roman" w:cs="Times New Roman"/>
          <w:color w:val="auto"/>
          <w:sz w:val="32"/>
          <w:szCs w:val="32"/>
        </w:rPr>
        <w:t>条。其中，工业污染场地</w:t>
      </w:r>
      <w:r>
        <w:rPr>
          <w:rFonts w:ascii="Times New Roman" w:hAnsi="Times New Roman" w:cs="Times New Roman"/>
          <w:color w:val="auto"/>
          <w:sz w:val="32"/>
          <w:szCs w:val="32"/>
        </w:rPr>
        <w:t>5</w:t>
      </w:r>
      <w:r>
        <w:rPr>
          <w:rFonts w:hint="eastAsia" w:ascii="Times New Roman" w:hAnsi="Times New Roman" w:cs="Times New Roman"/>
          <w:color w:val="auto"/>
          <w:sz w:val="32"/>
          <w:szCs w:val="32"/>
        </w:rPr>
        <w:t>条、危险废物处置场</w:t>
      </w:r>
      <w:r>
        <w:rPr>
          <w:rFonts w:ascii="Times New Roman" w:hAnsi="Times New Roman" w:cs="Times New Roman"/>
          <w:color w:val="auto"/>
          <w:sz w:val="32"/>
          <w:szCs w:val="32"/>
        </w:rPr>
        <w:t>4</w:t>
      </w:r>
      <w:r>
        <w:rPr>
          <w:rFonts w:hint="eastAsia" w:ascii="Times New Roman" w:hAnsi="Times New Roman" w:cs="Times New Roman"/>
          <w:color w:val="auto"/>
          <w:sz w:val="32"/>
          <w:szCs w:val="32"/>
        </w:rPr>
        <w:t>条、垃圾填埋场</w:t>
      </w:r>
      <w:r>
        <w:rPr>
          <w:rFonts w:ascii="Times New Roman" w:hAnsi="Times New Roman" w:cs="Times New Roman"/>
          <w:color w:val="auto"/>
          <w:sz w:val="32"/>
          <w:szCs w:val="32"/>
        </w:rPr>
        <w:t>1</w:t>
      </w:r>
      <w:r>
        <w:rPr>
          <w:rFonts w:hint="eastAsia" w:ascii="Times New Roman" w:hAnsi="Times New Roman" w:cs="Times New Roman"/>
          <w:color w:val="auto"/>
          <w:sz w:val="32"/>
          <w:szCs w:val="32"/>
        </w:rPr>
        <w:t>条、规模化畜禽养殖场（小区）</w:t>
      </w:r>
      <w:r>
        <w:rPr>
          <w:rFonts w:ascii="Times New Roman" w:hAnsi="Times New Roman" w:cs="Times New Roman"/>
          <w:color w:val="auto"/>
          <w:sz w:val="32"/>
          <w:szCs w:val="32"/>
        </w:rPr>
        <w:t>19</w:t>
      </w:r>
      <w:r>
        <w:rPr>
          <w:rFonts w:hint="eastAsia" w:ascii="Times New Roman" w:hAnsi="Times New Roman" w:cs="Times New Roman"/>
          <w:color w:val="auto"/>
          <w:sz w:val="32"/>
          <w:szCs w:val="32"/>
        </w:rPr>
        <w:t>条。</w:t>
      </w:r>
    </w:p>
    <w:p>
      <w:pPr>
        <w:pStyle w:val="4"/>
        <w:rPr>
          <w:rFonts w:ascii="Times New Roman"/>
          <w:color w:val="auto"/>
        </w:rPr>
      </w:pPr>
      <w:bookmarkStart w:id="6" w:name="_Toc99552409"/>
      <w:r>
        <w:rPr>
          <w:rFonts w:ascii="Times New Roman"/>
          <w:color w:val="auto"/>
        </w:rPr>
        <w:t>第二节 地下水污染防治存在问题</w:t>
      </w:r>
      <w:bookmarkEnd w:id="6"/>
    </w:p>
    <w:p>
      <w:pPr>
        <w:ind w:firstLine="643"/>
        <w:rPr>
          <w:rFonts w:ascii="Times New Roman" w:hAnsi="Times New Roman" w:cs="Times New Roman"/>
          <w:bCs/>
          <w:color w:val="auto"/>
          <w:sz w:val="32"/>
          <w:szCs w:val="32"/>
        </w:rPr>
      </w:pPr>
      <w:bookmarkStart w:id="7" w:name="_Toc86406833"/>
      <w:bookmarkStart w:id="8" w:name="_Toc73546322"/>
      <w:bookmarkStart w:id="9" w:name="_Toc86256955"/>
      <w:bookmarkStart w:id="10" w:name="_Toc87628911"/>
      <w:r>
        <w:rPr>
          <w:rFonts w:ascii="Times New Roman" w:hAnsi="Times New Roman" w:cs="Times New Roman"/>
          <w:b/>
          <w:color w:val="auto"/>
          <w:sz w:val="32"/>
          <w:szCs w:val="32"/>
        </w:rPr>
        <w:t>地下水环境底数</w:t>
      </w:r>
      <w:bookmarkEnd w:id="7"/>
      <w:bookmarkEnd w:id="8"/>
      <w:bookmarkEnd w:id="9"/>
      <w:bookmarkEnd w:id="10"/>
      <w:r>
        <w:rPr>
          <w:rFonts w:hint="eastAsia" w:ascii="Times New Roman" w:hAnsi="Times New Roman" w:cs="Times New Roman"/>
          <w:b/>
          <w:color w:val="auto"/>
          <w:sz w:val="32"/>
          <w:szCs w:val="32"/>
        </w:rPr>
        <w:t>不清</w:t>
      </w:r>
      <w:r>
        <w:rPr>
          <w:rFonts w:ascii="Times New Roman" w:hAnsi="Times New Roman" w:cs="Times New Roman"/>
          <w:b/>
          <w:color w:val="auto"/>
          <w:sz w:val="32"/>
          <w:szCs w:val="32"/>
        </w:rPr>
        <w:t>。</w:t>
      </w:r>
      <w:r>
        <w:rPr>
          <w:rFonts w:hint="eastAsia" w:ascii="Times New Roman" w:hAnsi="Times New Roman" w:cs="Times New Roman"/>
          <w:bCs/>
          <w:color w:val="auto"/>
          <w:sz w:val="32"/>
          <w:szCs w:val="32"/>
        </w:rPr>
        <w:t>虽然全市前期开展了地下水“双源”调查等工作，但仅掌握各类污染源基本信息。对“一企一库”“两场两区”（即化学品生产企业、尾矿库、危险废物处置场、垃圾填埋场、化工产业为主导的工业集聚区、矿山开采区）等重点污染源的详细环境状况尚未摸清。全市</w:t>
      </w:r>
      <w:r>
        <w:rPr>
          <w:rFonts w:ascii="Times New Roman" w:hAnsi="Times New Roman" w:cs="Times New Roman"/>
          <w:bCs/>
          <w:color w:val="auto"/>
          <w:sz w:val="32"/>
          <w:szCs w:val="32"/>
        </w:rPr>
        <w:t>尚未开展区域地下水环境状况调查评估，专项地下水环境状况调查工作刚刚起步，</w:t>
      </w:r>
      <w:r>
        <w:rPr>
          <w:rFonts w:hint="eastAsia" w:ascii="Times New Roman" w:hAnsi="Times New Roman" w:cs="Times New Roman"/>
          <w:color w:val="auto"/>
          <w:sz w:val="32"/>
          <w:szCs w:val="32"/>
        </w:rPr>
        <w:t>还不能准确、全面反映全市地下水环境质量状况。</w:t>
      </w:r>
    </w:p>
    <w:p>
      <w:pPr>
        <w:ind w:firstLine="643"/>
        <w:rPr>
          <w:rFonts w:ascii="Times New Roman" w:hAnsi="Times New Roman" w:cs="Times New Roman"/>
          <w:color w:val="auto"/>
          <w:sz w:val="32"/>
          <w:szCs w:val="32"/>
        </w:rPr>
      </w:pPr>
      <w:r>
        <w:rPr>
          <w:rFonts w:hint="eastAsia" w:ascii="Times New Roman" w:hAnsi="Times New Roman" w:cs="Times New Roman"/>
          <w:b/>
          <w:color w:val="auto"/>
          <w:sz w:val="32"/>
          <w:szCs w:val="32"/>
        </w:rPr>
        <w:t>局部区域污染防治形势不容乐观。</w:t>
      </w:r>
      <w:r>
        <w:rPr>
          <w:rFonts w:hint="eastAsia" w:ascii="Times New Roman" w:hAnsi="Times New Roman" w:cs="Times New Roman"/>
          <w:color w:val="auto"/>
          <w:sz w:val="32"/>
          <w:szCs w:val="32"/>
        </w:rPr>
        <w:t>近年来全市沿海地区咸潮上溯频次增多、规模增大、持续时间延长，导致部分沿海地区浅层地下水环境受到影响。由于“</w:t>
      </w:r>
      <w:r>
        <w:rPr>
          <w:rFonts w:ascii="Times New Roman" w:hAnsi="Times New Roman" w:cs="Times New Roman"/>
          <w:color w:val="auto"/>
          <w:sz w:val="32"/>
          <w:szCs w:val="32"/>
        </w:rPr>
        <w:t>十三五</w:t>
      </w:r>
      <w:r>
        <w:rPr>
          <w:rFonts w:hint="eastAsia" w:ascii="Times New Roman" w:hAnsi="Times New Roman" w:cs="Times New Roman"/>
          <w:color w:val="auto"/>
          <w:sz w:val="32"/>
          <w:szCs w:val="32"/>
        </w:rPr>
        <w:t>”</w:t>
      </w:r>
      <w:r>
        <w:rPr>
          <w:rFonts w:ascii="Times New Roman" w:hAnsi="Times New Roman" w:cs="Times New Roman"/>
          <w:color w:val="auto"/>
          <w:sz w:val="32"/>
          <w:szCs w:val="32"/>
        </w:rPr>
        <w:t>前地下水污染防治相关要求尚不明确，大部分企业设计建设、生产经营中，均未充分考虑污染物对地下水的影响，</w:t>
      </w:r>
      <w:r>
        <w:rPr>
          <w:rFonts w:hint="eastAsia" w:ascii="Times New Roman" w:hAnsi="Times New Roman" w:cs="Times New Roman"/>
          <w:color w:val="auto"/>
          <w:sz w:val="32"/>
          <w:szCs w:val="32"/>
        </w:rPr>
        <w:t>加之</w:t>
      </w:r>
      <w:r>
        <w:rPr>
          <w:rFonts w:ascii="Times New Roman" w:hAnsi="Times New Roman" w:cs="Times New Roman"/>
          <w:color w:val="auto"/>
          <w:sz w:val="32"/>
          <w:szCs w:val="32"/>
        </w:rPr>
        <w:t>水文地质条件复杂</w:t>
      </w:r>
      <w:r>
        <w:rPr>
          <w:rFonts w:hint="eastAsia" w:ascii="Times New Roman" w:hAnsi="Times New Roman" w:cs="Times New Roman"/>
          <w:color w:val="auto"/>
          <w:sz w:val="32"/>
          <w:szCs w:val="32"/>
        </w:rPr>
        <w:t>，</w:t>
      </w:r>
      <w:r>
        <w:rPr>
          <w:rFonts w:ascii="Times New Roman" w:hAnsi="Times New Roman" w:cs="Times New Roman"/>
          <w:color w:val="auto"/>
          <w:sz w:val="32"/>
          <w:szCs w:val="32"/>
        </w:rPr>
        <w:t>导致污染成因排查难、风险防控难度大。</w:t>
      </w:r>
      <w:r>
        <w:rPr>
          <w:rFonts w:hint="eastAsia" w:ascii="Times New Roman" w:hAnsi="Times New Roman" w:cs="Times New Roman"/>
          <w:color w:val="auto"/>
          <w:sz w:val="32"/>
          <w:szCs w:val="32"/>
        </w:rPr>
        <w:t>从重点行业企业用地调查结果来看，金属制品业等行业企业聚集区域地下水环境质量问题日益显现，污染防治形势不容乐观。</w:t>
      </w:r>
    </w:p>
    <w:p>
      <w:pPr>
        <w:ind w:firstLine="643"/>
        <w:rPr>
          <w:rFonts w:ascii="Times New Roman" w:hAnsi="Times New Roman" w:cs="Times New Roman"/>
          <w:color w:val="auto"/>
          <w:sz w:val="32"/>
          <w:szCs w:val="32"/>
        </w:rPr>
      </w:pPr>
      <w:bookmarkStart w:id="11" w:name="_Toc73546324"/>
      <w:bookmarkStart w:id="12" w:name="_Toc86406835"/>
      <w:bookmarkStart w:id="13" w:name="_Toc86256957"/>
      <w:bookmarkStart w:id="14" w:name="_Toc87628913"/>
      <w:r>
        <w:rPr>
          <w:rFonts w:hint="eastAsia" w:ascii="Times New Roman" w:hAnsi="Times New Roman" w:cs="Times New Roman"/>
          <w:b/>
          <w:color w:val="auto"/>
          <w:sz w:val="32"/>
          <w:szCs w:val="32"/>
        </w:rPr>
        <w:t>监测数据难以共享，监管能力亟待提升</w:t>
      </w:r>
      <w:bookmarkEnd w:id="11"/>
      <w:bookmarkEnd w:id="12"/>
      <w:bookmarkEnd w:id="13"/>
      <w:bookmarkEnd w:id="14"/>
      <w:r>
        <w:rPr>
          <w:rFonts w:ascii="Times New Roman" w:hAnsi="Times New Roman" w:cs="Times New Roman"/>
          <w:b/>
          <w:color w:val="auto"/>
          <w:sz w:val="32"/>
          <w:szCs w:val="32"/>
        </w:rPr>
        <w:t>。</w:t>
      </w:r>
      <w:r>
        <w:rPr>
          <w:rFonts w:hint="eastAsia" w:ascii="Times New Roman" w:hAnsi="Times New Roman" w:cs="Times New Roman"/>
          <w:color w:val="auto"/>
          <w:sz w:val="32"/>
          <w:szCs w:val="32"/>
        </w:rPr>
        <w:t>虽然生态环境、自然资源和水利等部门均有开展地下水监测，但各部门在监测目的、方法和指标等侧重不同，存在监测数据分散化、不兼容等情况，造成前期监测资料、研究成果难以实现共享，无法整合形成统一的地下水监测网络。全市地下水污染防治工作底子薄、基础差。基层环境管理人员经验不足、水平不高，专业技术人才储备不足、专精程度不够，现有监测设备落后、数量不足等问题普遍存在，造成地下水环境监管能力无法满足污染防治工作实际需要。</w:t>
      </w:r>
    </w:p>
    <w:p>
      <w:pPr>
        <w:pStyle w:val="4"/>
        <w:rPr>
          <w:rFonts w:ascii="Times New Roman"/>
          <w:color w:val="auto"/>
        </w:rPr>
      </w:pPr>
      <w:bookmarkStart w:id="15" w:name="_Toc55295160"/>
      <w:bookmarkStart w:id="16" w:name="_Toc99552410"/>
      <w:r>
        <w:rPr>
          <w:rFonts w:ascii="Times New Roman"/>
          <w:color w:val="auto"/>
        </w:rPr>
        <w:t xml:space="preserve">第三节 </w:t>
      </w:r>
      <w:bookmarkEnd w:id="15"/>
      <w:r>
        <w:rPr>
          <w:rFonts w:hint="eastAsia" w:ascii="Times New Roman"/>
          <w:color w:val="auto"/>
        </w:rPr>
        <w:t>面临形势与挑战</w:t>
      </w:r>
      <w:bookmarkEnd w:id="16"/>
    </w:p>
    <w:p>
      <w:pPr>
        <w:ind w:firstLine="640"/>
        <w:rPr>
          <w:rFonts w:ascii="Times New Roman" w:hAnsi="Times New Roman" w:cs="Times New Roman"/>
          <w:color w:val="auto"/>
          <w:sz w:val="32"/>
          <w:szCs w:val="24"/>
        </w:rPr>
      </w:pPr>
      <w:r>
        <w:rPr>
          <w:rFonts w:hint="eastAsia" w:ascii="Times New Roman" w:hAnsi="Times New Roman" w:cs="Times New Roman"/>
          <w:color w:val="auto"/>
          <w:sz w:val="32"/>
          <w:szCs w:val="24"/>
        </w:rPr>
        <w:t>《福建省“十四五”地下水污染防治规划》（闽环保土〔</w:t>
      </w:r>
      <w:r>
        <w:rPr>
          <w:rFonts w:ascii="Times New Roman" w:hAnsi="Times New Roman" w:cs="Times New Roman"/>
          <w:color w:val="auto"/>
          <w:sz w:val="32"/>
          <w:szCs w:val="24"/>
        </w:rPr>
        <w:t>2022〕2号</w:t>
      </w:r>
      <w:r>
        <w:rPr>
          <w:rFonts w:hint="eastAsia" w:ascii="Times New Roman" w:hAnsi="Times New Roman" w:cs="Times New Roman"/>
          <w:color w:val="auto"/>
          <w:sz w:val="32"/>
          <w:szCs w:val="24"/>
        </w:rPr>
        <w:t>）提出：从开展地下水环境状况调查评估、加强地下水污染源头预防、实施地下水污染风险管控及修复、保障地下水型饮用水水源环境安全、强化地下水监管能力建设、建设地下水污染防治试验区等六方面稳步推进地下水污染防治工作。《福鼎市“十四五”生态环境保护规划》（鼎政办〔</w:t>
      </w:r>
      <w:r>
        <w:rPr>
          <w:rFonts w:ascii="Times New Roman" w:hAnsi="Times New Roman" w:cs="Times New Roman"/>
          <w:color w:val="auto"/>
          <w:sz w:val="32"/>
          <w:szCs w:val="24"/>
        </w:rPr>
        <w:t>2021</w:t>
      </w:r>
      <w:r>
        <w:rPr>
          <w:rFonts w:hint="eastAsia" w:ascii="Times New Roman" w:hAnsi="Times New Roman" w:cs="Times New Roman"/>
          <w:color w:val="auto"/>
          <w:sz w:val="32"/>
          <w:szCs w:val="24"/>
        </w:rPr>
        <w:t>〕</w:t>
      </w:r>
      <w:r>
        <w:rPr>
          <w:rFonts w:ascii="Times New Roman" w:hAnsi="Times New Roman" w:cs="Times New Roman"/>
          <w:color w:val="auto"/>
          <w:sz w:val="32"/>
          <w:szCs w:val="24"/>
        </w:rPr>
        <w:t>57</w:t>
      </w:r>
      <w:r>
        <w:rPr>
          <w:rFonts w:hint="eastAsia" w:ascii="Times New Roman" w:hAnsi="Times New Roman" w:cs="Times New Roman"/>
          <w:color w:val="auto"/>
          <w:sz w:val="32"/>
          <w:szCs w:val="24"/>
        </w:rPr>
        <w:t>号）提出：加强地下水环境保护，开展地下水基础环境重点区域调查，推进地下水型饮用水源、污染源清单调查汇总，整合构建区域全覆盖、种类齐全、分布合理的地下水监测“一张网”；健全地下水防控体系，加强重点工业行业对地下水环境的影响监管，定期开展地下水污染风险排查监测，防止工业危险废物污染地下水；强化垃圾填埋场的防渗及渗滤液处理，开展矿山开采区、其他重点行业企业地下储罐等区域防渗改造，防止污染地下水。“十四五”期间全市亟待开展地下水环境状况调查评估、污染防治重点区划定、风险管控及修复治理等工作，以摸清底数、分区划定、分类管控，逐步改善区域地下水环境质量，保障地下水环境质量安全。</w:t>
      </w:r>
    </w:p>
    <w:p>
      <w:pPr>
        <w:ind w:firstLine="640"/>
        <w:rPr>
          <w:rFonts w:ascii="Times New Roman" w:hAnsi="Times New Roman" w:cs="Times New Roman"/>
          <w:color w:val="auto"/>
          <w:sz w:val="32"/>
          <w:szCs w:val="24"/>
        </w:rPr>
      </w:pPr>
      <w:r>
        <w:rPr>
          <w:rFonts w:hint="eastAsia" w:ascii="Times New Roman" w:hAnsi="Times New Roman" w:cs="Times New Roman"/>
          <w:color w:val="auto"/>
          <w:sz w:val="32"/>
          <w:szCs w:val="24"/>
        </w:rPr>
        <w:t>我市地下水污染防治工作起步较晚，地下水基础环境状况尚未准确掌握，污染源底数还未全部摸清，污染来源及途径尚不完全清晰，地下水环境监测网络尚未健全、基础数据共享不到位；同时，地下水污染源种类繁多，风险管控及修复治理难度大、成本高，适用于我市水文地质条件、污染源特征的污染防治技术及修复治理模式基本空白。对照宁德市“十四五”地下水污染防治工作要求，我市地下水污染防治工作面临着较大的挑战。</w:t>
      </w:r>
    </w:p>
    <w:p>
      <w:pPr>
        <w:widowControl/>
        <w:adjustRightInd/>
        <w:snapToGrid/>
        <w:spacing w:line="240" w:lineRule="auto"/>
        <w:ind w:firstLine="640"/>
        <w:jc w:val="left"/>
        <w:rPr>
          <w:rFonts w:ascii="Times New Roman" w:hAnsi="Times New Roman" w:cs="Times New Roman"/>
          <w:color w:val="auto"/>
          <w:sz w:val="32"/>
          <w:szCs w:val="24"/>
        </w:rPr>
      </w:pPr>
    </w:p>
    <w:p>
      <w:pPr>
        <w:widowControl/>
        <w:adjustRightInd/>
        <w:snapToGrid/>
        <w:spacing w:line="240" w:lineRule="auto"/>
        <w:ind w:firstLine="0" w:firstLineChars="0"/>
        <w:jc w:val="left"/>
        <w:rPr>
          <w:rFonts w:ascii="Times New Roman" w:hAnsi="Times New Roman" w:cs="Times New Roman"/>
          <w:color w:val="auto"/>
        </w:rPr>
      </w:pPr>
      <w:r>
        <w:rPr>
          <w:rFonts w:ascii="Times New Roman" w:hAnsi="Times New Roman" w:cs="Times New Roman"/>
          <w:color w:val="auto"/>
        </w:rPr>
        <w:br w:type="page"/>
      </w:r>
    </w:p>
    <w:p>
      <w:pPr>
        <w:pStyle w:val="3"/>
        <w:rPr>
          <w:rFonts w:ascii="Times New Roman" w:hAnsi="Times New Roman"/>
          <w:color w:val="auto"/>
        </w:rPr>
      </w:pPr>
      <w:bookmarkStart w:id="17" w:name="_Toc99552411"/>
      <w:r>
        <w:rPr>
          <w:rFonts w:ascii="Times New Roman" w:hAnsi="Times New Roman"/>
          <w:color w:val="auto"/>
        </w:rPr>
        <w:t xml:space="preserve">第二章 </w:t>
      </w:r>
      <w:r>
        <w:rPr>
          <w:rFonts w:hint="eastAsia" w:ascii="Times New Roman" w:hAnsi="Times New Roman"/>
          <w:color w:val="auto"/>
        </w:rPr>
        <w:t>总体要求</w:t>
      </w:r>
      <w:bookmarkEnd w:id="17"/>
    </w:p>
    <w:p>
      <w:pPr>
        <w:pStyle w:val="4"/>
        <w:rPr>
          <w:rFonts w:ascii="Times New Roman"/>
          <w:color w:val="auto"/>
        </w:rPr>
      </w:pPr>
      <w:bookmarkStart w:id="18" w:name="_Toc99552412"/>
      <w:r>
        <w:rPr>
          <w:rFonts w:ascii="Times New Roman"/>
          <w:color w:val="auto"/>
        </w:rPr>
        <w:t>第一节 指导思想</w:t>
      </w:r>
      <w:bookmarkEnd w:id="18"/>
    </w:p>
    <w:p>
      <w:pPr>
        <w:ind w:firstLine="640"/>
        <w:rPr>
          <w:rFonts w:ascii="Times New Roman" w:hAnsi="Times New Roman" w:cs="Times New Roman"/>
          <w:color w:val="auto"/>
          <w:sz w:val="32"/>
          <w:szCs w:val="24"/>
          <w:lang w:eastAsia="zh-Hans"/>
        </w:rPr>
      </w:pPr>
      <w:r>
        <w:rPr>
          <w:rFonts w:ascii="Times New Roman" w:hAnsi="Times New Roman" w:cs="Times New Roman"/>
          <w:color w:val="auto"/>
          <w:sz w:val="32"/>
          <w:szCs w:val="24"/>
          <w:lang w:eastAsia="zh-Hans"/>
        </w:rPr>
        <w:t>以习近平新时代中国特色社会主义思想为指导，全面贯彻党的十九大和</w:t>
      </w:r>
      <w:r>
        <w:rPr>
          <w:rFonts w:hint="eastAsia" w:ascii="Times New Roman" w:hAnsi="Times New Roman" w:cs="Times New Roman"/>
          <w:color w:val="auto"/>
          <w:sz w:val="32"/>
          <w:szCs w:val="24"/>
          <w:lang w:eastAsia="zh-Hans"/>
        </w:rPr>
        <w:t>十九届历次</w:t>
      </w:r>
      <w:r>
        <w:rPr>
          <w:rFonts w:ascii="Times New Roman" w:hAnsi="Times New Roman" w:cs="Times New Roman"/>
          <w:color w:val="auto"/>
          <w:sz w:val="32"/>
          <w:szCs w:val="24"/>
          <w:lang w:eastAsia="zh-Hans"/>
        </w:rPr>
        <w:t>全会精神，认真践行习近平生态文明思想、立足新发展阶段、贯彻新发展理念、构建新发展格局，以保护和改善地下水环境质量为核心，坚持保护优先、预防为主、风险管控、协同治理，突出精准治污、科学治污、依法治污</w:t>
      </w:r>
      <w:r>
        <w:rPr>
          <w:rFonts w:ascii="Times New Roman" w:hAnsi="Times New Roman" w:cs="Times New Roman"/>
          <w:color w:val="auto"/>
          <w:sz w:val="32"/>
          <w:szCs w:val="24"/>
        </w:rPr>
        <w:t>。</w:t>
      </w:r>
      <w:r>
        <w:rPr>
          <w:rFonts w:ascii="Times New Roman" w:hAnsi="Times New Roman" w:cs="Times New Roman"/>
          <w:color w:val="auto"/>
          <w:sz w:val="32"/>
          <w:szCs w:val="24"/>
          <w:lang w:eastAsia="zh-Hans"/>
        </w:rPr>
        <w:t>全面落实</w:t>
      </w:r>
      <w:r>
        <w:rPr>
          <w:rFonts w:hint="eastAsia" w:ascii="Times New Roman" w:hAnsi="Times New Roman" w:cs="Times New Roman"/>
          <w:color w:val="auto"/>
          <w:sz w:val="32"/>
          <w:szCs w:val="24"/>
        </w:rPr>
        <w:t>《</w:t>
      </w:r>
      <w:r>
        <w:rPr>
          <w:rFonts w:ascii="Times New Roman" w:hAnsi="Times New Roman" w:cs="Times New Roman"/>
          <w:color w:val="auto"/>
          <w:sz w:val="32"/>
          <w:szCs w:val="24"/>
          <w:lang w:eastAsia="zh-Hans"/>
        </w:rPr>
        <w:t>水污染防治法</w:t>
      </w:r>
      <w:r>
        <w:rPr>
          <w:rFonts w:hint="eastAsia" w:ascii="Times New Roman" w:hAnsi="Times New Roman" w:cs="Times New Roman"/>
          <w:color w:val="auto"/>
          <w:sz w:val="32"/>
          <w:szCs w:val="24"/>
        </w:rPr>
        <w:t>》《</w:t>
      </w:r>
      <w:r>
        <w:rPr>
          <w:rFonts w:ascii="Times New Roman" w:hAnsi="Times New Roman" w:cs="Times New Roman"/>
          <w:color w:val="auto"/>
          <w:sz w:val="32"/>
          <w:szCs w:val="24"/>
          <w:lang w:eastAsia="zh-Hans"/>
        </w:rPr>
        <w:t>土壤污染防治法</w:t>
      </w:r>
      <w:r>
        <w:rPr>
          <w:rFonts w:hint="eastAsia" w:ascii="Times New Roman" w:hAnsi="Times New Roman" w:cs="Times New Roman"/>
          <w:color w:val="auto"/>
          <w:sz w:val="32"/>
          <w:szCs w:val="24"/>
        </w:rPr>
        <w:t>》和《地下水管理条例》</w:t>
      </w:r>
      <w:r>
        <w:rPr>
          <w:rFonts w:ascii="Times New Roman" w:hAnsi="Times New Roman" w:cs="Times New Roman"/>
          <w:color w:val="auto"/>
          <w:sz w:val="32"/>
          <w:szCs w:val="24"/>
          <w:lang w:eastAsia="zh-Hans"/>
        </w:rPr>
        <w:t>，</w:t>
      </w:r>
      <w:r>
        <w:rPr>
          <w:rFonts w:hint="eastAsia" w:ascii="Times New Roman" w:hAnsi="Times New Roman" w:cs="Times New Roman"/>
          <w:color w:val="auto"/>
          <w:sz w:val="32"/>
          <w:szCs w:val="24"/>
        </w:rPr>
        <w:t>着力</w:t>
      </w:r>
      <w:r>
        <w:rPr>
          <w:rFonts w:ascii="Times New Roman" w:hAnsi="Times New Roman" w:cs="Times New Roman"/>
          <w:color w:val="auto"/>
          <w:sz w:val="32"/>
          <w:szCs w:val="24"/>
          <w:lang w:eastAsia="zh-Hans"/>
        </w:rPr>
        <w:t>“分区管理，分类防控，协同治理”</w:t>
      </w:r>
      <w:r>
        <w:rPr>
          <w:rFonts w:hint="eastAsia" w:ascii="Times New Roman" w:hAnsi="Times New Roman" w:cs="Times New Roman"/>
          <w:color w:val="auto"/>
          <w:sz w:val="32"/>
          <w:szCs w:val="24"/>
          <w:lang w:eastAsia="zh-Hans"/>
        </w:rPr>
        <w:t>，加快推进地下水污染防治，保障地下水</w:t>
      </w:r>
      <w:r>
        <w:rPr>
          <w:rFonts w:hint="eastAsia" w:ascii="Times New Roman" w:hAnsi="Times New Roman" w:cs="Times New Roman"/>
          <w:color w:val="auto"/>
          <w:sz w:val="32"/>
          <w:szCs w:val="24"/>
        </w:rPr>
        <w:t>环境质量</w:t>
      </w:r>
      <w:r>
        <w:rPr>
          <w:rFonts w:ascii="Times New Roman" w:hAnsi="Times New Roman" w:cs="Times New Roman"/>
          <w:color w:val="auto"/>
          <w:sz w:val="32"/>
          <w:szCs w:val="24"/>
          <w:lang w:eastAsia="zh-Hans"/>
        </w:rPr>
        <w:t>安全，实现地下水资源可持续利用，推动经济社会可持续发展。</w:t>
      </w:r>
    </w:p>
    <w:p>
      <w:pPr>
        <w:pStyle w:val="4"/>
        <w:rPr>
          <w:rFonts w:ascii="Times New Roman"/>
          <w:color w:val="auto"/>
        </w:rPr>
      </w:pPr>
      <w:bookmarkStart w:id="19" w:name="_Toc86256961"/>
      <w:bookmarkEnd w:id="19"/>
      <w:bookmarkStart w:id="20" w:name="_Toc99552413"/>
      <w:r>
        <w:rPr>
          <w:rFonts w:hint="eastAsia" w:ascii="Times New Roman"/>
          <w:color w:val="auto"/>
        </w:rPr>
        <w:t>第二节</w:t>
      </w:r>
      <w:r>
        <w:rPr>
          <w:rFonts w:ascii="Times New Roman"/>
          <w:color w:val="auto"/>
        </w:rPr>
        <w:t xml:space="preserve"> 基本原则</w:t>
      </w:r>
      <w:bookmarkEnd w:id="20"/>
    </w:p>
    <w:p>
      <w:pPr>
        <w:ind w:firstLine="643"/>
        <w:rPr>
          <w:rFonts w:ascii="Times New Roman" w:hAnsi="Times New Roman" w:cs="Times New Roman"/>
          <w:color w:val="auto"/>
          <w:sz w:val="32"/>
          <w:szCs w:val="24"/>
          <w:lang w:eastAsia="zh-Hans"/>
        </w:rPr>
      </w:pPr>
      <w:r>
        <w:rPr>
          <w:rFonts w:hint="eastAsia" w:ascii="Times New Roman" w:hAnsi="Times New Roman" w:cs="Times New Roman"/>
          <w:b/>
          <w:bCs/>
          <w:color w:val="auto"/>
          <w:sz w:val="32"/>
          <w:szCs w:val="24"/>
          <w:lang w:eastAsia="zh-Hans"/>
        </w:rPr>
        <w:t>保护优先，</w:t>
      </w:r>
      <w:r>
        <w:rPr>
          <w:rFonts w:ascii="Times New Roman" w:hAnsi="Times New Roman" w:cs="Times New Roman"/>
          <w:b/>
          <w:bCs/>
          <w:color w:val="auto"/>
          <w:sz w:val="32"/>
          <w:szCs w:val="24"/>
          <w:lang w:eastAsia="zh-Hans"/>
        </w:rPr>
        <w:t>预防为主。</w:t>
      </w:r>
      <w:r>
        <w:rPr>
          <w:rFonts w:hint="eastAsia" w:ascii="Times New Roman" w:hAnsi="Times New Roman" w:cs="Times New Roman"/>
          <w:bCs/>
          <w:color w:val="auto"/>
          <w:sz w:val="32"/>
          <w:szCs w:val="24"/>
          <w:lang w:eastAsia="zh-Hans"/>
        </w:rPr>
        <w:t>坚持保护优先、预防为主，防治结合，推动地下水环境质量持续改善。对已出现地下水污染的重点治理区，应防治结合，强化风险管控和污染防治；对存在潜在污染的一般防控区，则以防为主，注重监测和风险预警，最大程度降低地下水污染风险；对地下水保护区，以制度防控为主，加强监测预警。</w:t>
      </w:r>
    </w:p>
    <w:p>
      <w:pPr>
        <w:ind w:firstLine="643"/>
        <w:rPr>
          <w:rFonts w:ascii="Times New Roman" w:hAnsi="Times New Roman" w:cs="Times New Roman"/>
          <w:b/>
          <w:bCs/>
          <w:color w:val="auto"/>
          <w:sz w:val="32"/>
          <w:szCs w:val="24"/>
        </w:rPr>
      </w:pPr>
      <w:r>
        <w:rPr>
          <w:rFonts w:ascii="Times New Roman" w:hAnsi="Times New Roman" w:cs="Times New Roman"/>
          <w:b/>
          <w:bCs/>
          <w:color w:val="auto"/>
          <w:sz w:val="32"/>
          <w:szCs w:val="24"/>
          <w:lang w:eastAsia="zh-Hans"/>
        </w:rPr>
        <w:t>问题导向，防控风险。</w:t>
      </w:r>
      <w:r>
        <w:rPr>
          <w:rFonts w:hint="eastAsia" w:ascii="Times New Roman" w:hAnsi="Times New Roman" w:cs="Times New Roman"/>
          <w:bCs/>
          <w:color w:val="auto"/>
          <w:sz w:val="32"/>
          <w:szCs w:val="24"/>
          <w:lang w:eastAsia="zh-Hans"/>
        </w:rPr>
        <w:t>聚焦重点区域、重点行业和重点污染物，针对重点污染源多且环境风险大等问题，加强地下水污染风险防控体系建设，因地制宜制定污染防控措施，分区管理、分类施策、分级防治，防控地下水污染风险。</w:t>
      </w:r>
    </w:p>
    <w:p>
      <w:pPr>
        <w:ind w:firstLine="643"/>
        <w:rPr>
          <w:rFonts w:ascii="Times New Roman" w:hAnsi="Times New Roman" w:cs="Times New Roman"/>
          <w:b/>
          <w:bCs/>
          <w:color w:val="auto"/>
          <w:sz w:val="32"/>
          <w:szCs w:val="24"/>
        </w:rPr>
      </w:pPr>
      <w:r>
        <w:rPr>
          <w:rFonts w:hint="eastAsia" w:ascii="Times New Roman" w:hAnsi="Times New Roman" w:cs="Times New Roman"/>
          <w:b/>
          <w:bCs/>
          <w:color w:val="auto"/>
          <w:sz w:val="32"/>
          <w:szCs w:val="24"/>
          <w:lang w:eastAsia="zh-Hans"/>
        </w:rPr>
        <w:t>明确责任</w:t>
      </w:r>
      <w:r>
        <w:rPr>
          <w:rFonts w:hint="eastAsia" w:ascii="Times New Roman" w:hAnsi="Times New Roman" w:cs="Times New Roman"/>
          <w:b/>
          <w:bCs/>
          <w:color w:val="auto"/>
          <w:sz w:val="32"/>
          <w:szCs w:val="24"/>
        </w:rPr>
        <w:t>，</w:t>
      </w:r>
      <w:r>
        <w:rPr>
          <w:rFonts w:hint="eastAsia" w:ascii="Times New Roman" w:hAnsi="Times New Roman" w:cs="Times New Roman"/>
          <w:b/>
          <w:bCs/>
          <w:color w:val="auto"/>
          <w:sz w:val="32"/>
          <w:szCs w:val="24"/>
          <w:lang w:eastAsia="zh-Hans"/>
        </w:rPr>
        <w:t>循序渐进</w:t>
      </w:r>
      <w:r>
        <w:rPr>
          <w:rFonts w:hint="eastAsia" w:ascii="Times New Roman" w:hAnsi="Times New Roman" w:cs="Times New Roman"/>
          <w:b/>
          <w:bCs/>
          <w:color w:val="auto"/>
          <w:sz w:val="32"/>
          <w:szCs w:val="24"/>
        </w:rPr>
        <w:t>。</w:t>
      </w:r>
      <w:r>
        <w:rPr>
          <w:rFonts w:hint="eastAsia" w:ascii="Times New Roman" w:hAnsi="Times New Roman" w:cs="Times New Roman"/>
          <w:bCs/>
          <w:color w:val="auto"/>
          <w:sz w:val="32"/>
          <w:szCs w:val="24"/>
        </w:rPr>
        <w:t>建立“谁污染谁修复、谁损害谁赔偿”的责任追究制度，建立健全工作机制，完善地下水污染防治目标责任制，落实“党政同责”“一岗双责”，构建形成齐抓共管的工作格局。从调查评估摸清底数入手，逐步推进地下水污染风险管控和修复治理等工作。</w:t>
      </w:r>
    </w:p>
    <w:p>
      <w:pPr>
        <w:pStyle w:val="4"/>
        <w:rPr>
          <w:rFonts w:ascii="Times New Roman"/>
          <w:color w:val="auto"/>
        </w:rPr>
      </w:pPr>
      <w:bookmarkStart w:id="21" w:name="_Toc99552414"/>
      <w:r>
        <w:rPr>
          <w:rFonts w:ascii="Times New Roman"/>
          <w:color w:val="auto"/>
        </w:rPr>
        <w:t>第三节 规划目标</w:t>
      </w:r>
      <w:bookmarkEnd w:id="21"/>
    </w:p>
    <w:p>
      <w:pPr>
        <w:ind w:firstLine="640"/>
        <w:rPr>
          <w:rFonts w:ascii="Times New Roman" w:hAnsi="Times New Roman" w:cs="Times New Roman"/>
          <w:color w:val="auto"/>
          <w:sz w:val="32"/>
          <w:szCs w:val="24"/>
        </w:rPr>
      </w:pPr>
      <w:r>
        <w:rPr>
          <w:rFonts w:ascii="Times New Roman" w:hAnsi="Times New Roman" w:cs="Times New Roman"/>
          <w:color w:val="auto"/>
          <w:sz w:val="32"/>
          <w:szCs w:val="24"/>
        </w:rPr>
        <w:t>到2025</w:t>
      </w:r>
      <w:r>
        <w:rPr>
          <w:rFonts w:hint="eastAsia" w:ascii="Times New Roman" w:hAnsi="Times New Roman" w:cs="Times New Roman"/>
          <w:color w:val="auto"/>
          <w:sz w:val="32"/>
          <w:szCs w:val="24"/>
        </w:rPr>
        <w:t>年，全市地下水环境质量总体保持稳定（表</w:t>
      </w:r>
      <w:r>
        <w:rPr>
          <w:rFonts w:ascii="Times New Roman" w:hAnsi="Times New Roman" w:cs="Times New Roman"/>
          <w:color w:val="auto"/>
          <w:sz w:val="32"/>
          <w:szCs w:val="24"/>
        </w:rPr>
        <w:t>1）。到2035</w:t>
      </w:r>
      <w:r>
        <w:rPr>
          <w:rFonts w:hint="eastAsia" w:ascii="Times New Roman" w:hAnsi="Times New Roman" w:cs="Times New Roman"/>
          <w:color w:val="auto"/>
          <w:sz w:val="32"/>
          <w:szCs w:val="24"/>
        </w:rPr>
        <w:t>年，全市地下水环境质量总体改善。</w:t>
      </w:r>
    </w:p>
    <w:p>
      <w:pPr>
        <w:ind w:firstLine="640"/>
        <w:rPr>
          <w:rFonts w:ascii="Times New Roman" w:hAnsi="Times New Roman" w:cs="Times New Roman"/>
          <w:color w:val="auto"/>
          <w:sz w:val="32"/>
          <w:szCs w:val="24"/>
        </w:rPr>
      </w:pPr>
    </w:p>
    <w:p>
      <w:pPr>
        <w:pStyle w:val="40"/>
        <w:spacing w:before="190"/>
        <w:rPr>
          <w:rFonts w:ascii="Times New Roman"/>
          <w:color w:val="auto"/>
        </w:rPr>
      </w:pPr>
      <w:r>
        <w:rPr>
          <w:rFonts w:hint="eastAsia" w:ascii="Times New Roman"/>
          <w:color w:val="auto"/>
        </w:rPr>
        <w:t>表</w:t>
      </w:r>
      <w:r>
        <w:rPr>
          <w:rFonts w:ascii="Times New Roman"/>
          <w:color w:val="auto"/>
        </w:rPr>
        <w:t xml:space="preserve">1 </w:t>
      </w:r>
      <w:r>
        <w:rPr>
          <w:rFonts w:hint="eastAsia" w:ascii="Times New Roman"/>
          <w:color w:val="auto"/>
        </w:rPr>
        <w:t>“</w:t>
      </w:r>
      <w:r>
        <w:rPr>
          <w:rFonts w:ascii="Times New Roman"/>
          <w:color w:val="auto"/>
        </w:rPr>
        <w:t>十四五”地下水生态环境保护目标指标</w:t>
      </w:r>
    </w:p>
    <w:tbl>
      <w:tblPr>
        <w:tblStyle w:val="23"/>
        <w:tblW w:w="51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96"/>
        <w:gridCol w:w="1595"/>
        <w:gridCol w:w="1878"/>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blHeader/>
          <w:jc w:val="center"/>
        </w:trPr>
        <w:tc>
          <w:tcPr>
            <w:tcW w:w="3696" w:type="dxa"/>
            <w:vAlign w:val="center"/>
          </w:tcPr>
          <w:p>
            <w:pPr>
              <w:pStyle w:val="64"/>
              <w:rPr>
                <w:rFonts w:ascii="Times New Roman" w:hAnsi="Times New Roman" w:eastAsia="仿宋_GB2312"/>
                <w:b/>
                <w:color w:val="auto"/>
                <w:sz w:val="28"/>
                <w:lang w:bidi="ar"/>
              </w:rPr>
            </w:pPr>
            <w:r>
              <w:rPr>
                <w:rFonts w:ascii="Times New Roman" w:hAnsi="Times New Roman" w:eastAsia="仿宋_GB2312"/>
                <w:b/>
                <w:color w:val="auto"/>
                <w:sz w:val="28"/>
                <w:lang w:bidi="ar"/>
              </w:rPr>
              <w:t>指标名称</w:t>
            </w:r>
          </w:p>
        </w:tc>
        <w:tc>
          <w:tcPr>
            <w:tcW w:w="1595" w:type="dxa"/>
            <w:vAlign w:val="center"/>
          </w:tcPr>
          <w:p>
            <w:pPr>
              <w:pStyle w:val="64"/>
              <w:rPr>
                <w:rFonts w:ascii="Times New Roman" w:hAnsi="Times New Roman" w:eastAsia="仿宋_GB2312"/>
                <w:b/>
                <w:color w:val="auto"/>
                <w:sz w:val="28"/>
              </w:rPr>
            </w:pPr>
            <w:r>
              <w:rPr>
                <w:rFonts w:ascii="Times New Roman" w:hAnsi="Times New Roman" w:eastAsia="仿宋_GB2312"/>
                <w:b/>
                <w:color w:val="auto"/>
                <w:sz w:val="28"/>
                <w:lang w:bidi="ar"/>
              </w:rPr>
              <w:t>2020</w:t>
            </w:r>
            <w:r>
              <w:rPr>
                <w:rFonts w:hint="eastAsia" w:ascii="Times New Roman" w:hAnsi="Times New Roman" w:eastAsia="仿宋_GB2312"/>
                <w:b/>
                <w:color w:val="auto"/>
                <w:sz w:val="28"/>
                <w:lang w:bidi="ar"/>
              </w:rPr>
              <w:t>年</w:t>
            </w:r>
          </w:p>
          <w:p>
            <w:pPr>
              <w:pStyle w:val="64"/>
              <w:widowControl w:val="0"/>
              <w:spacing w:line="360" w:lineRule="auto"/>
              <w:rPr>
                <w:rFonts w:ascii="Times New Roman" w:hAnsi="Times New Roman" w:eastAsia="仿宋_GB2312" w:cstheme="minorBidi"/>
                <w:b/>
                <w:color w:val="auto"/>
                <w:sz w:val="28"/>
                <w:lang w:bidi="ar"/>
              </w:rPr>
            </w:pPr>
            <w:r>
              <w:rPr>
                <w:rFonts w:hint="eastAsia" w:ascii="Times New Roman" w:hAnsi="Times New Roman" w:eastAsia="仿宋_GB2312"/>
                <w:b/>
                <w:color w:val="auto"/>
                <w:sz w:val="28"/>
                <w:lang w:bidi="ar"/>
              </w:rPr>
              <w:t>（现状值）</w:t>
            </w:r>
          </w:p>
        </w:tc>
        <w:tc>
          <w:tcPr>
            <w:tcW w:w="1878" w:type="dxa"/>
            <w:vAlign w:val="center"/>
          </w:tcPr>
          <w:p>
            <w:pPr>
              <w:pStyle w:val="64"/>
              <w:rPr>
                <w:rFonts w:ascii="Times New Roman" w:hAnsi="Times New Roman" w:eastAsia="仿宋_GB2312"/>
                <w:b/>
                <w:color w:val="auto"/>
                <w:sz w:val="28"/>
                <w:lang w:bidi="ar"/>
              </w:rPr>
            </w:pPr>
            <w:r>
              <w:rPr>
                <w:rFonts w:ascii="Times New Roman" w:hAnsi="Times New Roman" w:eastAsia="仿宋_GB2312"/>
                <w:b/>
                <w:color w:val="auto"/>
                <w:sz w:val="28"/>
                <w:lang w:bidi="ar"/>
              </w:rPr>
              <w:t>2025</w:t>
            </w:r>
            <w:r>
              <w:rPr>
                <w:rFonts w:hint="eastAsia" w:ascii="Times New Roman" w:hAnsi="Times New Roman" w:eastAsia="仿宋_GB2312"/>
                <w:b/>
                <w:color w:val="auto"/>
                <w:sz w:val="28"/>
                <w:lang w:bidi="ar"/>
              </w:rPr>
              <w:t>年</w:t>
            </w:r>
          </w:p>
        </w:tc>
        <w:tc>
          <w:tcPr>
            <w:tcW w:w="1441" w:type="dxa"/>
            <w:vAlign w:val="center"/>
          </w:tcPr>
          <w:p>
            <w:pPr>
              <w:pStyle w:val="64"/>
              <w:rPr>
                <w:rFonts w:ascii="Times New Roman" w:hAnsi="Times New Roman" w:eastAsia="仿宋_GB2312"/>
                <w:b/>
                <w:color w:val="auto"/>
                <w:sz w:val="28"/>
                <w:lang w:bidi="ar"/>
              </w:rPr>
            </w:pPr>
            <w:r>
              <w:rPr>
                <w:rFonts w:hint="eastAsia" w:ascii="Times New Roman" w:hAnsi="Times New Roman" w:eastAsia="仿宋_GB2312"/>
                <w:b/>
                <w:color w:val="auto"/>
                <w:sz w:val="28"/>
                <w:lang w:bidi="ar"/>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696" w:type="dxa"/>
            <w:vAlign w:val="center"/>
          </w:tcPr>
          <w:p>
            <w:pPr>
              <w:pStyle w:val="64"/>
              <w:spacing w:line="276" w:lineRule="auto"/>
              <w:rPr>
                <w:rFonts w:ascii="Times New Roman" w:hAnsi="Times New Roman" w:eastAsia="仿宋_GB2312"/>
                <w:bCs/>
                <w:color w:val="auto"/>
                <w:sz w:val="28"/>
                <w:lang w:bidi="ar"/>
              </w:rPr>
            </w:pPr>
            <w:r>
              <w:rPr>
                <w:rFonts w:ascii="Times New Roman" w:hAnsi="Times New Roman" w:eastAsia="仿宋_GB2312"/>
                <w:bCs/>
                <w:color w:val="auto"/>
                <w:sz w:val="28"/>
                <w:lang w:bidi="ar"/>
              </w:rPr>
              <w:t>地下水省控点位V</w:t>
            </w:r>
            <w:r>
              <w:rPr>
                <w:rFonts w:hint="eastAsia" w:ascii="Times New Roman" w:hAnsi="Times New Roman" w:eastAsia="仿宋_GB2312"/>
                <w:bCs/>
                <w:color w:val="auto"/>
                <w:sz w:val="28"/>
                <w:lang w:bidi="ar"/>
              </w:rPr>
              <w:t>类水比例</w:t>
            </w:r>
            <w:r>
              <w:rPr>
                <w:rFonts w:hint="eastAsia" w:ascii="Times New Roman" w:hAnsi="Times New Roman" w:eastAsia="仿宋_GB2312"/>
                <w:bCs/>
                <w:color w:val="auto"/>
                <w:sz w:val="28"/>
                <w:vertAlign w:val="superscript"/>
                <w:lang w:bidi="ar"/>
              </w:rPr>
              <w:t>1</w:t>
            </w:r>
          </w:p>
        </w:tc>
        <w:tc>
          <w:tcPr>
            <w:tcW w:w="1595" w:type="dxa"/>
            <w:vAlign w:val="center"/>
          </w:tcPr>
          <w:p>
            <w:pPr>
              <w:pStyle w:val="64"/>
              <w:spacing w:before="200" w:after="200" w:line="276" w:lineRule="auto"/>
              <w:outlineLvl w:val="0"/>
              <w:rPr>
                <w:rFonts w:ascii="Times New Roman" w:hAnsi="Times New Roman" w:eastAsia="仿宋_GB2312"/>
                <w:bCs/>
                <w:color w:val="auto"/>
                <w:sz w:val="28"/>
                <w:lang w:bidi="ar"/>
              </w:rPr>
            </w:pPr>
            <w:bookmarkStart w:id="22" w:name="_Toc99552415"/>
            <w:r>
              <w:rPr>
                <w:rFonts w:ascii="Times New Roman" w:hAnsi="Times New Roman" w:eastAsia="仿宋_GB2312"/>
                <w:bCs/>
                <w:color w:val="auto"/>
                <w:sz w:val="28"/>
                <w:lang w:bidi="ar"/>
              </w:rPr>
              <w:t>0%</w:t>
            </w:r>
            <w:bookmarkEnd w:id="22"/>
          </w:p>
        </w:tc>
        <w:tc>
          <w:tcPr>
            <w:tcW w:w="1878" w:type="dxa"/>
            <w:vAlign w:val="center"/>
          </w:tcPr>
          <w:p>
            <w:pPr>
              <w:pStyle w:val="64"/>
              <w:spacing w:before="200" w:after="200" w:line="276" w:lineRule="auto"/>
              <w:outlineLvl w:val="0"/>
              <w:rPr>
                <w:rFonts w:ascii="Times New Roman" w:hAnsi="Times New Roman" w:eastAsia="仿宋_GB2312"/>
                <w:bCs/>
                <w:color w:val="auto"/>
                <w:sz w:val="28"/>
                <w:lang w:bidi="ar"/>
              </w:rPr>
            </w:pPr>
            <w:bookmarkStart w:id="23" w:name="_Toc99552416"/>
            <w:r>
              <w:rPr>
                <w:rFonts w:hint="eastAsia" w:ascii="Times New Roman" w:hAnsi="Times New Roman" w:eastAsia="仿宋_GB2312"/>
                <w:bCs/>
                <w:color w:val="auto"/>
                <w:sz w:val="28"/>
                <w:lang w:bidi="ar"/>
              </w:rPr>
              <w:t>完成上级下达任务</w:t>
            </w:r>
            <w:bookmarkEnd w:id="23"/>
          </w:p>
        </w:tc>
        <w:tc>
          <w:tcPr>
            <w:tcW w:w="1441" w:type="dxa"/>
            <w:vAlign w:val="center"/>
          </w:tcPr>
          <w:p>
            <w:pPr>
              <w:pStyle w:val="64"/>
              <w:spacing w:before="200" w:after="200" w:line="276" w:lineRule="auto"/>
              <w:outlineLvl w:val="0"/>
              <w:rPr>
                <w:rFonts w:ascii="Times New Roman" w:hAnsi="Times New Roman" w:eastAsia="仿宋_GB2312"/>
                <w:bCs/>
                <w:color w:val="auto"/>
                <w:sz w:val="28"/>
                <w:lang w:bidi="ar"/>
              </w:rPr>
            </w:pPr>
            <w:bookmarkStart w:id="24" w:name="_Toc99552417"/>
            <w:r>
              <w:rPr>
                <w:rFonts w:hint="eastAsia" w:ascii="Times New Roman" w:hAnsi="Times New Roman" w:eastAsia="仿宋_GB2312"/>
                <w:bCs/>
                <w:color w:val="auto"/>
                <w:sz w:val="28"/>
                <w:lang w:bidi="ar"/>
              </w:rPr>
              <w:t>预期性</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3696" w:type="dxa"/>
            <w:vAlign w:val="center"/>
          </w:tcPr>
          <w:p>
            <w:pPr>
              <w:pStyle w:val="64"/>
              <w:spacing w:before="200" w:after="200" w:line="276" w:lineRule="auto"/>
              <w:outlineLvl w:val="0"/>
              <w:rPr>
                <w:rFonts w:ascii="Times New Roman" w:hAnsi="Times New Roman" w:eastAsia="仿宋_GB2312"/>
                <w:bCs/>
                <w:color w:val="auto"/>
                <w:sz w:val="28"/>
                <w:lang w:bidi="ar"/>
              </w:rPr>
            </w:pPr>
            <w:bookmarkStart w:id="25" w:name="_Hlk97065548"/>
            <w:bookmarkStart w:id="26" w:name="_Toc99552418"/>
            <w:r>
              <w:rPr>
                <w:rFonts w:ascii="Times New Roman" w:hAnsi="Times New Roman" w:eastAsia="仿宋_GB2312"/>
                <w:bCs/>
                <w:color w:val="auto"/>
                <w:sz w:val="28"/>
                <w:lang w:bidi="ar"/>
              </w:rPr>
              <w:t>“双源</w:t>
            </w:r>
            <w:r>
              <w:rPr>
                <w:rFonts w:hint="eastAsia" w:ascii="Times New Roman" w:hAnsi="Times New Roman" w:eastAsia="仿宋_GB2312"/>
                <w:bCs/>
                <w:color w:val="auto"/>
                <w:sz w:val="28"/>
                <w:lang w:bidi="ar"/>
              </w:rPr>
              <w:t>”点位水质</w:t>
            </w:r>
            <w:bookmarkEnd w:id="25"/>
            <w:bookmarkEnd w:id="26"/>
            <w:r>
              <w:rPr>
                <w:rFonts w:hint="eastAsia" w:ascii="Times New Roman" w:hAnsi="Times New Roman" w:eastAsia="仿宋_GB2312"/>
                <w:bCs/>
                <w:color w:val="auto"/>
                <w:sz w:val="28"/>
                <w:vertAlign w:val="superscript"/>
                <w:lang w:bidi="ar"/>
              </w:rPr>
              <w:t>2</w:t>
            </w:r>
          </w:p>
        </w:tc>
        <w:tc>
          <w:tcPr>
            <w:tcW w:w="1595" w:type="dxa"/>
            <w:vAlign w:val="center"/>
          </w:tcPr>
          <w:p>
            <w:pPr>
              <w:pStyle w:val="64"/>
              <w:spacing w:line="276" w:lineRule="auto"/>
              <w:rPr>
                <w:rFonts w:ascii="Times New Roman" w:hAnsi="Times New Roman" w:eastAsia="仿宋_GB2312"/>
                <w:bCs/>
                <w:color w:val="auto"/>
                <w:sz w:val="28"/>
                <w:lang w:bidi="ar"/>
              </w:rPr>
            </w:pPr>
            <w:r>
              <w:rPr>
                <w:rFonts w:hint="eastAsia" w:ascii="宋体" w:hAnsi="宋体" w:eastAsia="宋体" w:cs="宋体"/>
                <w:bCs/>
                <w:color w:val="auto"/>
                <w:sz w:val="28"/>
                <w:lang w:bidi="ar"/>
              </w:rPr>
              <w:t>Ⅲ</w:t>
            </w:r>
            <w:r>
              <w:rPr>
                <w:rFonts w:ascii="Times New Roman" w:hAnsi="Times New Roman" w:eastAsia="仿宋_GB2312"/>
                <w:bCs/>
                <w:color w:val="auto"/>
                <w:sz w:val="28"/>
                <w:lang w:bidi="ar"/>
              </w:rPr>
              <w:t>类</w:t>
            </w:r>
          </w:p>
        </w:tc>
        <w:tc>
          <w:tcPr>
            <w:tcW w:w="1878" w:type="dxa"/>
            <w:vAlign w:val="center"/>
          </w:tcPr>
          <w:p>
            <w:pPr>
              <w:pStyle w:val="64"/>
              <w:spacing w:before="200" w:after="200" w:line="276" w:lineRule="auto"/>
              <w:outlineLvl w:val="0"/>
              <w:rPr>
                <w:rFonts w:ascii="Times New Roman" w:hAnsi="Times New Roman" w:eastAsia="仿宋_GB2312"/>
                <w:bCs/>
                <w:color w:val="auto"/>
                <w:sz w:val="28"/>
                <w:lang w:bidi="ar"/>
              </w:rPr>
            </w:pPr>
            <w:bookmarkStart w:id="27" w:name="_Toc99552419"/>
            <w:r>
              <w:rPr>
                <w:rFonts w:hint="eastAsia" w:ascii="Times New Roman" w:hAnsi="Times New Roman" w:eastAsia="仿宋_GB2312"/>
                <w:bCs/>
                <w:color w:val="auto"/>
                <w:sz w:val="28"/>
                <w:lang w:bidi="ar"/>
              </w:rPr>
              <w:t>完成上级下达任务</w:t>
            </w:r>
            <w:bookmarkEnd w:id="27"/>
          </w:p>
        </w:tc>
        <w:tc>
          <w:tcPr>
            <w:tcW w:w="1441" w:type="dxa"/>
            <w:shd w:val="clear" w:color="auto" w:fill="auto"/>
            <w:vAlign w:val="center"/>
          </w:tcPr>
          <w:p>
            <w:pPr>
              <w:pStyle w:val="64"/>
              <w:spacing w:before="200" w:after="200" w:line="276" w:lineRule="auto"/>
              <w:outlineLvl w:val="0"/>
              <w:rPr>
                <w:rFonts w:ascii="Times New Roman" w:hAnsi="Times New Roman" w:eastAsia="仿宋_GB2312"/>
                <w:bCs/>
                <w:color w:val="auto"/>
                <w:sz w:val="28"/>
                <w:lang w:bidi="ar"/>
              </w:rPr>
            </w:pPr>
            <w:bookmarkStart w:id="28" w:name="_Toc99552420"/>
            <w:r>
              <w:rPr>
                <w:rFonts w:hint="eastAsia" w:ascii="Times New Roman" w:hAnsi="Times New Roman" w:eastAsia="仿宋_GB2312"/>
                <w:bCs/>
                <w:color w:val="auto"/>
                <w:sz w:val="28"/>
                <w:lang w:bidi="ar"/>
              </w:rPr>
              <w:t>预期性</w:t>
            </w:r>
            <w:bookmarkEnd w:id="28"/>
          </w:p>
        </w:tc>
      </w:tr>
    </w:tbl>
    <w:p>
      <w:pPr>
        <w:widowControl/>
        <w:adjustRightInd/>
        <w:snapToGrid/>
        <w:spacing w:line="240" w:lineRule="auto"/>
        <w:ind w:left="360" w:hanging="360" w:hangingChars="150"/>
        <w:jc w:val="left"/>
        <w:rPr>
          <w:rFonts w:ascii="Times New Roman" w:hAnsi="Times New Roman" w:cs="Times New Roman"/>
          <w:bCs/>
          <w:color w:val="auto"/>
          <w:sz w:val="24"/>
          <w:lang w:bidi="ar"/>
        </w:rPr>
      </w:pPr>
      <w:r>
        <w:rPr>
          <w:rFonts w:hint="eastAsia" w:ascii="Times New Roman" w:hAnsi="Times New Roman" w:cs="Times New Roman"/>
          <w:color w:val="auto"/>
          <w:sz w:val="24"/>
        </w:rPr>
        <w:t>注：</w:t>
      </w:r>
      <w:r>
        <w:rPr>
          <w:rFonts w:ascii="Times New Roman" w:hAnsi="Times New Roman" w:cs="Times New Roman"/>
          <w:color w:val="auto"/>
          <w:sz w:val="24"/>
        </w:rPr>
        <w:t>1</w:t>
      </w:r>
      <w:r>
        <w:rPr>
          <w:rFonts w:hint="eastAsia" w:ascii="Times New Roman" w:hAnsi="Times New Roman" w:cs="Times New Roman"/>
          <w:color w:val="auto"/>
          <w:sz w:val="24"/>
        </w:rPr>
        <w:t>地下水省控点位</w:t>
      </w:r>
      <w:r>
        <w:rPr>
          <w:rFonts w:ascii="Times New Roman" w:hAnsi="Times New Roman" w:cs="Times New Roman"/>
          <w:bCs/>
          <w:color w:val="auto"/>
          <w:sz w:val="24"/>
          <w:lang w:bidi="ar"/>
        </w:rPr>
        <w:t>V</w:t>
      </w:r>
      <w:r>
        <w:rPr>
          <w:rFonts w:hint="eastAsia" w:ascii="Times New Roman" w:hAnsi="Times New Roman" w:cs="Times New Roman"/>
          <w:bCs/>
          <w:color w:val="auto"/>
          <w:sz w:val="24"/>
          <w:lang w:bidi="ar"/>
        </w:rPr>
        <w:t>类水比例指省级地下水质区域监测点位中，水质为</w:t>
      </w:r>
      <w:r>
        <w:rPr>
          <w:rFonts w:ascii="Times New Roman" w:hAnsi="Times New Roman" w:cs="Times New Roman"/>
          <w:bCs/>
          <w:color w:val="auto"/>
          <w:sz w:val="24"/>
          <w:lang w:bidi="ar"/>
        </w:rPr>
        <w:t>V</w:t>
      </w:r>
      <w:r>
        <w:rPr>
          <w:rFonts w:hint="eastAsia" w:ascii="Times New Roman" w:hAnsi="Times New Roman" w:cs="Times New Roman"/>
          <w:bCs/>
          <w:color w:val="auto"/>
          <w:sz w:val="24"/>
          <w:lang w:bidi="ar"/>
        </w:rPr>
        <w:t>类的点位所占比例。</w:t>
      </w:r>
    </w:p>
    <w:p>
      <w:pPr>
        <w:widowControl/>
        <w:adjustRightInd/>
        <w:snapToGrid/>
        <w:spacing w:line="240" w:lineRule="auto"/>
        <w:ind w:left="420" w:leftChars="150" w:firstLine="0" w:firstLineChars="0"/>
        <w:jc w:val="left"/>
        <w:rPr>
          <w:rFonts w:ascii="Times New Roman" w:hAnsi="Times New Roman" w:cs="Times New Roman"/>
          <w:bCs/>
          <w:color w:val="auto"/>
          <w:sz w:val="24"/>
          <w:lang w:bidi="ar"/>
        </w:rPr>
      </w:pPr>
      <w:r>
        <w:rPr>
          <w:rFonts w:ascii="Times New Roman" w:hAnsi="Times New Roman" w:cs="Times New Roman"/>
          <w:bCs/>
          <w:color w:val="auto"/>
          <w:sz w:val="24"/>
          <w:lang w:bidi="ar"/>
        </w:rPr>
        <w:t>2</w:t>
      </w:r>
      <w:r>
        <w:rPr>
          <w:rFonts w:hint="eastAsia" w:ascii="Times New Roman" w:hAnsi="Times New Roman" w:cs="Times New Roman"/>
          <w:bCs/>
          <w:color w:val="auto"/>
          <w:sz w:val="24"/>
          <w:lang w:bidi="ar"/>
        </w:rPr>
        <w:t>“双源”点位水质指全市</w:t>
      </w:r>
      <w:r>
        <w:rPr>
          <w:rFonts w:ascii="Times New Roman" w:hAnsi="Times New Roman" w:cs="Times New Roman"/>
          <w:bCs/>
          <w:color w:val="auto"/>
          <w:sz w:val="24"/>
          <w:lang w:bidi="ar"/>
        </w:rPr>
        <w:t>1</w:t>
      </w:r>
      <w:r>
        <w:rPr>
          <w:rFonts w:hint="eastAsia" w:ascii="Times New Roman" w:hAnsi="Times New Roman" w:cs="Times New Roman"/>
          <w:bCs/>
          <w:color w:val="auto"/>
          <w:sz w:val="24"/>
          <w:lang w:bidi="ar"/>
        </w:rPr>
        <w:t>个</w:t>
      </w:r>
      <w:r>
        <w:rPr>
          <w:rFonts w:hint="eastAsia" w:ascii="Times New Roman" w:hAnsi="Times New Roman" w:cs="Times New Roman"/>
          <w:color w:val="auto"/>
          <w:sz w:val="24"/>
        </w:rPr>
        <w:t>污染风险监控点位地下水质量状况。</w:t>
      </w:r>
    </w:p>
    <w:p>
      <w:pPr>
        <w:pStyle w:val="3"/>
        <w:rPr>
          <w:rFonts w:ascii="Times New Roman" w:hAnsi="Times New Roman"/>
          <w:color w:val="auto"/>
        </w:rPr>
      </w:pPr>
      <w:bookmarkStart w:id="29" w:name="_Toc99552421"/>
      <w:r>
        <w:rPr>
          <w:rFonts w:ascii="Times New Roman" w:hAnsi="Times New Roman"/>
          <w:color w:val="auto"/>
        </w:rPr>
        <w:t xml:space="preserve">第三章 </w:t>
      </w:r>
      <w:r>
        <w:rPr>
          <w:rFonts w:hint="eastAsia" w:ascii="Times New Roman" w:hAnsi="Times New Roman"/>
          <w:color w:val="auto"/>
        </w:rPr>
        <w:t>主要任务</w:t>
      </w:r>
      <w:bookmarkEnd w:id="29"/>
    </w:p>
    <w:p>
      <w:pPr>
        <w:pStyle w:val="4"/>
        <w:rPr>
          <w:rFonts w:ascii="Times New Roman"/>
          <w:color w:val="auto"/>
        </w:rPr>
      </w:pPr>
      <w:bookmarkStart w:id="30" w:name="_Toc99552422"/>
      <w:r>
        <w:rPr>
          <w:rFonts w:hint="eastAsia" w:ascii="Times New Roman"/>
          <w:color w:val="auto"/>
        </w:rPr>
        <w:t>第一节</w:t>
      </w:r>
      <w:r>
        <w:rPr>
          <w:rFonts w:ascii="Times New Roman"/>
          <w:color w:val="auto"/>
        </w:rPr>
        <w:t xml:space="preserve"> 开展地下水环境状况调查评估</w:t>
      </w:r>
      <w:bookmarkEnd w:id="30"/>
    </w:p>
    <w:p>
      <w:pPr>
        <w:pStyle w:val="65"/>
        <w:adjustRightInd w:val="0"/>
        <w:snapToGrid w:val="0"/>
        <w:ind w:firstLine="643"/>
        <w:rPr>
          <w:rFonts w:ascii="Times New Roman" w:hAnsi="Times New Roman" w:eastAsia="仿宋_GB2312" w:cs="Times New Roman"/>
          <w:b/>
          <w:color w:val="auto"/>
          <w:szCs w:val="24"/>
        </w:rPr>
      </w:pPr>
      <w:bookmarkStart w:id="31" w:name="_Toc84719094"/>
      <w:r>
        <w:rPr>
          <w:rFonts w:ascii="Times New Roman" w:hAnsi="Times New Roman" w:eastAsia="仿宋_GB2312" w:cs="Times New Roman"/>
          <w:b/>
          <w:color w:val="auto"/>
          <w:szCs w:val="24"/>
        </w:rPr>
        <w:t>更新完善“</w:t>
      </w:r>
      <w:r>
        <w:rPr>
          <w:rFonts w:hint="eastAsia" w:ascii="Times New Roman" w:hAnsi="Times New Roman" w:eastAsia="仿宋_GB2312" w:cs="Times New Roman"/>
          <w:b/>
          <w:color w:val="auto"/>
          <w:szCs w:val="24"/>
        </w:rPr>
        <w:t>双源</w:t>
      </w:r>
      <w:r>
        <w:rPr>
          <w:rFonts w:ascii="Times New Roman" w:hAnsi="Times New Roman" w:eastAsia="仿宋_GB2312" w:cs="Times New Roman"/>
          <w:b/>
          <w:color w:val="auto"/>
          <w:szCs w:val="24"/>
        </w:rPr>
        <w:t>”</w:t>
      </w:r>
      <w:r>
        <w:rPr>
          <w:rFonts w:hint="eastAsia" w:ascii="Times New Roman" w:hAnsi="Times New Roman" w:eastAsia="仿宋_GB2312" w:cs="Times New Roman"/>
          <w:b/>
          <w:color w:val="auto"/>
          <w:szCs w:val="24"/>
        </w:rPr>
        <w:t>清单。</w:t>
      </w:r>
      <w:r>
        <w:rPr>
          <w:rFonts w:hint="eastAsia" w:ascii="Times New Roman" w:hAnsi="Times New Roman" w:eastAsia="仿宋_GB2312" w:cs="Times New Roman"/>
          <w:color w:val="auto"/>
          <w:szCs w:val="24"/>
        </w:rPr>
        <w:t>在</w:t>
      </w:r>
      <w:r>
        <w:rPr>
          <w:rFonts w:ascii="Times New Roman" w:hAnsi="Times New Roman" w:eastAsia="仿宋_GB2312" w:cs="Times New Roman"/>
          <w:color w:val="auto"/>
          <w:szCs w:val="24"/>
        </w:rPr>
        <w:t>2020</w:t>
      </w:r>
      <w:r>
        <w:rPr>
          <w:rFonts w:hint="eastAsia" w:ascii="Times New Roman" w:hAnsi="Times New Roman" w:eastAsia="仿宋_GB2312" w:cs="Times New Roman"/>
          <w:color w:val="auto"/>
          <w:szCs w:val="24"/>
        </w:rPr>
        <w:t>年全市地下水</w:t>
      </w:r>
      <w:r>
        <w:rPr>
          <w:rFonts w:ascii="Times New Roman" w:hAnsi="Times New Roman" w:eastAsia="仿宋_GB2312" w:cs="Times New Roman"/>
          <w:color w:val="auto"/>
          <w:szCs w:val="24"/>
        </w:rPr>
        <w:t>“</w:t>
      </w:r>
      <w:r>
        <w:rPr>
          <w:rFonts w:hint="eastAsia" w:ascii="Times New Roman" w:hAnsi="Times New Roman" w:eastAsia="仿宋_GB2312" w:cs="Times New Roman"/>
          <w:color w:val="auto"/>
          <w:szCs w:val="24"/>
        </w:rPr>
        <w:t>双源</w:t>
      </w:r>
      <w:r>
        <w:rPr>
          <w:rFonts w:ascii="Times New Roman" w:hAnsi="Times New Roman" w:eastAsia="仿宋_GB2312" w:cs="Times New Roman"/>
          <w:color w:val="auto"/>
          <w:szCs w:val="24"/>
        </w:rPr>
        <w:t>”</w:t>
      </w:r>
      <w:r>
        <w:rPr>
          <w:rFonts w:hint="eastAsia" w:ascii="Times New Roman" w:hAnsi="Times New Roman" w:eastAsia="仿宋_GB2312" w:cs="Times New Roman"/>
          <w:color w:val="auto"/>
          <w:szCs w:val="24"/>
        </w:rPr>
        <w:t>成果基础上，结合重点行业企业用地土壤污染状况调查、污染源普查等成果，完成一轮工业污染源、矿山开采区、危险废物处置场、垃圾填埋场、农业污染源</w:t>
      </w:r>
      <w:r>
        <w:rPr>
          <w:rFonts w:hint="eastAsia" w:ascii="Times New Roman" w:hAnsi="Times New Roman" w:eastAsia="仿宋_GB2312" w:cs="Times New Roman"/>
          <w:bCs w:val="0"/>
          <w:color w:val="auto"/>
          <w:szCs w:val="24"/>
        </w:rPr>
        <w:t>、高尔夫球场</w:t>
      </w:r>
      <w:r>
        <w:rPr>
          <w:rFonts w:hint="eastAsia" w:ascii="Times New Roman" w:hAnsi="Times New Roman" w:eastAsia="仿宋_GB2312" w:cs="Times New Roman"/>
          <w:color w:val="auto"/>
          <w:szCs w:val="24"/>
        </w:rPr>
        <w:t>等</w:t>
      </w:r>
      <w:r>
        <w:rPr>
          <w:rFonts w:ascii="Times New Roman" w:hAnsi="Times New Roman" w:eastAsia="仿宋_GB2312" w:cs="Times New Roman"/>
          <w:color w:val="auto"/>
          <w:szCs w:val="24"/>
        </w:rPr>
        <w:t>“</w:t>
      </w:r>
      <w:r>
        <w:rPr>
          <w:rFonts w:hint="eastAsia" w:ascii="Times New Roman" w:hAnsi="Times New Roman" w:eastAsia="仿宋_GB2312" w:cs="Times New Roman"/>
          <w:color w:val="auto"/>
          <w:szCs w:val="24"/>
        </w:rPr>
        <w:t>双源</w:t>
      </w:r>
      <w:r>
        <w:rPr>
          <w:rFonts w:ascii="Times New Roman" w:hAnsi="Times New Roman" w:eastAsia="仿宋_GB2312" w:cs="Times New Roman"/>
          <w:color w:val="auto"/>
          <w:szCs w:val="24"/>
        </w:rPr>
        <w:t>”</w:t>
      </w:r>
      <w:r>
        <w:rPr>
          <w:rFonts w:hint="eastAsia" w:ascii="Times New Roman" w:hAnsi="Times New Roman" w:eastAsia="仿宋_GB2312" w:cs="Times New Roman"/>
          <w:color w:val="auto"/>
          <w:szCs w:val="24"/>
        </w:rPr>
        <w:t>清单及数据库更新和调整工作，并筛选重点调查对象。</w:t>
      </w:r>
    </w:p>
    <w:bookmarkEnd w:id="31"/>
    <w:p>
      <w:pPr>
        <w:pStyle w:val="65"/>
        <w:adjustRightInd w:val="0"/>
        <w:snapToGrid w:val="0"/>
        <w:ind w:firstLine="643"/>
        <w:rPr>
          <w:rFonts w:ascii="Times New Roman" w:hAnsi="Times New Roman" w:eastAsia="仿宋_GB2312" w:cs="Times New Roman"/>
          <w:b/>
          <w:color w:val="auto"/>
          <w:szCs w:val="24"/>
        </w:rPr>
      </w:pPr>
      <w:r>
        <w:rPr>
          <w:rFonts w:hint="eastAsia" w:ascii="Times New Roman" w:hAnsi="Times New Roman" w:eastAsia="仿宋_GB2312" w:cs="Times New Roman"/>
          <w:b/>
          <w:color w:val="auto"/>
          <w:szCs w:val="24"/>
        </w:rPr>
        <w:t>区域地下水基础环境状况调查评估。</w:t>
      </w:r>
      <w:r>
        <w:rPr>
          <w:rFonts w:ascii="Times New Roman" w:hAnsi="Times New Roman" w:eastAsia="仿宋_GB2312" w:cs="Times New Roman"/>
          <w:color w:val="auto"/>
          <w:szCs w:val="24"/>
        </w:rPr>
        <w:t>2025</w:t>
      </w:r>
      <w:r>
        <w:rPr>
          <w:rFonts w:hint="eastAsia" w:ascii="Times New Roman" w:hAnsi="Times New Roman" w:eastAsia="仿宋_GB2312" w:cs="Times New Roman"/>
          <w:color w:val="auto"/>
          <w:szCs w:val="24"/>
        </w:rPr>
        <w:t>年底前配合宁德市完成市域范围地下水环境状况调查评估、地下水环境背景值调查等工作，根据调查评估成果，分析总结全市地下水环境质量及污染状况，总体摸清区域地下水环境底数。</w:t>
      </w:r>
    </w:p>
    <w:p>
      <w:pPr>
        <w:pStyle w:val="65"/>
        <w:adjustRightInd w:val="0"/>
        <w:snapToGrid w:val="0"/>
        <w:ind w:firstLine="643"/>
        <w:rPr>
          <w:rFonts w:ascii="Times New Roman" w:hAnsi="Times New Roman" w:eastAsia="仿宋_GB2312" w:cs="Times New Roman"/>
          <w:color w:val="auto"/>
          <w:szCs w:val="24"/>
        </w:rPr>
      </w:pPr>
      <w:r>
        <w:rPr>
          <w:rFonts w:hint="eastAsia" w:ascii="Times New Roman" w:hAnsi="Times New Roman" w:eastAsia="仿宋_GB2312" w:cs="Times New Roman"/>
          <w:b/>
          <w:bCs w:val="0"/>
          <w:color w:val="auto"/>
          <w:szCs w:val="24"/>
        </w:rPr>
        <w:t>重点“双源”环境状况调查评估。</w:t>
      </w:r>
      <w:r>
        <w:rPr>
          <w:rFonts w:hint="eastAsia" w:ascii="Times New Roman" w:hAnsi="Times New Roman" w:eastAsia="仿宋_GB2312" w:cs="Times New Roman"/>
          <w:bCs w:val="0"/>
          <w:color w:val="auto"/>
          <w:szCs w:val="24"/>
        </w:rPr>
        <w:t>重点开展</w:t>
      </w:r>
      <w:r>
        <w:rPr>
          <w:rFonts w:ascii="Times New Roman" w:hAnsi="Times New Roman" w:eastAsia="仿宋_GB2312" w:cs="Times New Roman"/>
          <w:bCs w:val="0"/>
          <w:color w:val="auto"/>
          <w:szCs w:val="24"/>
        </w:rPr>
        <w:t>“</w:t>
      </w:r>
      <w:r>
        <w:rPr>
          <w:rFonts w:hint="eastAsia" w:ascii="Times New Roman" w:hAnsi="Times New Roman" w:eastAsia="仿宋_GB2312" w:cs="Times New Roman"/>
          <w:bCs w:val="0"/>
          <w:color w:val="auto"/>
          <w:szCs w:val="24"/>
        </w:rPr>
        <w:t>一企一库</w:t>
      </w:r>
      <w:r>
        <w:rPr>
          <w:rFonts w:ascii="Times New Roman" w:hAnsi="Times New Roman" w:eastAsia="仿宋_GB2312" w:cs="Times New Roman"/>
          <w:bCs w:val="0"/>
          <w:color w:val="auto"/>
          <w:szCs w:val="24"/>
        </w:rPr>
        <w:t>”“</w:t>
      </w:r>
      <w:r>
        <w:rPr>
          <w:rFonts w:hint="eastAsia" w:ascii="Times New Roman" w:hAnsi="Times New Roman" w:eastAsia="仿宋_GB2312" w:cs="Times New Roman"/>
          <w:bCs w:val="0"/>
          <w:color w:val="auto"/>
          <w:szCs w:val="24"/>
        </w:rPr>
        <w:t>两场两区</w:t>
      </w:r>
      <w:r>
        <w:rPr>
          <w:rFonts w:ascii="Times New Roman" w:hAnsi="Times New Roman" w:eastAsia="仿宋_GB2312" w:cs="Times New Roman"/>
          <w:bCs w:val="0"/>
          <w:color w:val="auto"/>
          <w:szCs w:val="24"/>
        </w:rPr>
        <w:t>”</w:t>
      </w:r>
      <w:r>
        <w:rPr>
          <w:rFonts w:hint="eastAsia" w:ascii="Times New Roman" w:hAnsi="Times New Roman" w:eastAsia="仿宋_GB2312" w:cs="Times New Roman"/>
          <w:bCs w:val="0"/>
          <w:color w:val="auto"/>
          <w:szCs w:val="24"/>
        </w:rPr>
        <w:t>地下水环境状况调查，评估场区及周边地下水质量及污染状况。</w:t>
      </w:r>
      <w:r>
        <w:rPr>
          <w:rFonts w:ascii="Times New Roman" w:hAnsi="Times New Roman" w:eastAsia="仿宋_GB2312" w:cs="Times New Roman"/>
          <w:bCs w:val="0"/>
          <w:color w:val="auto"/>
          <w:szCs w:val="24"/>
        </w:rPr>
        <w:t>2022</w:t>
      </w:r>
      <w:r>
        <w:rPr>
          <w:rFonts w:hint="eastAsia" w:ascii="Times New Roman" w:hAnsi="Times New Roman" w:eastAsia="仿宋_GB2312" w:cs="Times New Roman"/>
          <w:bCs w:val="0"/>
          <w:color w:val="auto"/>
          <w:szCs w:val="24"/>
        </w:rPr>
        <w:t>年启动</w:t>
      </w:r>
      <w:r>
        <w:rPr>
          <w:rFonts w:hint="eastAsia" w:ascii="Times New Roman" w:hAnsi="Times New Roman" w:eastAsia="仿宋_GB2312" w:cs="Times New Roman"/>
          <w:color w:val="auto"/>
          <w:szCs w:val="24"/>
        </w:rPr>
        <w:t>福鼎市龙安化工园区</w:t>
      </w:r>
      <w:r>
        <w:rPr>
          <w:rFonts w:hint="eastAsia" w:ascii="Times New Roman" w:hAnsi="Times New Roman" w:eastAsia="仿宋_GB2312" w:cs="Times New Roman"/>
          <w:bCs w:val="0"/>
          <w:color w:val="auto"/>
          <w:szCs w:val="24"/>
        </w:rPr>
        <w:t>地下水环境状况调查评估。</w:t>
      </w:r>
      <w:r>
        <w:rPr>
          <w:rFonts w:ascii="Times New Roman" w:hAnsi="Times New Roman" w:eastAsia="仿宋_GB2312" w:cs="Times New Roman"/>
          <w:bCs w:val="0"/>
          <w:color w:val="auto"/>
          <w:szCs w:val="24"/>
        </w:rPr>
        <w:t>2023</w:t>
      </w:r>
      <w:r>
        <w:rPr>
          <w:rFonts w:hint="eastAsia" w:ascii="Times New Roman" w:hAnsi="Times New Roman" w:eastAsia="仿宋_GB2312" w:cs="Times New Roman"/>
          <w:bCs w:val="0"/>
          <w:color w:val="auto"/>
          <w:szCs w:val="24"/>
        </w:rPr>
        <w:t>年完成重点危险废物处置场、垃圾填埋场地下水环境状况调查评估。</w:t>
      </w:r>
    </w:p>
    <w:p>
      <w:pPr>
        <w:pStyle w:val="65"/>
        <w:adjustRightInd w:val="0"/>
        <w:snapToGrid w:val="0"/>
        <w:ind w:firstLine="643"/>
        <w:rPr>
          <w:rFonts w:ascii="Times New Roman" w:hAnsi="Times New Roman" w:eastAsia="仿宋_GB2312" w:cs="Times New Roman"/>
          <w:bCs w:val="0"/>
          <w:color w:val="auto"/>
          <w:szCs w:val="24"/>
        </w:rPr>
      </w:pPr>
      <w:r>
        <w:rPr>
          <w:rFonts w:hint="eastAsia" w:ascii="Times New Roman" w:hAnsi="Times New Roman" w:eastAsia="仿宋_GB2312" w:cs="Times New Roman"/>
          <w:b/>
          <w:color w:val="auto"/>
          <w:szCs w:val="24"/>
        </w:rPr>
        <w:t>地下水质量考核点位周边调查。</w:t>
      </w:r>
      <w:r>
        <w:rPr>
          <w:rFonts w:hint="eastAsia" w:ascii="Times New Roman" w:hAnsi="Times New Roman" w:eastAsia="仿宋_GB2312" w:cs="Times New Roman"/>
          <w:bCs w:val="0"/>
          <w:color w:val="auto"/>
          <w:szCs w:val="24"/>
        </w:rPr>
        <w:t>持续开展每年两次的省控地下水水质监测，分类实施水质巩固或提升行动。开展省控地下水质量考核点位周边调查，针对性制定地下水质量考核点位水质达标或保持方案，切实采取有效措施，保障省控区域考核点位</w:t>
      </w:r>
      <w:r>
        <w:rPr>
          <w:rFonts w:ascii="Times New Roman" w:hAnsi="Times New Roman" w:eastAsia="仿宋_GB2312" w:cs="Times New Roman"/>
          <w:bCs w:val="0"/>
          <w:color w:val="auto"/>
          <w:szCs w:val="24"/>
        </w:rPr>
        <w:t>V</w:t>
      </w:r>
      <w:r>
        <w:rPr>
          <w:rFonts w:hint="eastAsia" w:ascii="Times New Roman" w:hAnsi="Times New Roman" w:eastAsia="仿宋_GB2312" w:cs="Times New Roman"/>
          <w:bCs w:val="0"/>
          <w:color w:val="auto"/>
          <w:szCs w:val="24"/>
        </w:rPr>
        <w:t>类水比例达标，</w:t>
      </w:r>
      <w:r>
        <w:rPr>
          <w:rFonts w:ascii="Times New Roman" w:hAnsi="Times New Roman" w:eastAsia="仿宋_GB2312" w:cs="Times New Roman"/>
          <w:bCs w:val="0"/>
          <w:color w:val="auto"/>
          <w:szCs w:val="24"/>
        </w:rPr>
        <w:t>“</w:t>
      </w:r>
      <w:r>
        <w:rPr>
          <w:rFonts w:hint="eastAsia" w:ascii="Times New Roman" w:hAnsi="Times New Roman" w:eastAsia="仿宋_GB2312" w:cs="Times New Roman"/>
          <w:bCs w:val="0"/>
          <w:color w:val="auto"/>
          <w:szCs w:val="24"/>
        </w:rPr>
        <w:t>双源</w:t>
      </w:r>
      <w:r>
        <w:rPr>
          <w:rFonts w:ascii="Times New Roman" w:hAnsi="Times New Roman" w:eastAsia="仿宋_GB2312" w:cs="Times New Roman"/>
          <w:bCs w:val="0"/>
          <w:color w:val="auto"/>
          <w:szCs w:val="24"/>
        </w:rPr>
        <w:t>”</w:t>
      </w:r>
      <w:r>
        <w:rPr>
          <w:rFonts w:hint="eastAsia" w:ascii="Times New Roman" w:hAnsi="Times New Roman" w:eastAsia="仿宋_GB2312" w:cs="Times New Roman"/>
          <w:bCs w:val="0"/>
          <w:color w:val="auto"/>
          <w:szCs w:val="24"/>
        </w:rPr>
        <w:t>地下水考核点位保持水质稳定。</w:t>
      </w:r>
    </w:p>
    <w:p>
      <w:pPr>
        <w:pStyle w:val="65"/>
        <w:adjustRightInd w:val="0"/>
        <w:snapToGrid w:val="0"/>
        <w:ind w:firstLine="643"/>
        <w:rPr>
          <w:rFonts w:ascii="Times New Roman" w:hAnsi="Times New Roman" w:eastAsia="仿宋_GB2312" w:cs="Times New Roman"/>
          <w:color w:val="auto"/>
          <w:szCs w:val="24"/>
        </w:rPr>
      </w:pPr>
      <w:r>
        <w:rPr>
          <w:rFonts w:hint="eastAsia" w:ascii="Times New Roman" w:hAnsi="Times New Roman" w:eastAsia="仿宋_GB2312" w:cs="Times New Roman"/>
          <w:b/>
          <w:color w:val="auto"/>
          <w:szCs w:val="24"/>
        </w:rPr>
        <w:t>建立地下水污染防治重点排污单位名录。</w:t>
      </w:r>
      <w:r>
        <w:rPr>
          <w:rFonts w:hint="eastAsia" w:ascii="Times New Roman" w:hAnsi="Times New Roman" w:eastAsia="仿宋_GB2312" w:cs="Times New Roman"/>
          <w:color w:val="auto"/>
          <w:szCs w:val="24"/>
        </w:rPr>
        <w:t>结合</w:t>
      </w:r>
      <w:r>
        <w:rPr>
          <w:rFonts w:ascii="Times New Roman" w:hAnsi="Times New Roman" w:eastAsia="仿宋_GB2312" w:cs="Times New Roman"/>
          <w:color w:val="auto"/>
          <w:szCs w:val="24"/>
        </w:rPr>
        <w:t>“</w:t>
      </w:r>
      <w:r>
        <w:rPr>
          <w:rFonts w:hint="eastAsia" w:ascii="Times New Roman" w:hAnsi="Times New Roman" w:eastAsia="仿宋_GB2312" w:cs="Times New Roman"/>
          <w:color w:val="auto"/>
          <w:szCs w:val="24"/>
        </w:rPr>
        <w:t>双源</w:t>
      </w:r>
      <w:r>
        <w:rPr>
          <w:rFonts w:ascii="Times New Roman" w:hAnsi="Times New Roman" w:eastAsia="仿宋_GB2312" w:cs="Times New Roman"/>
          <w:color w:val="auto"/>
          <w:szCs w:val="24"/>
        </w:rPr>
        <w:t>”</w:t>
      </w:r>
      <w:r>
        <w:rPr>
          <w:rFonts w:hint="eastAsia" w:ascii="Times New Roman" w:hAnsi="Times New Roman" w:eastAsia="仿宋_GB2312" w:cs="Times New Roman"/>
          <w:color w:val="auto"/>
          <w:szCs w:val="24"/>
        </w:rPr>
        <w:t>环境状况调查评估，排查梳理</w:t>
      </w:r>
      <w:bookmarkStart w:id="32" w:name="_Hlk100956570"/>
      <w:r>
        <w:rPr>
          <w:rFonts w:hint="eastAsia" w:ascii="Times New Roman" w:hAnsi="Times New Roman" w:eastAsia="仿宋_GB2312" w:cs="Times New Roman"/>
          <w:color w:val="auto"/>
          <w:szCs w:val="24"/>
        </w:rPr>
        <w:t>全市锂电新能源、冶金新材料、精细化工、生态合成革、汽摩配、纺织</w:t>
      </w:r>
      <w:bookmarkEnd w:id="32"/>
      <w:r>
        <w:rPr>
          <w:rFonts w:hint="eastAsia" w:ascii="Times New Roman" w:hAnsi="Times New Roman" w:eastAsia="仿宋_GB2312" w:cs="Times New Roman"/>
          <w:color w:val="auto"/>
          <w:szCs w:val="24"/>
        </w:rPr>
        <w:t>，以及危险废物处置、生活垃圾填埋等重点行业企业，</w:t>
      </w:r>
      <w:bookmarkStart w:id="33" w:name="_Hlk100956834"/>
      <w:r>
        <w:rPr>
          <w:rFonts w:hint="eastAsia" w:ascii="Times New Roman" w:hAnsi="Times New Roman" w:eastAsia="仿宋_GB2312" w:cs="Times New Roman"/>
          <w:color w:val="auto"/>
          <w:szCs w:val="24"/>
        </w:rPr>
        <w:t>结合其有毒有害物质排放处置情况，</w:t>
      </w:r>
      <w:bookmarkEnd w:id="33"/>
      <w:r>
        <w:rPr>
          <w:rFonts w:hint="eastAsia" w:ascii="Times New Roman" w:hAnsi="Times New Roman" w:eastAsia="仿宋_GB2312" w:cs="Times New Roman"/>
          <w:color w:val="auto"/>
          <w:szCs w:val="24"/>
        </w:rPr>
        <w:t>研究</w:t>
      </w:r>
      <w:bookmarkStart w:id="34" w:name="_Hlk100956625"/>
      <w:r>
        <w:rPr>
          <w:rFonts w:hint="eastAsia" w:ascii="Times New Roman" w:hAnsi="Times New Roman" w:eastAsia="仿宋_GB2312" w:cs="Times New Roman"/>
          <w:color w:val="auto"/>
          <w:szCs w:val="24"/>
        </w:rPr>
        <w:t>建立地下水污染防治重点排污单位名录</w:t>
      </w:r>
      <w:bookmarkEnd w:id="34"/>
      <w:r>
        <w:rPr>
          <w:rFonts w:hint="eastAsia" w:ascii="Times New Roman" w:hAnsi="Times New Roman" w:eastAsia="仿宋_GB2312" w:cs="Times New Roman"/>
          <w:color w:val="auto"/>
          <w:szCs w:val="24"/>
        </w:rPr>
        <w:t>，推动纳入排污许可管理。推进土壤重点监管单位、地下水重点排污单位一体化管理，同步开展土壤和地下水隐患排查、调查监测、管控修复。</w:t>
      </w:r>
    </w:p>
    <w:p>
      <w:pPr>
        <w:pStyle w:val="65"/>
        <w:adjustRightInd w:val="0"/>
        <w:snapToGrid w:val="0"/>
        <w:ind w:firstLine="643"/>
        <w:rPr>
          <w:rFonts w:ascii="Times New Roman" w:hAnsi="Times New Roman" w:eastAsia="仿宋_GB2312" w:cs="Times New Roman"/>
          <w:color w:val="auto"/>
          <w:szCs w:val="24"/>
        </w:rPr>
      </w:pPr>
      <w:r>
        <w:rPr>
          <w:rFonts w:hint="eastAsia" w:ascii="Times New Roman" w:hAnsi="Times New Roman" w:eastAsia="仿宋_GB2312" w:cs="Times New Roman"/>
          <w:b/>
          <w:color w:val="auto"/>
          <w:szCs w:val="24"/>
        </w:rPr>
        <w:t>海岛和山区地下水饮用水水源调查。</w:t>
      </w:r>
      <w:r>
        <w:rPr>
          <w:rFonts w:hint="eastAsia" w:ascii="Times New Roman" w:hAnsi="Times New Roman" w:eastAsia="仿宋_GB2312" w:cs="Times New Roman"/>
          <w:color w:val="auto"/>
          <w:szCs w:val="24"/>
        </w:rPr>
        <w:t>开展全市海岛和山区地下水饮用水水源摸底排查，建立完善海岛和山区地下水饮用水水源的巡查监管、日常防控、水质监测、信息公开等长效监管机制，及时发现并消除危及水源环境安全的隐患。</w:t>
      </w:r>
    </w:p>
    <w:p>
      <w:pPr>
        <w:widowControl/>
        <w:adjustRightInd/>
        <w:snapToGrid/>
        <w:spacing w:line="240" w:lineRule="auto"/>
        <w:ind w:firstLine="0" w:firstLineChars="0"/>
        <w:jc w:val="left"/>
        <w:rPr>
          <w:rFonts w:ascii="Times New Roman" w:hAnsi="Times New Roman" w:cs="Times New Roman"/>
          <w:color w:val="auto"/>
          <w:sz w:val="32"/>
          <w:szCs w:val="24"/>
        </w:rPr>
      </w:pPr>
    </w:p>
    <w:p>
      <w:pPr>
        <w:pStyle w:val="40"/>
        <w:spacing w:before="190"/>
        <w:rPr>
          <w:rFonts w:ascii="Times New Roman"/>
          <w:color w:val="auto"/>
        </w:rPr>
      </w:pPr>
      <w:r>
        <w:rPr>
          <w:rFonts w:ascii="Times New Roman"/>
          <w:color w:val="auto"/>
        </w:rPr>
        <w:t>专栏1：地下水环境及污染状况调查项目</w:t>
      </w:r>
    </w:p>
    <w:tbl>
      <w:tblPr>
        <w:tblStyle w:val="23"/>
        <w:tblW w:w="8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8761" w:type="dxa"/>
            <w:vAlign w:val="center"/>
          </w:tcPr>
          <w:p>
            <w:pPr>
              <w:overflowPunct w:val="0"/>
              <w:ind w:firstLine="562"/>
              <w:rPr>
                <w:rFonts w:ascii="Times New Roman" w:hAnsi="Times New Roman" w:cs="Times New Roman"/>
                <w:color w:val="auto"/>
                <w:szCs w:val="30"/>
              </w:rPr>
            </w:pPr>
            <w:r>
              <w:rPr>
                <w:rFonts w:ascii="Times New Roman" w:hAnsi="Times New Roman" w:cs="Times New Roman"/>
                <w:b/>
                <w:bCs/>
                <w:color w:val="auto"/>
                <w:szCs w:val="30"/>
              </w:rPr>
              <w:t>1.</w:t>
            </w:r>
            <w:r>
              <w:rPr>
                <w:rFonts w:hint="eastAsia" w:ascii="Times New Roman" w:hAnsi="Times New Roman" w:cs="Times New Roman"/>
                <w:b/>
                <w:bCs/>
                <w:color w:val="auto"/>
                <w:szCs w:val="30"/>
              </w:rPr>
              <w:t>化工园区地下水环境状况调查评估。</w:t>
            </w:r>
            <w:r>
              <w:rPr>
                <w:rFonts w:hint="eastAsia" w:ascii="Times New Roman" w:hAnsi="Times New Roman" w:cs="Times New Roman"/>
                <w:bCs/>
                <w:color w:val="auto"/>
                <w:szCs w:val="30"/>
              </w:rPr>
              <w:t>开展福鼎市</w:t>
            </w:r>
            <w:r>
              <w:rPr>
                <w:rFonts w:hint="eastAsia" w:ascii="Times New Roman" w:hAnsi="Times New Roman" w:cs="Times New Roman"/>
                <w:color w:val="auto"/>
                <w:szCs w:val="24"/>
              </w:rPr>
              <w:t>龙安化工园区</w:t>
            </w:r>
            <w:r>
              <w:rPr>
                <w:rFonts w:ascii="Times New Roman" w:hAnsi="Times New Roman" w:cs="Times New Roman"/>
                <w:color w:val="auto"/>
                <w:szCs w:val="30"/>
              </w:rPr>
              <w:t>地下水环境状况调查评估。</w:t>
            </w:r>
          </w:p>
          <w:p>
            <w:pPr>
              <w:overflowPunct w:val="0"/>
              <w:ind w:firstLine="562"/>
              <w:rPr>
                <w:rFonts w:ascii="Times New Roman" w:hAnsi="Times New Roman" w:cs="Times New Roman"/>
                <w:color w:val="auto"/>
                <w:szCs w:val="30"/>
              </w:rPr>
            </w:pPr>
            <w:r>
              <w:rPr>
                <w:rFonts w:ascii="Times New Roman" w:hAnsi="Times New Roman" w:cs="Times New Roman"/>
                <w:b/>
                <w:bCs/>
                <w:color w:val="auto"/>
                <w:szCs w:val="30"/>
              </w:rPr>
              <w:t>2.“</w:t>
            </w:r>
            <w:r>
              <w:rPr>
                <w:rFonts w:hint="eastAsia" w:ascii="Times New Roman" w:hAnsi="Times New Roman" w:cs="Times New Roman"/>
                <w:b/>
                <w:bCs/>
                <w:color w:val="auto"/>
                <w:szCs w:val="30"/>
              </w:rPr>
              <w:t>两场</w:t>
            </w:r>
            <w:r>
              <w:rPr>
                <w:rFonts w:ascii="Times New Roman" w:hAnsi="Times New Roman" w:cs="Times New Roman"/>
                <w:b/>
                <w:bCs/>
                <w:color w:val="auto"/>
                <w:szCs w:val="30"/>
              </w:rPr>
              <w:t>”</w:t>
            </w:r>
            <w:r>
              <w:rPr>
                <w:rFonts w:hint="eastAsia" w:ascii="Times New Roman" w:hAnsi="Times New Roman" w:cs="Times New Roman"/>
                <w:b/>
                <w:bCs/>
                <w:color w:val="auto"/>
                <w:szCs w:val="30"/>
              </w:rPr>
              <w:t>地下水环境状况调查评估。</w:t>
            </w:r>
            <w:r>
              <w:rPr>
                <w:rFonts w:hint="eastAsia" w:ascii="Times New Roman" w:hAnsi="Times New Roman" w:cs="Times New Roman"/>
                <w:bCs/>
                <w:color w:val="auto"/>
                <w:szCs w:val="30"/>
              </w:rPr>
              <w:t>开展</w:t>
            </w:r>
            <w:r>
              <w:rPr>
                <w:rFonts w:ascii="Times New Roman" w:hAnsi="Times New Roman" w:cs="Times New Roman"/>
                <w:color w:val="auto"/>
                <w:szCs w:val="30"/>
              </w:rPr>
              <w:t>危险废物处置场、垃圾填埋场地下水环境状况调查评估。</w:t>
            </w:r>
          </w:p>
          <w:p>
            <w:pPr>
              <w:overflowPunct w:val="0"/>
              <w:ind w:firstLine="562"/>
              <w:rPr>
                <w:rFonts w:ascii="Times New Roman" w:hAnsi="Times New Roman" w:eastAsia="仿宋" w:cs="Times New Roman"/>
                <w:bCs/>
                <w:color w:val="auto"/>
                <w:sz w:val="30"/>
                <w:szCs w:val="30"/>
              </w:rPr>
            </w:pPr>
            <w:r>
              <w:rPr>
                <w:rFonts w:ascii="Times New Roman" w:hAnsi="Times New Roman" w:cs="Times New Roman"/>
                <w:b/>
                <w:bCs/>
                <w:color w:val="auto"/>
                <w:szCs w:val="30"/>
              </w:rPr>
              <w:t xml:space="preserve">3. </w:t>
            </w:r>
            <w:r>
              <w:rPr>
                <w:rFonts w:hint="eastAsia" w:ascii="Times New Roman" w:hAnsi="Times New Roman" w:cs="Times New Roman"/>
                <w:b/>
                <w:bCs/>
                <w:color w:val="auto"/>
                <w:szCs w:val="30"/>
              </w:rPr>
              <w:t>地下水质量考核点位周边调查</w:t>
            </w:r>
            <w:r>
              <w:rPr>
                <w:rFonts w:ascii="Times New Roman" w:hAnsi="Times New Roman" w:cs="Times New Roman"/>
                <w:b/>
                <w:bCs/>
                <w:color w:val="auto"/>
                <w:szCs w:val="30"/>
              </w:rPr>
              <w:t>。</w:t>
            </w:r>
            <w:r>
              <w:rPr>
                <w:rFonts w:hint="eastAsia" w:ascii="Times New Roman" w:hAnsi="Times New Roman" w:cs="Times New Roman"/>
                <w:bCs/>
                <w:color w:val="auto"/>
                <w:szCs w:val="30"/>
              </w:rPr>
              <w:t>开展</w:t>
            </w:r>
            <w:r>
              <w:rPr>
                <w:rFonts w:ascii="Times New Roman" w:hAnsi="Times New Roman" w:cs="Times New Roman"/>
                <w:bCs/>
                <w:color w:val="auto"/>
                <w:szCs w:val="30"/>
              </w:rPr>
              <w:t>3</w:t>
            </w:r>
            <w:r>
              <w:rPr>
                <w:rFonts w:hint="eastAsia" w:ascii="Times New Roman" w:hAnsi="Times New Roman" w:cs="Times New Roman"/>
                <w:bCs/>
                <w:color w:val="auto"/>
                <w:szCs w:val="30"/>
              </w:rPr>
              <w:t>个地下水质量考核点位周边调查，针对性制定地下水质量考核点位水质达标或保持方案</w:t>
            </w:r>
            <w:r>
              <w:rPr>
                <w:rFonts w:ascii="Times New Roman" w:hAnsi="Times New Roman" w:cs="Times New Roman"/>
                <w:bCs/>
                <w:color w:val="auto"/>
                <w:szCs w:val="30"/>
              </w:rPr>
              <w:t>。</w:t>
            </w:r>
          </w:p>
        </w:tc>
      </w:tr>
    </w:tbl>
    <w:p>
      <w:pPr>
        <w:pStyle w:val="4"/>
        <w:rPr>
          <w:rFonts w:ascii="Times New Roman"/>
          <w:color w:val="auto"/>
        </w:rPr>
      </w:pPr>
      <w:bookmarkStart w:id="35" w:name="_Toc84719100"/>
      <w:bookmarkStart w:id="36" w:name="_Toc99552423"/>
      <w:r>
        <w:rPr>
          <w:rFonts w:hint="eastAsia" w:ascii="Times New Roman"/>
          <w:color w:val="auto"/>
        </w:rPr>
        <w:t>第二节</w:t>
      </w:r>
      <w:r>
        <w:rPr>
          <w:rFonts w:ascii="Times New Roman"/>
          <w:color w:val="auto"/>
        </w:rPr>
        <w:t xml:space="preserve"> </w:t>
      </w:r>
      <w:r>
        <w:rPr>
          <w:rFonts w:hint="eastAsia" w:ascii="Times New Roman"/>
          <w:color w:val="auto"/>
        </w:rPr>
        <w:t>加强地下水污染源头</w:t>
      </w:r>
      <w:bookmarkEnd w:id="35"/>
      <w:r>
        <w:rPr>
          <w:rFonts w:hint="eastAsia" w:ascii="Times New Roman"/>
          <w:color w:val="auto"/>
        </w:rPr>
        <w:t>预防</w:t>
      </w:r>
      <w:bookmarkEnd w:id="36"/>
    </w:p>
    <w:p>
      <w:pPr>
        <w:pStyle w:val="65"/>
        <w:adjustRightInd w:val="0"/>
        <w:snapToGrid w:val="0"/>
        <w:ind w:firstLine="643"/>
        <w:rPr>
          <w:rFonts w:ascii="Times New Roman" w:hAnsi="Times New Roman" w:eastAsia="仿宋_GB2312" w:cs="Times New Roman"/>
          <w:color w:val="auto"/>
          <w:szCs w:val="24"/>
        </w:rPr>
      </w:pPr>
      <w:bookmarkStart w:id="37" w:name="_Toc59031333"/>
      <w:r>
        <w:rPr>
          <w:rFonts w:ascii="Times New Roman" w:hAnsi="Times New Roman" w:eastAsia="仿宋_GB2312" w:cs="Times New Roman"/>
          <w:b/>
          <w:color w:val="auto"/>
          <w:szCs w:val="24"/>
        </w:rPr>
        <w:t>开展地下水污染源防渗调查。</w:t>
      </w:r>
      <w:r>
        <w:rPr>
          <w:rFonts w:hint="eastAsia" w:ascii="Times New Roman" w:hAnsi="Times New Roman" w:eastAsia="仿宋_GB2312" w:cs="Times New Roman"/>
          <w:color w:val="auto"/>
          <w:szCs w:val="24"/>
        </w:rPr>
        <w:t>严格执行《水污染防治法》《地下水管理条例》，根据《福建省地下水污染源防渗漏调查工作方案》（闽环保土〔</w:t>
      </w:r>
      <w:r>
        <w:rPr>
          <w:rFonts w:ascii="Times New Roman" w:hAnsi="Times New Roman" w:eastAsia="仿宋_GB2312" w:cs="Times New Roman"/>
          <w:color w:val="auto"/>
          <w:szCs w:val="24"/>
        </w:rPr>
        <w:t>2021</w:t>
      </w:r>
      <w:r>
        <w:rPr>
          <w:rFonts w:hint="eastAsia" w:ascii="Times New Roman" w:hAnsi="Times New Roman" w:eastAsia="仿宋_GB2312" w:cs="Times New Roman"/>
          <w:color w:val="auto"/>
          <w:szCs w:val="24"/>
        </w:rPr>
        <w:t>〕</w:t>
      </w:r>
      <w:r>
        <w:rPr>
          <w:rFonts w:ascii="Times New Roman" w:hAnsi="Times New Roman" w:eastAsia="仿宋_GB2312" w:cs="Times New Roman"/>
          <w:color w:val="auto"/>
          <w:szCs w:val="24"/>
        </w:rPr>
        <w:t>10</w:t>
      </w:r>
      <w:r>
        <w:rPr>
          <w:rFonts w:hint="eastAsia" w:ascii="Times New Roman" w:hAnsi="Times New Roman" w:eastAsia="仿宋_GB2312" w:cs="Times New Roman"/>
          <w:color w:val="auto"/>
          <w:szCs w:val="24"/>
        </w:rPr>
        <w:t>号）要求，开展地下水污染源现有防渗漏与监测情况调查，指导地下水污染防治重点排污单位优先排查地下水污染防渗漏和水质监测井建设情况，对于防渗措施未按相关标准或规划执行的、防渗层破损的、存在较大渗漏污染地下水风险的企业，应按规范要求开展防渗工程施工或防渗改造工程，并形成地下水污染源防渗漏措施和监测井问题清单。</w:t>
      </w:r>
    </w:p>
    <w:p>
      <w:pPr>
        <w:pStyle w:val="65"/>
        <w:adjustRightInd w:val="0"/>
        <w:snapToGrid w:val="0"/>
        <w:ind w:firstLine="643"/>
        <w:rPr>
          <w:rFonts w:ascii="Times New Roman" w:hAnsi="Times New Roman" w:eastAsia="仿宋_GB2312" w:cs="Times New Roman"/>
          <w:color w:val="auto"/>
          <w:szCs w:val="24"/>
        </w:rPr>
      </w:pPr>
      <w:r>
        <w:rPr>
          <w:rFonts w:hint="eastAsia" w:ascii="Times New Roman" w:hAnsi="Times New Roman" w:eastAsia="仿宋_GB2312" w:cs="Times New Roman"/>
          <w:b/>
          <w:color w:val="auto"/>
          <w:szCs w:val="24"/>
        </w:rPr>
        <w:t>落实重点污染源防渗漏措施和监测要求。</w:t>
      </w:r>
      <w:r>
        <w:rPr>
          <w:rFonts w:hint="eastAsia" w:ascii="Times New Roman" w:hAnsi="Times New Roman" w:eastAsia="仿宋_GB2312" w:cs="Times New Roman"/>
          <w:color w:val="auto"/>
          <w:szCs w:val="24"/>
        </w:rPr>
        <w:t>强化垃圾填埋场的防渗及渗滤液处理，开展矿山开采区、其他重点行业企业地下储罐等区域防渗改造工作，防止污染地下水。针对需要建井监测的相关责任单位，对存在较大污染风险的，分期分批督促采取必要的防渗、生产及污水管线架空或地下水污染治理等措施。督促指导相关企业按要求建设地下水环境监测井，规范开展企业自行监测。地方生态环境部门组织开展地下水污染防治重点排污单位周边地下水环境监测，建立地下水污染源水质监测井档案。</w:t>
      </w:r>
    </w:p>
    <w:p>
      <w:pPr>
        <w:pStyle w:val="65"/>
        <w:adjustRightInd w:val="0"/>
        <w:snapToGrid w:val="0"/>
        <w:ind w:firstLine="643"/>
        <w:rPr>
          <w:rFonts w:ascii="Times New Roman" w:hAnsi="Times New Roman" w:eastAsia="仿宋_GB2312" w:cs="Times New Roman"/>
          <w:color w:val="auto"/>
          <w:szCs w:val="24"/>
        </w:rPr>
      </w:pPr>
      <w:r>
        <w:rPr>
          <w:rFonts w:hint="eastAsia" w:ascii="Times New Roman" w:hAnsi="Times New Roman" w:eastAsia="仿宋_GB2312" w:cs="Times New Roman"/>
          <w:b/>
          <w:color w:val="auto"/>
          <w:szCs w:val="24"/>
        </w:rPr>
        <w:t>严控农业面源对地下水污染。</w:t>
      </w:r>
      <w:r>
        <w:rPr>
          <w:rFonts w:hint="eastAsia" w:ascii="Times New Roman" w:hAnsi="Times New Roman" w:eastAsia="仿宋_GB2312" w:cs="Times New Roman"/>
          <w:color w:val="auto"/>
          <w:szCs w:val="24"/>
        </w:rPr>
        <w:t>推进化肥农药减施增效，深入实施化肥农药减量行动，鼓励农民增施有机肥，减少化肥使用量，提高化肥农药利用率，强化高毒、高残农药源头监管。加强畜禽粪污处理设施建设，加快推进畜禽粪污收集、存储、运输、处理和利用等环节的基础设施建设。</w:t>
      </w:r>
    </w:p>
    <w:p>
      <w:pPr>
        <w:pStyle w:val="65"/>
        <w:adjustRightInd w:val="0"/>
        <w:snapToGrid w:val="0"/>
        <w:ind w:firstLine="643"/>
        <w:rPr>
          <w:rFonts w:ascii="Times New Roman" w:hAnsi="Times New Roman" w:eastAsia="仿宋_GB2312" w:cs="Times New Roman"/>
          <w:color w:val="auto"/>
          <w:szCs w:val="24"/>
        </w:rPr>
      </w:pPr>
      <w:r>
        <w:rPr>
          <w:rFonts w:hint="eastAsia" w:ascii="Times New Roman" w:hAnsi="Times New Roman" w:eastAsia="仿宋_GB2312" w:cs="Times New Roman"/>
          <w:b/>
          <w:color w:val="auto"/>
          <w:szCs w:val="24"/>
        </w:rPr>
        <w:t>强化集中式污染处理设施管理。</w:t>
      </w:r>
      <w:r>
        <w:rPr>
          <w:rFonts w:hint="eastAsia" w:ascii="Times New Roman" w:hAnsi="Times New Roman" w:eastAsia="仿宋_GB2312" w:cs="Times New Roman"/>
          <w:color w:val="auto"/>
          <w:szCs w:val="24"/>
        </w:rPr>
        <w:t>加快城镇污水管网更新改造，完善管网收集系统，建立污水管网渗漏排查机制，减少管网渗漏。规范污水处理厂污泥处置，严禁擅自倾倒、堆放、丢弃和遗撒污泥，防范污泥污染地下水。</w:t>
      </w:r>
    </w:p>
    <w:p>
      <w:pPr>
        <w:pStyle w:val="65"/>
        <w:adjustRightInd w:val="0"/>
        <w:snapToGrid w:val="0"/>
        <w:ind w:firstLine="643"/>
        <w:rPr>
          <w:rFonts w:ascii="Times New Roman" w:hAnsi="Times New Roman" w:eastAsia="仿宋_GB2312" w:cs="Times New Roman"/>
          <w:color w:val="auto"/>
          <w:szCs w:val="24"/>
        </w:rPr>
      </w:pPr>
      <w:r>
        <w:rPr>
          <w:rFonts w:hint="eastAsia" w:ascii="Times New Roman" w:hAnsi="Times New Roman" w:eastAsia="仿宋_GB2312" w:cs="Times New Roman"/>
          <w:b/>
          <w:color w:val="auto"/>
          <w:szCs w:val="24"/>
        </w:rPr>
        <w:t>加快农村环境综合整治。</w:t>
      </w:r>
      <w:r>
        <w:rPr>
          <w:rFonts w:hint="eastAsia" w:ascii="Times New Roman" w:hAnsi="Times New Roman" w:eastAsia="仿宋_GB2312" w:cs="Times New Roman"/>
          <w:color w:val="auto"/>
          <w:szCs w:val="24"/>
        </w:rPr>
        <w:t>实行农村污水处理统一规划、统一建设、统一管理，有条件的地区积极推进城镇污水处理设施和服务向农村延伸。深化“以奖促治”政策，实施农村清洁工程，开展河道清淤疏浚，推进农村环境连片整治。</w:t>
      </w:r>
    </w:p>
    <w:p>
      <w:pPr>
        <w:pStyle w:val="65"/>
        <w:ind w:firstLine="643"/>
        <w:rPr>
          <w:color w:val="auto"/>
        </w:rPr>
      </w:pPr>
      <w:r>
        <w:rPr>
          <w:rFonts w:ascii="Times New Roman" w:hAnsi="Times New Roman" w:eastAsia="仿宋_GB2312" w:cs="Times New Roman"/>
          <w:b/>
          <w:color w:val="auto"/>
          <w:szCs w:val="24"/>
        </w:rPr>
        <w:t>加强海水入侵监测及预防。</w:t>
      </w:r>
      <w:r>
        <w:rPr>
          <w:rFonts w:ascii="Times New Roman" w:hAnsi="Times New Roman" w:eastAsia="仿宋_GB2312" w:cs="Times New Roman"/>
          <w:color w:val="auto"/>
          <w:szCs w:val="24"/>
        </w:rPr>
        <w:t>沿海地区特别是海岛、填海建设区域等要加强海水入侵调查、监测与预防，必要时控制和调整地下水开采，采取工程等综合措施防控海水入侵及倒灌，防止海水入侵对沿海地下水水质造成影响。</w:t>
      </w:r>
    </w:p>
    <w:p>
      <w:pPr>
        <w:pStyle w:val="65"/>
        <w:ind w:firstLine="643"/>
        <w:rPr>
          <w:color w:val="auto"/>
        </w:rPr>
        <w:sectPr>
          <w:footerReference r:id="rId19" w:type="default"/>
          <w:pgSz w:w="11906" w:h="16838"/>
          <w:pgMar w:top="1440" w:right="1800" w:bottom="1440" w:left="1800" w:header="851" w:footer="992" w:gutter="0"/>
          <w:pgNumType w:fmt="decimal" w:start="1"/>
          <w:cols w:space="425" w:num="1"/>
          <w:docGrid w:type="lines" w:linePitch="381" w:charSpace="0"/>
        </w:sectPr>
      </w:pPr>
    </w:p>
    <w:p>
      <w:pPr>
        <w:pStyle w:val="40"/>
        <w:spacing w:before="190"/>
        <w:rPr>
          <w:rFonts w:ascii="Times New Roman"/>
          <w:color w:val="auto"/>
        </w:rPr>
      </w:pPr>
      <w:r>
        <w:rPr>
          <w:rFonts w:ascii="Times New Roman"/>
          <w:color w:val="auto"/>
        </w:rPr>
        <w:t>专栏2：地下水污染源头预防项目</w:t>
      </w:r>
    </w:p>
    <w:tbl>
      <w:tblPr>
        <w:tblStyle w:val="23"/>
        <w:tblW w:w="8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9" w:hRule="atLeast"/>
          <w:jc w:val="center"/>
        </w:trPr>
        <w:tc>
          <w:tcPr>
            <w:tcW w:w="8761" w:type="dxa"/>
            <w:vAlign w:val="center"/>
          </w:tcPr>
          <w:p>
            <w:pPr>
              <w:overflowPunct w:val="0"/>
              <w:ind w:firstLine="562"/>
              <w:rPr>
                <w:rFonts w:ascii="Times New Roman" w:hAnsi="Times New Roman" w:cs="Times New Roman"/>
                <w:b/>
                <w:bCs/>
                <w:color w:val="auto"/>
                <w:szCs w:val="30"/>
              </w:rPr>
            </w:pPr>
            <w:r>
              <w:rPr>
                <w:rFonts w:hint="eastAsia" w:ascii="Times New Roman" w:hAnsi="Times New Roman" w:cs="Times New Roman"/>
                <w:b/>
                <w:bCs/>
                <w:color w:val="auto"/>
                <w:szCs w:val="30"/>
              </w:rPr>
              <w:t>1.地下水污染源防渗漏调查。</w:t>
            </w:r>
            <w:r>
              <w:rPr>
                <w:rFonts w:hint="eastAsia" w:ascii="Times New Roman" w:hAnsi="Times New Roman" w:cs="Times New Roman"/>
                <w:bCs/>
                <w:color w:val="auto"/>
                <w:szCs w:val="30"/>
              </w:rPr>
              <w:t>督促指导地下水污染防治重点排污单位优先排查地下水污染防渗漏和水质监测井建设情况，建立地下水污染源防渗漏措施和监测井问题清单。</w:t>
            </w:r>
          </w:p>
          <w:p>
            <w:pPr>
              <w:overflowPunct w:val="0"/>
              <w:ind w:firstLine="562"/>
              <w:rPr>
                <w:rFonts w:ascii="Times New Roman" w:hAnsi="Times New Roman" w:cs="Times New Roman"/>
                <w:bCs/>
                <w:color w:val="auto"/>
                <w:szCs w:val="30"/>
              </w:rPr>
            </w:pPr>
            <w:r>
              <w:rPr>
                <w:rFonts w:ascii="Times New Roman" w:hAnsi="Times New Roman" w:cs="Times New Roman"/>
                <w:b/>
                <w:bCs/>
                <w:color w:val="auto"/>
                <w:szCs w:val="30"/>
              </w:rPr>
              <w:t>2.落实重点污染源地下水防渗漏措施。</w:t>
            </w:r>
            <w:r>
              <w:rPr>
                <w:rFonts w:hint="eastAsia" w:ascii="Times New Roman" w:hAnsi="Times New Roman" w:cs="Times New Roman"/>
                <w:bCs/>
                <w:color w:val="auto"/>
                <w:szCs w:val="30"/>
              </w:rPr>
              <w:t>调查地下水污染源现有防渗漏与监测情况，重点开展矿山开采区、其他重点行业企业地下储罐等区域防渗改造。鼓励根据福鼎市龙安化工园区、宁德市福化环保科技有限公司等危险废物处置场、福鼎市益民垃圾处理有限公司等垃圾填埋场的地下水环境状况调查评估结果，对其开展防渗改造需求分析，在对正常生产经营活动影响不大的情况下，开展防渗改造施工。</w:t>
            </w:r>
          </w:p>
          <w:p>
            <w:pPr>
              <w:overflowPunct w:val="0"/>
              <w:ind w:firstLine="562"/>
              <w:rPr>
                <w:rFonts w:ascii="Times New Roman" w:hAnsi="Times New Roman" w:eastAsia="仿宋" w:cs="Times New Roman"/>
                <w:bCs/>
                <w:color w:val="auto"/>
                <w:sz w:val="30"/>
                <w:szCs w:val="30"/>
              </w:rPr>
            </w:pPr>
            <w:r>
              <w:rPr>
                <w:rFonts w:hint="eastAsia" w:ascii="Times New Roman" w:hAnsi="Times New Roman" w:cs="Times New Roman"/>
                <w:b/>
                <w:bCs/>
                <w:color w:val="auto"/>
                <w:szCs w:val="30"/>
              </w:rPr>
              <w:t>3</w:t>
            </w:r>
            <w:r>
              <w:rPr>
                <w:rFonts w:ascii="Times New Roman" w:hAnsi="Times New Roman" w:cs="Times New Roman"/>
                <w:b/>
                <w:bCs/>
                <w:color w:val="auto"/>
                <w:szCs w:val="30"/>
              </w:rPr>
              <w:t>.</w:t>
            </w:r>
            <w:r>
              <w:rPr>
                <w:rFonts w:hint="eastAsia" w:ascii="Times New Roman" w:hAnsi="Times New Roman" w:cs="Times New Roman"/>
                <w:b/>
                <w:bCs/>
                <w:color w:val="auto"/>
                <w:szCs w:val="30"/>
              </w:rPr>
              <w:t>重点排污单位自行监测</w:t>
            </w:r>
            <w:r>
              <w:rPr>
                <w:rFonts w:ascii="Times New Roman" w:hAnsi="Times New Roman" w:cs="Times New Roman"/>
                <w:b/>
                <w:bCs/>
                <w:color w:val="auto"/>
                <w:szCs w:val="30"/>
              </w:rPr>
              <w:t>。</w:t>
            </w:r>
            <w:r>
              <w:rPr>
                <w:rFonts w:hint="eastAsia" w:ascii="Times New Roman" w:hAnsi="Times New Roman" w:cs="Times New Roman"/>
                <w:bCs/>
                <w:color w:val="auto"/>
                <w:szCs w:val="30"/>
              </w:rPr>
              <w:t>依法督促责任单位建设地下水水质监测井并按要求开展水质监测工作。</w:t>
            </w:r>
          </w:p>
        </w:tc>
      </w:tr>
    </w:tbl>
    <w:p>
      <w:pPr>
        <w:pStyle w:val="4"/>
        <w:rPr>
          <w:rFonts w:ascii="Times New Roman"/>
          <w:color w:val="auto"/>
        </w:rPr>
      </w:pPr>
      <w:bookmarkStart w:id="38" w:name="_Toc99552424"/>
      <w:bookmarkStart w:id="39" w:name="_Toc89697265"/>
      <w:r>
        <w:rPr>
          <w:rFonts w:hint="eastAsia" w:ascii="Times New Roman"/>
          <w:color w:val="auto"/>
        </w:rPr>
        <w:t>第三节</w:t>
      </w:r>
      <w:r>
        <w:rPr>
          <w:rFonts w:ascii="Times New Roman"/>
          <w:color w:val="auto"/>
        </w:rPr>
        <w:t xml:space="preserve"> </w:t>
      </w:r>
      <w:r>
        <w:rPr>
          <w:rFonts w:hint="eastAsia" w:ascii="Times New Roman"/>
          <w:color w:val="auto"/>
        </w:rPr>
        <w:t>实施地下水污染风险管控及修复</w:t>
      </w:r>
      <w:bookmarkEnd w:id="38"/>
      <w:bookmarkEnd w:id="39"/>
    </w:p>
    <w:p>
      <w:pPr>
        <w:pStyle w:val="65"/>
        <w:adjustRightInd w:val="0"/>
        <w:snapToGrid w:val="0"/>
        <w:ind w:firstLine="643"/>
        <w:rPr>
          <w:rFonts w:ascii="Times New Roman" w:hAnsi="Times New Roman" w:cs="Times New Roman"/>
          <w:color w:val="auto"/>
        </w:rPr>
      </w:pPr>
      <w:r>
        <w:rPr>
          <w:rFonts w:ascii="Times New Roman" w:hAnsi="Times New Roman" w:cs="Times New Roman"/>
          <w:b/>
          <w:color w:val="auto"/>
        </w:rPr>
        <w:t>开展地下水污染防治分区管理。</w:t>
      </w:r>
      <w:r>
        <w:rPr>
          <w:rFonts w:ascii="Times New Roman" w:hAnsi="Times New Roman" w:cs="Times New Roman"/>
          <w:color w:val="auto"/>
        </w:rPr>
        <w:t>2024</w:t>
      </w:r>
      <w:r>
        <w:rPr>
          <w:rFonts w:hint="eastAsia" w:ascii="Times New Roman" w:hAnsi="Times New Roman" w:cs="Times New Roman"/>
          <w:color w:val="auto"/>
        </w:rPr>
        <w:t>年底前配合宁德市完成市域范围地下水污染防治重点区划定工作，综合考虑区域地下水水文地质结构、脆弱性、污染状况、水资源禀赋和行政区划等地下水污染分区特征及地下水功能，针对地下水污染治理区、防控区及保护区，提出分区管理措施，实施地下水环境分区管理、分类防控、分级防治，明确环境准入、隐患排查、风险管控等差别化环境管理要求。</w:t>
      </w:r>
    </w:p>
    <w:p>
      <w:pPr>
        <w:pStyle w:val="65"/>
        <w:adjustRightInd w:val="0"/>
        <w:snapToGrid w:val="0"/>
        <w:ind w:firstLine="643"/>
        <w:rPr>
          <w:rFonts w:ascii="Times New Roman" w:hAnsi="Times New Roman" w:cs="Times New Roman"/>
          <w:color w:val="auto"/>
        </w:rPr>
      </w:pPr>
      <w:r>
        <w:rPr>
          <w:rFonts w:hint="eastAsia" w:ascii="Times New Roman" w:hAnsi="Times New Roman" w:cs="Times New Roman"/>
          <w:b/>
          <w:color w:val="auto"/>
        </w:rPr>
        <w:t>推进重点污染源地下水污染风险管控。</w:t>
      </w:r>
      <w:r>
        <w:rPr>
          <w:rFonts w:hint="eastAsia" w:ascii="Times New Roman" w:hAnsi="Times New Roman" w:cs="Times New Roman"/>
          <w:color w:val="auto"/>
        </w:rPr>
        <w:t>根据福鼎市龙安化工园区、宁德市福化环保科技有限公司等危险废物处置场、福鼎市益民垃圾处理有限公司等垃圾填埋场的地下水环境状况调查评估结果，对环境风险不可接受的，探索开展地下水污染风险管控，阻止地下水污染扩散，加强风险管控后期地下水环境监管。</w:t>
      </w:r>
    </w:p>
    <w:p>
      <w:pPr>
        <w:pStyle w:val="65"/>
        <w:adjustRightInd w:val="0"/>
        <w:snapToGrid w:val="0"/>
        <w:ind w:firstLine="643"/>
        <w:rPr>
          <w:rFonts w:hint="eastAsia" w:ascii="Times New Roman" w:hAnsi="Times New Roman" w:eastAsia="仿宋_GB2312" w:cs="Times New Roman"/>
          <w:color w:val="auto"/>
          <w:lang w:bidi="ar"/>
        </w:rPr>
      </w:pPr>
      <w:r>
        <w:rPr>
          <w:rFonts w:hint="eastAsia" w:ascii="Times New Roman" w:hAnsi="Times New Roman" w:eastAsia="仿宋_GB2312" w:cs="Times New Roman"/>
          <w:b/>
          <w:bCs w:val="0"/>
          <w:color w:val="auto"/>
          <w:szCs w:val="24"/>
        </w:rPr>
        <w:t>积极探索地下水污染修复</w:t>
      </w:r>
      <w:r>
        <w:rPr>
          <w:rFonts w:hint="eastAsia" w:ascii="Times New Roman" w:hAnsi="Times New Roman" w:eastAsia="仿宋_GB2312" w:cs="Times New Roman"/>
          <w:bCs w:val="0"/>
          <w:color w:val="auto"/>
          <w:szCs w:val="24"/>
        </w:rPr>
        <w:t>。强化土壤与地下水污染协同防治，</w:t>
      </w:r>
      <w:r>
        <w:rPr>
          <w:rFonts w:hint="eastAsia" w:ascii="Times New Roman" w:hAnsi="Times New Roman" w:cs="Times New Roman"/>
          <w:color w:val="auto"/>
        </w:rPr>
        <w:t>统筹推进土壤和地下水风险管控和修复。</w:t>
      </w:r>
      <w:r>
        <w:rPr>
          <w:rFonts w:hint="eastAsia" w:ascii="Times New Roman" w:hAnsi="Times New Roman" w:eastAsia="仿宋_GB2312" w:cs="Times New Roman"/>
          <w:bCs w:val="0"/>
          <w:color w:val="auto"/>
          <w:szCs w:val="24"/>
        </w:rPr>
        <w:t>根据全市地下水环境状况调查评估以及化工园区、危险废物处置场、垃圾填埋场等专项调查评估成果，结合</w:t>
      </w:r>
      <w:r>
        <w:rPr>
          <w:rFonts w:ascii="Times New Roman" w:hAnsi="Times New Roman" w:eastAsia="仿宋_GB2312" w:cs="Times New Roman"/>
          <w:bCs w:val="0"/>
          <w:color w:val="auto"/>
          <w:szCs w:val="24"/>
        </w:rPr>
        <w:t>“</w:t>
      </w:r>
      <w:r>
        <w:rPr>
          <w:rFonts w:hint="eastAsia" w:ascii="Times New Roman" w:hAnsi="Times New Roman" w:eastAsia="仿宋_GB2312" w:cs="Times New Roman"/>
          <w:bCs w:val="0"/>
          <w:color w:val="auto"/>
          <w:szCs w:val="24"/>
        </w:rPr>
        <w:t>一企一库</w:t>
      </w:r>
      <w:r>
        <w:rPr>
          <w:rFonts w:ascii="Times New Roman" w:hAnsi="Times New Roman" w:eastAsia="仿宋_GB2312" w:cs="Times New Roman"/>
          <w:bCs w:val="0"/>
          <w:color w:val="auto"/>
          <w:szCs w:val="24"/>
        </w:rPr>
        <w:t>”“</w:t>
      </w:r>
      <w:r>
        <w:rPr>
          <w:rFonts w:hint="eastAsia" w:ascii="Times New Roman" w:hAnsi="Times New Roman" w:eastAsia="仿宋_GB2312" w:cs="Times New Roman"/>
          <w:bCs w:val="0"/>
          <w:color w:val="auto"/>
          <w:szCs w:val="24"/>
        </w:rPr>
        <w:t>两场两区</w:t>
      </w:r>
      <w:r>
        <w:rPr>
          <w:rFonts w:ascii="Times New Roman" w:hAnsi="Times New Roman" w:eastAsia="仿宋_GB2312" w:cs="Times New Roman"/>
          <w:bCs w:val="0"/>
          <w:color w:val="auto"/>
          <w:szCs w:val="24"/>
        </w:rPr>
        <w:t>”</w:t>
      </w:r>
      <w:r>
        <w:rPr>
          <w:rFonts w:hint="eastAsia" w:ascii="Times New Roman" w:hAnsi="Times New Roman" w:eastAsia="仿宋_GB2312" w:cs="Times New Roman"/>
          <w:bCs w:val="0"/>
          <w:color w:val="auto"/>
          <w:szCs w:val="24"/>
        </w:rPr>
        <w:t>防渗漏调查成果，对环境风险不可接受或地下水受到污染的，开展地下水污染风险管控和修复工程，</w:t>
      </w:r>
      <w:r>
        <w:rPr>
          <w:rFonts w:hint="eastAsia" w:ascii="Times New Roman" w:hAnsi="Times New Roman" w:eastAsia="仿宋_GB2312" w:cs="Times New Roman"/>
          <w:color w:val="auto"/>
          <w:lang w:bidi="ar"/>
        </w:rPr>
        <w:t>探索地下水污染修复技术。</w:t>
      </w:r>
    </w:p>
    <w:p>
      <w:pPr>
        <w:pStyle w:val="65"/>
        <w:adjustRightInd w:val="0"/>
        <w:snapToGrid w:val="0"/>
        <w:ind w:firstLine="643"/>
        <w:rPr>
          <w:rFonts w:hint="eastAsia" w:ascii="Times New Roman" w:hAnsi="Times New Roman" w:eastAsia="仿宋_GB2312" w:cs="Times New Roman"/>
          <w:color w:val="auto"/>
          <w:lang w:bidi="ar"/>
        </w:rPr>
      </w:pPr>
    </w:p>
    <w:p>
      <w:pPr>
        <w:pStyle w:val="40"/>
        <w:spacing w:before="190"/>
        <w:rPr>
          <w:rFonts w:ascii="Times New Roman"/>
          <w:color w:val="auto"/>
        </w:rPr>
      </w:pPr>
      <w:r>
        <w:rPr>
          <w:rFonts w:ascii="Times New Roman"/>
          <w:color w:val="auto"/>
        </w:rPr>
        <w:t>专栏3：地下水污染管控项目</w:t>
      </w:r>
    </w:p>
    <w:tbl>
      <w:tblPr>
        <w:tblStyle w:val="23"/>
        <w:tblW w:w="8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8" w:hRule="atLeast"/>
          <w:jc w:val="center"/>
        </w:trPr>
        <w:tc>
          <w:tcPr>
            <w:tcW w:w="8761" w:type="dxa"/>
            <w:vAlign w:val="center"/>
          </w:tcPr>
          <w:p>
            <w:pPr>
              <w:overflowPunct w:val="0"/>
              <w:ind w:firstLine="562"/>
              <w:rPr>
                <w:rFonts w:ascii="Times New Roman" w:hAnsi="Times New Roman" w:cs="Times New Roman"/>
                <w:bCs/>
                <w:color w:val="auto"/>
                <w:szCs w:val="30"/>
              </w:rPr>
            </w:pPr>
            <w:r>
              <w:rPr>
                <w:rFonts w:ascii="Times New Roman" w:hAnsi="Times New Roman" w:cs="Times New Roman"/>
                <w:b/>
                <w:bCs/>
                <w:color w:val="auto"/>
                <w:szCs w:val="30"/>
              </w:rPr>
              <w:t>1.</w:t>
            </w:r>
            <w:r>
              <w:rPr>
                <w:rFonts w:hint="eastAsia" w:ascii="Times New Roman" w:hAnsi="Times New Roman" w:cs="Times New Roman"/>
                <w:b/>
                <w:bCs/>
                <w:color w:val="auto"/>
                <w:szCs w:val="30"/>
              </w:rPr>
              <w:t>地下水污染防治重点区划定。</w:t>
            </w:r>
            <w:r>
              <w:rPr>
                <w:rFonts w:ascii="Times New Roman" w:hAnsi="Times New Roman" w:cs="Times New Roman"/>
                <w:bCs/>
                <w:color w:val="auto"/>
                <w:szCs w:val="30"/>
              </w:rPr>
              <w:t>配合</w:t>
            </w:r>
            <w:r>
              <w:rPr>
                <w:rFonts w:hint="eastAsia" w:ascii="Times New Roman" w:hAnsi="Times New Roman" w:cs="Times New Roman"/>
                <w:bCs/>
                <w:color w:val="auto"/>
                <w:szCs w:val="30"/>
              </w:rPr>
              <w:t>宁德</w:t>
            </w:r>
            <w:r>
              <w:rPr>
                <w:rFonts w:ascii="Times New Roman" w:hAnsi="Times New Roman" w:cs="Times New Roman"/>
                <w:bCs/>
                <w:color w:val="auto"/>
                <w:szCs w:val="30"/>
              </w:rPr>
              <w:t>市完成市域范围地下水污染防治重点区划定，实施地下水环境分区管理、</w:t>
            </w:r>
            <w:r>
              <w:rPr>
                <w:rFonts w:hint="eastAsia" w:ascii="Times New Roman" w:hAnsi="Times New Roman" w:cs="Times New Roman"/>
                <w:bCs/>
                <w:color w:val="auto"/>
                <w:szCs w:val="30"/>
              </w:rPr>
              <w:t>分类防控、</w:t>
            </w:r>
            <w:r>
              <w:rPr>
                <w:rFonts w:ascii="Times New Roman" w:hAnsi="Times New Roman" w:cs="Times New Roman"/>
                <w:bCs/>
                <w:color w:val="auto"/>
                <w:szCs w:val="30"/>
              </w:rPr>
              <w:t>分级防治</w:t>
            </w:r>
            <w:r>
              <w:rPr>
                <w:rFonts w:hint="eastAsia" w:ascii="Times New Roman" w:hAnsi="Times New Roman" w:cs="Times New Roman"/>
                <w:bCs/>
                <w:color w:val="auto"/>
                <w:szCs w:val="30"/>
              </w:rPr>
              <w:t>。</w:t>
            </w:r>
          </w:p>
          <w:p>
            <w:pPr>
              <w:overflowPunct w:val="0"/>
              <w:ind w:firstLine="562"/>
              <w:rPr>
                <w:rFonts w:ascii="Times New Roman" w:hAnsi="Times New Roman" w:eastAsia="仿宋" w:cs="Times New Roman"/>
                <w:b/>
                <w:bCs/>
                <w:color w:val="auto"/>
                <w:sz w:val="30"/>
                <w:szCs w:val="30"/>
              </w:rPr>
            </w:pPr>
            <w:r>
              <w:rPr>
                <w:rFonts w:ascii="Times New Roman" w:hAnsi="Times New Roman" w:cs="Times New Roman"/>
                <w:b/>
                <w:bCs/>
                <w:color w:val="auto"/>
                <w:szCs w:val="30"/>
              </w:rPr>
              <w:t>2.</w:t>
            </w:r>
            <w:r>
              <w:rPr>
                <w:rFonts w:hint="eastAsia" w:ascii="Times New Roman" w:hAnsi="Times New Roman" w:cs="Times New Roman"/>
                <w:b/>
                <w:bCs/>
                <w:color w:val="auto"/>
                <w:szCs w:val="30"/>
              </w:rPr>
              <w:t>重点污染源地下水污染风险管控与修复</w:t>
            </w:r>
            <w:r>
              <w:rPr>
                <w:rFonts w:ascii="Times New Roman" w:hAnsi="Times New Roman" w:cs="Times New Roman"/>
                <w:b/>
                <w:bCs/>
                <w:color w:val="auto"/>
                <w:szCs w:val="30"/>
              </w:rPr>
              <w:t>。</w:t>
            </w:r>
            <w:r>
              <w:rPr>
                <w:rFonts w:hint="eastAsia" w:ascii="Times New Roman" w:hAnsi="Times New Roman" w:cs="Times New Roman"/>
                <w:bCs/>
                <w:color w:val="auto"/>
                <w:szCs w:val="30"/>
              </w:rPr>
              <w:t>探索开展重点污染源（化工园区、危险废物处置场和生活垃圾填埋场等）地下水污染风险管控工程。</w:t>
            </w:r>
          </w:p>
        </w:tc>
      </w:tr>
    </w:tbl>
    <w:p>
      <w:pPr>
        <w:bidi w:val="0"/>
        <w:rPr>
          <w:rFonts w:hint="eastAsia"/>
          <w:color w:val="auto"/>
        </w:rPr>
        <w:sectPr>
          <w:pgSz w:w="11906" w:h="16838"/>
          <w:pgMar w:top="1440" w:right="1800" w:bottom="1440" w:left="1800" w:header="851" w:footer="992" w:gutter="0"/>
          <w:pgNumType w:fmt="decimal"/>
          <w:cols w:space="425" w:num="1"/>
          <w:docGrid w:type="lines" w:linePitch="381" w:charSpace="0"/>
        </w:sectPr>
      </w:pPr>
      <w:bookmarkStart w:id="40" w:name="_Toc99552425"/>
      <w:bookmarkStart w:id="41" w:name="_Toc84719112"/>
    </w:p>
    <w:p>
      <w:pPr>
        <w:pStyle w:val="4"/>
        <w:rPr>
          <w:rFonts w:ascii="Times New Roman"/>
          <w:color w:val="auto"/>
        </w:rPr>
      </w:pPr>
      <w:r>
        <w:rPr>
          <w:rFonts w:hint="eastAsia" w:ascii="Times New Roman"/>
          <w:color w:val="auto"/>
        </w:rPr>
        <w:t>第四节</w:t>
      </w:r>
      <w:r>
        <w:rPr>
          <w:rFonts w:ascii="Times New Roman"/>
          <w:color w:val="auto"/>
        </w:rPr>
        <w:t xml:space="preserve"> 强化地下水监管能力建设</w:t>
      </w:r>
      <w:bookmarkEnd w:id="40"/>
      <w:bookmarkEnd w:id="41"/>
    </w:p>
    <w:p>
      <w:pPr>
        <w:pStyle w:val="65"/>
        <w:adjustRightInd w:val="0"/>
        <w:snapToGrid w:val="0"/>
        <w:ind w:firstLine="643"/>
        <w:rPr>
          <w:rFonts w:ascii="Times New Roman" w:hAnsi="Times New Roman" w:eastAsia="仿宋_GB2312" w:cs="Times New Roman"/>
          <w:bCs w:val="0"/>
          <w:color w:val="auto"/>
          <w:szCs w:val="24"/>
        </w:rPr>
      </w:pPr>
      <w:r>
        <w:rPr>
          <w:rFonts w:ascii="Times New Roman" w:hAnsi="Times New Roman" w:eastAsia="仿宋_GB2312" w:cs="Times New Roman"/>
          <w:b/>
          <w:bCs w:val="0"/>
          <w:color w:val="auto"/>
          <w:szCs w:val="24"/>
        </w:rPr>
        <w:t>建立以“</w:t>
      </w:r>
      <w:r>
        <w:rPr>
          <w:rFonts w:hint="eastAsia" w:ascii="Times New Roman" w:hAnsi="Times New Roman" w:eastAsia="仿宋_GB2312" w:cs="Times New Roman"/>
          <w:b/>
          <w:bCs w:val="0"/>
          <w:color w:val="auto"/>
          <w:szCs w:val="24"/>
        </w:rPr>
        <w:t>双源”为重点的地下水环境监测网。</w:t>
      </w:r>
      <w:r>
        <w:rPr>
          <w:rFonts w:hint="eastAsia" w:ascii="Times New Roman" w:hAnsi="Times New Roman" w:eastAsia="仿宋_GB2312" w:cs="Times New Roman"/>
          <w:bCs w:val="0"/>
          <w:color w:val="auto"/>
          <w:szCs w:val="24"/>
        </w:rPr>
        <w:t>结合地下水“双源”清单和污染防治重点区划定等成果，整合优化生态环境、自然资源、水利等部门的地下水监测点位，构建区域全覆盖、种类齐全、分布合理的地下水监测网，完善全市地下水环境监测网络体系，按要求定期组织开展监测。</w:t>
      </w:r>
    </w:p>
    <w:p>
      <w:pPr>
        <w:pStyle w:val="65"/>
        <w:adjustRightInd w:val="0"/>
        <w:snapToGrid w:val="0"/>
        <w:ind w:firstLine="643"/>
        <w:rPr>
          <w:rFonts w:ascii="Times New Roman" w:hAnsi="Times New Roman" w:eastAsia="仿宋_GB2312" w:cs="Times New Roman"/>
          <w:bCs w:val="0"/>
          <w:color w:val="auto"/>
          <w:szCs w:val="24"/>
        </w:rPr>
      </w:pPr>
      <w:r>
        <w:rPr>
          <w:rFonts w:hint="eastAsia" w:ascii="Times New Roman" w:hAnsi="Times New Roman" w:eastAsia="仿宋_GB2312" w:cs="Times New Roman"/>
          <w:b/>
          <w:bCs w:val="0"/>
          <w:color w:val="auto"/>
          <w:szCs w:val="24"/>
        </w:rPr>
        <w:t>提升地下水监测技术水平。</w:t>
      </w:r>
      <w:r>
        <w:rPr>
          <w:rFonts w:hint="eastAsia" w:ascii="Times New Roman" w:hAnsi="Times New Roman" w:eastAsia="仿宋_GB2312" w:cs="Times New Roman"/>
          <w:bCs w:val="0"/>
          <w:color w:val="auto"/>
          <w:szCs w:val="24"/>
        </w:rPr>
        <w:t>积极争取配备地下水相关专业人员，补齐短板，解决地下水管理人员欠缺的问题。加强人员队伍建设和地下水监测装备配备，提升环境监测机构地下水监测业务能力。鼓励专业第三方机构积极参与地下水监测工作。</w:t>
      </w:r>
    </w:p>
    <w:p>
      <w:pPr>
        <w:pStyle w:val="65"/>
        <w:adjustRightInd w:val="0"/>
        <w:snapToGrid w:val="0"/>
        <w:ind w:firstLine="643"/>
        <w:rPr>
          <w:rFonts w:ascii="Times New Roman" w:hAnsi="Times New Roman" w:eastAsia="仿宋_GB2312" w:cs="Times New Roman"/>
          <w:bCs w:val="0"/>
          <w:color w:val="auto"/>
          <w:szCs w:val="24"/>
        </w:rPr>
      </w:pPr>
      <w:r>
        <w:rPr>
          <w:rFonts w:hint="eastAsia" w:ascii="Times New Roman" w:hAnsi="Times New Roman" w:eastAsia="仿宋_GB2312" w:cs="Times New Roman"/>
          <w:b/>
          <w:bCs w:val="0"/>
          <w:color w:val="auto"/>
          <w:szCs w:val="24"/>
        </w:rPr>
        <w:t>加强地下水生态环境执法和应急。</w:t>
      </w:r>
      <w:r>
        <w:rPr>
          <w:rFonts w:hint="eastAsia" w:ascii="Times New Roman" w:hAnsi="Times New Roman" w:eastAsia="仿宋_GB2312" w:cs="Times New Roman"/>
          <w:bCs w:val="0"/>
          <w:color w:val="auto"/>
          <w:szCs w:val="24"/>
        </w:rPr>
        <w:t>健全地下水防控体系，加强重点工业行业对地下水环境的影响监管，定期开展地下水污染风险排查监测，防止工业危险废物污染地下水。依法将地下水生态环境保护相关工作纳入日常执法内容，严厉打击利用渗井、渗坑、裂隙、溶洞，以及私设暗管等逃避监管的方式排放水污染物等违法行为。落实生态环境损害赔偿制度，按要求开展污染地下水生态环境损害调查评估。提升地下水生态环境执法水平和突发环境事件地下水生态环境保护应急处置能力，</w:t>
      </w:r>
      <w:r>
        <w:rPr>
          <w:rFonts w:hint="eastAsia" w:ascii="Times New Roman" w:hAnsi="Times New Roman" w:eastAsia="仿宋_GB2312" w:cs="Times New Roman"/>
          <w:color w:val="auto"/>
          <w:szCs w:val="24"/>
        </w:rPr>
        <w:t>地下水污染防治重点排污单位</w:t>
      </w:r>
      <w:r>
        <w:rPr>
          <w:rFonts w:hint="eastAsia" w:ascii="Times New Roman" w:hAnsi="Times New Roman" w:eastAsia="仿宋_GB2312" w:cs="Times New Roman"/>
          <w:bCs w:val="0"/>
          <w:color w:val="auto"/>
          <w:szCs w:val="24"/>
        </w:rPr>
        <w:t>制定的突发环境事件应急预案应包括防止地下水环境污染内容。</w:t>
      </w:r>
    </w:p>
    <w:p>
      <w:pPr>
        <w:pStyle w:val="40"/>
        <w:spacing w:before="190"/>
        <w:rPr>
          <w:rFonts w:ascii="Times New Roman"/>
          <w:color w:val="auto"/>
        </w:rPr>
      </w:pPr>
      <w:bookmarkStart w:id="42" w:name="_Hlk86232066"/>
      <w:r>
        <w:rPr>
          <w:rFonts w:ascii="Times New Roman"/>
          <w:color w:val="auto"/>
        </w:rPr>
        <w:t>专栏4：</w:t>
      </w:r>
      <w:r>
        <w:rPr>
          <w:rFonts w:hint="eastAsia" w:ascii="Times New Roman"/>
          <w:color w:val="auto"/>
        </w:rPr>
        <w:t>地下水监管能力建设</w:t>
      </w:r>
      <w:r>
        <w:rPr>
          <w:rFonts w:ascii="Times New Roman"/>
          <w:color w:val="auto"/>
        </w:rPr>
        <w:t>项目</w:t>
      </w:r>
    </w:p>
    <w:tbl>
      <w:tblPr>
        <w:tblStyle w:val="23"/>
        <w:tblW w:w="8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8761" w:type="dxa"/>
            <w:vAlign w:val="center"/>
          </w:tcPr>
          <w:p>
            <w:pPr>
              <w:overflowPunct w:val="0"/>
              <w:ind w:firstLine="562"/>
              <w:rPr>
                <w:rFonts w:ascii="Times New Roman" w:hAnsi="Times New Roman" w:cs="Times New Roman"/>
                <w:bCs/>
                <w:color w:val="auto"/>
                <w:szCs w:val="30"/>
              </w:rPr>
            </w:pPr>
            <w:r>
              <w:rPr>
                <w:rFonts w:hint="eastAsia" w:ascii="Times New Roman" w:hAnsi="Times New Roman" w:cs="Times New Roman"/>
                <w:b/>
                <w:bCs/>
                <w:color w:val="auto"/>
                <w:szCs w:val="30"/>
              </w:rPr>
              <w:t>1.建立完善地下水环境监测网。</w:t>
            </w:r>
            <w:r>
              <w:rPr>
                <w:rFonts w:hint="eastAsia" w:ascii="Times New Roman" w:hAnsi="Times New Roman" w:cs="Times New Roman"/>
                <w:bCs/>
                <w:color w:val="auto"/>
                <w:szCs w:val="30"/>
              </w:rPr>
              <w:t>整合优化生态环境、自然资源、水利等部门的地下水监测点位，构建区域全覆盖、种类齐全、分布合理的地下水监测网。</w:t>
            </w:r>
          </w:p>
          <w:p>
            <w:pPr>
              <w:overflowPunct w:val="0"/>
              <w:ind w:firstLine="562"/>
              <w:rPr>
                <w:rFonts w:ascii="Times New Roman" w:hAnsi="Times New Roman" w:cs="Times New Roman"/>
                <w:bCs/>
                <w:color w:val="auto"/>
                <w:szCs w:val="30"/>
              </w:rPr>
            </w:pPr>
            <w:r>
              <w:rPr>
                <w:rFonts w:hint="eastAsia" w:ascii="Times New Roman" w:hAnsi="Times New Roman" w:cs="Times New Roman"/>
                <w:b/>
                <w:bCs/>
                <w:color w:val="auto"/>
                <w:szCs w:val="30"/>
              </w:rPr>
              <w:t>2.建立地下水污染源水质监测井档案。</w:t>
            </w:r>
            <w:r>
              <w:rPr>
                <w:rFonts w:hint="eastAsia" w:ascii="Times New Roman" w:hAnsi="Times New Roman" w:cs="Times New Roman"/>
                <w:bCs/>
                <w:color w:val="auto"/>
                <w:szCs w:val="30"/>
              </w:rPr>
              <w:t>督促地下水污染源有关单位建设地下水水质监测井，调查地下水污染源现有地下水水质监测井布设位置、数量、结构，形成地下水污染源水质监测井调查清单及地下水污染源水质监测井档案。</w:t>
            </w:r>
          </w:p>
        </w:tc>
      </w:tr>
    </w:tbl>
    <w:p>
      <w:pPr>
        <w:widowControl/>
        <w:adjustRightInd/>
        <w:snapToGrid/>
        <w:spacing w:line="240" w:lineRule="auto"/>
        <w:ind w:firstLine="643"/>
        <w:jc w:val="left"/>
        <w:rPr>
          <w:rFonts w:ascii="Times New Roman" w:hAnsi="Times New Roman" w:eastAsia="仿宋" w:cs="Times New Roman"/>
          <w:b/>
          <w:color w:val="auto"/>
          <w:sz w:val="32"/>
        </w:rPr>
      </w:pPr>
    </w:p>
    <w:p>
      <w:pPr>
        <w:widowControl/>
        <w:adjustRightInd/>
        <w:snapToGrid/>
        <w:spacing w:line="240" w:lineRule="auto"/>
        <w:ind w:firstLine="0" w:firstLineChars="0"/>
        <w:jc w:val="left"/>
        <w:rPr>
          <w:rFonts w:ascii="Times New Roman" w:hAnsi="Times New Roman" w:cs="Times New Roman"/>
          <w:color w:val="auto"/>
          <w:sz w:val="32"/>
          <w:szCs w:val="24"/>
        </w:rPr>
      </w:pPr>
      <w:r>
        <w:rPr>
          <w:rFonts w:ascii="Times New Roman" w:hAnsi="Times New Roman" w:cs="Times New Roman"/>
          <w:color w:val="auto"/>
          <w:sz w:val="32"/>
          <w:szCs w:val="24"/>
        </w:rPr>
        <w:br w:type="page"/>
      </w:r>
    </w:p>
    <w:bookmarkEnd w:id="37"/>
    <w:bookmarkEnd w:id="42"/>
    <w:p>
      <w:pPr>
        <w:pStyle w:val="3"/>
        <w:rPr>
          <w:rFonts w:ascii="Times New Roman" w:hAnsi="Times New Roman"/>
          <w:color w:val="auto"/>
        </w:rPr>
      </w:pPr>
      <w:bookmarkStart w:id="43" w:name="_Toc99552426"/>
      <w:r>
        <w:rPr>
          <w:rFonts w:ascii="Times New Roman" w:hAnsi="Times New Roman"/>
          <w:color w:val="auto"/>
        </w:rPr>
        <w:t>第四章 保障措施</w:t>
      </w:r>
      <w:bookmarkEnd w:id="43"/>
    </w:p>
    <w:p>
      <w:pPr>
        <w:pStyle w:val="4"/>
        <w:rPr>
          <w:rFonts w:ascii="Times New Roman"/>
          <w:color w:val="auto"/>
        </w:rPr>
      </w:pPr>
      <w:bookmarkStart w:id="44" w:name="_Toc99552427"/>
      <w:bookmarkStart w:id="45" w:name="_Toc97206328"/>
      <w:bookmarkStart w:id="46" w:name="_Toc95421409"/>
      <w:bookmarkStart w:id="47" w:name="_Toc84719118"/>
      <w:r>
        <w:rPr>
          <w:rFonts w:hint="eastAsia" w:ascii="Times New Roman"/>
          <w:color w:val="auto"/>
        </w:rPr>
        <w:t>第一节</w:t>
      </w:r>
      <w:r>
        <w:rPr>
          <w:rFonts w:ascii="Times New Roman"/>
          <w:color w:val="auto"/>
        </w:rPr>
        <w:t xml:space="preserve"> 加强组织实施</w:t>
      </w:r>
      <w:bookmarkEnd w:id="44"/>
      <w:bookmarkEnd w:id="45"/>
      <w:bookmarkEnd w:id="46"/>
    </w:p>
    <w:p>
      <w:pPr>
        <w:ind w:firstLine="640"/>
        <w:rPr>
          <w:rFonts w:ascii="Times New Roman" w:hAnsi="Times New Roman" w:cs="Times New Roman"/>
          <w:color w:val="auto"/>
          <w:sz w:val="32"/>
          <w:szCs w:val="24"/>
        </w:rPr>
      </w:pPr>
      <w:r>
        <w:rPr>
          <w:rFonts w:hint="eastAsia" w:ascii="Times New Roman" w:hAnsi="Times New Roman" w:cs="Times New Roman"/>
          <w:color w:val="auto"/>
          <w:sz w:val="32"/>
          <w:szCs w:val="24"/>
        </w:rPr>
        <w:t>按照“省负总责、市县落实”的工作机制，生态环境、自然资源、水利等有关部门是实施本规划的主体。各相关部门按照职责分工，落实“一岗双责”，密切协作配合，形成工作合力，强化对规划目标指标、重点任务、重点项目进展情况的跟踪分析，在</w:t>
      </w:r>
      <w:r>
        <w:rPr>
          <w:rFonts w:ascii="Times New Roman" w:hAnsi="Times New Roman" w:cs="Times New Roman"/>
          <w:color w:val="auto"/>
          <w:sz w:val="32"/>
          <w:szCs w:val="24"/>
        </w:rPr>
        <w:t>2025</w:t>
      </w:r>
      <w:r>
        <w:rPr>
          <w:rFonts w:hint="eastAsia" w:ascii="Times New Roman" w:hAnsi="Times New Roman" w:cs="Times New Roman"/>
          <w:color w:val="auto"/>
          <w:sz w:val="32"/>
          <w:szCs w:val="24"/>
        </w:rPr>
        <w:t>年底对规划执行情况进行终期评估。</w:t>
      </w:r>
    </w:p>
    <w:p>
      <w:pPr>
        <w:pStyle w:val="4"/>
        <w:rPr>
          <w:rFonts w:ascii="Times New Roman"/>
          <w:color w:val="auto"/>
        </w:rPr>
      </w:pPr>
      <w:bookmarkStart w:id="48" w:name="_Toc99552428"/>
      <w:bookmarkStart w:id="49" w:name="_Toc95421410"/>
      <w:bookmarkStart w:id="50" w:name="_Toc97206329"/>
      <w:r>
        <w:rPr>
          <w:rFonts w:hint="eastAsia" w:ascii="Times New Roman"/>
          <w:color w:val="auto"/>
        </w:rPr>
        <w:t>第二节</w:t>
      </w:r>
      <w:r>
        <w:rPr>
          <w:rFonts w:ascii="Times New Roman"/>
          <w:color w:val="auto"/>
        </w:rPr>
        <w:t xml:space="preserve"> 完善经济政策</w:t>
      </w:r>
      <w:bookmarkEnd w:id="48"/>
      <w:bookmarkEnd w:id="49"/>
      <w:bookmarkEnd w:id="50"/>
    </w:p>
    <w:p>
      <w:pPr>
        <w:ind w:firstLine="640"/>
        <w:rPr>
          <w:rFonts w:ascii="Times New Roman" w:hAnsi="Times New Roman" w:cs="Times New Roman"/>
          <w:color w:val="auto"/>
          <w:szCs w:val="24"/>
        </w:rPr>
      </w:pPr>
      <w:r>
        <w:rPr>
          <w:rFonts w:ascii="Times New Roman" w:hAnsi="Times New Roman" w:cs="Times New Roman"/>
          <w:color w:val="auto"/>
          <w:sz w:val="32"/>
          <w:szCs w:val="24"/>
        </w:rPr>
        <w:t>建</w:t>
      </w:r>
      <w:r>
        <w:rPr>
          <w:rFonts w:hint="eastAsia" w:ascii="Times New Roman" w:hAnsi="Times New Roman" w:cs="Times New Roman"/>
          <w:color w:val="auto"/>
          <w:sz w:val="32"/>
          <w:szCs w:val="24"/>
        </w:rPr>
        <w:t>立地方政府支撑、企事业单位承担、社会资本积极参与的多元化环保投融资机制，加大污染防治资金投入</w:t>
      </w:r>
      <w:r>
        <w:rPr>
          <w:rFonts w:ascii="Times New Roman" w:hAnsi="Times New Roman" w:cs="Times New Roman"/>
          <w:color w:val="auto"/>
          <w:sz w:val="32"/>
          <w:szCs w:val="24"/>
        </w:rPr>
        <w:t>。</w:t>
      </w:r>
      <w:r>
        <w:rPr>
          <w:rFonts w:hint="eastAsia" w:ascii="Times New Roman" w:hAnsi="Times New Roman" w:cs="Times New Roman"/>
          <w:color w:val="auto"/>
          <w:sz w:val="32"/>
          <w:szCs w:val="24"/>
        </w:rPr>
        <w:t>加强项目策划和储备，积极争取中央水污染防治专项资金，充分</w:t>
      </w:r>
      <w:r>
        <w:rPr>
          <w:rFonts w:ascii="Times New Roman" w:hAnsi="Times New Roman" w:cs="Times New Roman"/>
          <w:color w:val="auto"/>
          <w:sz w:val="32"/>
          <w:szCs w:val="24"/>
        </w:rPr>
        <w:t>运用土地、规划、金融、价格、财税多种政策，通过PPP</w:t>
      </w:r>
      <w:r>
        <w:rPr>
          <w:rFonts w:hint="eastAsia" w:ascii="Times New Roman" w:hAnsi="Times New Roman" w:cs="Times New Roman"/>
          <w:color w:val="auto"/>
          <w:sz w:val="32"/>
          <w:szCs w:val="24"/>
        </w:rPr>
        <w:t>、第三方治理等模式，支持引导各类投资基金、社会资本参与地下水生态环境治理。争取政策性银行、开发性金融机构、商业银行加大对治理项目信贷投放力度</w:t>
      </w:r>
      <w:r>
        <w:rPr>
          <w:rFonts w:ascii="Times New Roman" w:hAnsi="Times New Roman" w:cs="Times New Roman"/>
          <w:color w:val="auto"/>
          <w:sz w:val="32"/>
          <w:szCs w:val="24"/>
        </w:rPr>
        <w:t>。</w:t>
      </w:r>
    </w:p>
    <w:p>
      <w:pPr>
        <w:pStyle w:val="4"/>
        <w:rPr>
          <w:rFonts w:ascii="Times New Roman"/>
          <w:color w:val="auto"/>
        </w:rPr>
      </w:pPr>
      <w:bookmarkStart w:id="51" w:name="_Toc97206330"/>
      <w:bookmarkStart w:id="52" w:name="_Toc95421411"/>
      <w:bookmarkStart w:id="53" w:name="_Toc99552429"/>
      <w:r>
        <w:rPr>
          <w:rFonts w:hint="eastAsia" w:ascii="Times New Roman"/>
          <w:color w:val="auto"/>
        </w:rPr>
        <w:t>第三节</w:t>
      </w:r>
      <w:r>
        <w:rPr>
          <w:rFonts w:ascii="Times New Roman"/>
          <w:color w:val="auto"/>
        </w:rPr>
        <w:t xml:space="preserve"> 推动社会共治</w:t>
      </w:r>
      <w:bookmarkEnd w:id="51"/>
      <w:bookmarkEnd w:id="52"/>
      <w:bookmarkEnd w:id="53"/>
    </w:p>
    <w:p>
      <w:pPr>
        <w:ind w:firstLine="640"/>
        <w:rPr>
          <w:rFonts w:ascii="Times New Roman" w:hAnsi="Times New Roman" w:cs="Times New Roman"/>
          <w:color w:val="auto"/>
        </w:rPr>
      </w:pPr>
      <w:r>
        <w:rPr>
          <w:rFonts w:ascii="Times New Roman" w:hAnsi="Times New Roman" w:cs="Times New Roman"/>
          <w:bCs/>
          <w:color w:val="auto"/>
          <w:sz w:val="32"/>
          <w:szCs w:val="32"/>
        </w:rPr>
        <w:t>综合利用电视、广播、报刊、互联网、微信公众号等媒体，结合“</w:t>
      </w:r>
      <w:r>
        <w:rPr>
          <w:rFonts w:hint="eastAsia" w:ascii="Times New Roman" w:hAnsi="Times New Roman" w:cs="Times New Roman"/>
          <w:bCs/>
          <w:color w:val="auto"/>
          <w:sz w:val="32"/>
          <w:szCs w:val="32"/>
        </w:rPr>
        <w:t>六五</w:t>
      </w:r>
      <w:r>
        <w:rPr>
          <w:rFonts w:ascii="Times New Roman" w:hAnsi="Times New Roman" w:cs="Times New Roman"/>
          <w:bCs/>
          <w:color w:val="auto"/>
          <w:sz w:val="32"/>
          <w:szCs w:val="32"/>
        </w:rPr>
        <w:t>”</w:t>
      </w:r>
      <w:r>
        <w:rPr>
          <w:rFonts w:hint="eastAsia" w:ascii="Times New Roman" w:hAnsi="Times New Roman" w:cs="Times New Roman"/>
          <w:bCs/>
          <w:color w:val="auto"/>
          <w:sz w:val="32"/>
          <w:szCs w:val="32"/>
        </w:rPr>
        <w:t>环境日、世界水</w:t>
      </w:r>
      <w:r>
        <w:rPr>
          <w:rFonts w:ascii="Times New Roman" w:hAnsi="Times New Roman" w:cs="Times New Roman"/>
          <w:bCs/>
          <w:color w:val="auto"/>
          <w:sz w:val="32"/>
          <w:szCs w:val="32"/>
        </w:rPr>
        <w:t>日等重要环保宣传活动，</w:t>
      </w:r>
      <w:r>
        <w:rPr>
          <w:rFonts w:hint="eastAsia" w:ascii="Times New Roman" w:hAnsi="Times New Roman" w:cs="Times New Roman"/>
          <w:bCs/>
          <w:color w:val="auto"/>
          <w:sz w:val="32"/>
          <w:szCs w:val="32"/>
        </w:rPr>
        <w:t>有针对性地宣传</w:t>
      </w:r>
      <w:r>
        <w:rPr>
          <w:rFonts w:ascii="Times New Roman" w:hAnsi="Times New Roman" w:cs="Times New Roman"/>
          <w:bCs/>
          <w:color w:val="auto"/>
          <w:sz w:val="32"/>
          <w:szCs w:val="32"/>
        </w:rPr>
        <w:t>普及地下水污染防治知识。</w:t>
      </w:r>
      <w:r>
        <w:rPr>
          <w:rFonts w:hint="eastAsia" w:ascii="Times New Roman" w:hAnsi="Times New Roman" w:cs="Times New Roman"/>
          <w:bCs/>
          <w:color w:val="auto"/>
          <w:sz w:val="32"/>
          <w:szCs w:val="32"/>
        </w:rPr>
        <w:t>推进地下水生态环境保护融入党政机关、学校、工厂、社区、农村等环境宣传培训工作，大力推广绿色生产生活方式，形成全社会保护地下水生态环境的良好氛围。</w:t>
      </w:r>
    </w:p>
    <w:p>
      <w:pPr>
        <w:pStyle w:val="4"/>
        <w:rPr>
          <w:rFonts w:ascii="Times New Roman"/>
          <w:color w:val="auto"/>
        </w:rPr>
      </w:pPr>
      <w:bookmarkStart w:id="54" w:name="_Toc95421412"/>
      <w:bookmarkStart w:id="55" w:name="_Toc97206331"/>
      <w:bookmarkStart w:id="56" w:name="_Toc99552430"/>
      <w:r>
        <w:rPr>
          <w:rFonts w:hint="eastAsia" w:ascii="Times New Roman"/>
          <w:color w:val="auto"/>
        </w:rPr>
        <w:t>第四节</w:t>
      </w:r>
      <w:r>
        <w:rPr>
          <w:rFonts w:ascii="Times New Roman"/>
          <w:color w:val="auto"/>
        </w:rPr>
        <w:t xml:space="preserve"> 强化智慧监管</w:t>
      </w:r>
      <w:bookmarkEnd w:id="54"/>
      <w:bookmarkEnd w:id="55"/>
      <w:bookmarkEnd w:id="56"/>
    </w:p>
    <w:p>
      <w:pPr>
        <w:ind w:firstLine="640"/>
        <w:rPr>
          <w:rFonts w:ascii="Times New Roman" w:hAnsi="Times New Roman" w:cs="Times New Roman"/>
          <w:bCs/>
          <w:color w:val="auto"/>
          <w:sz w:val="32"/>
          <w:szCs w:val="32"/>
        </w:rPr>
      </w:pPr>
      <w:r>
        <w:rPr>
          <w:rFonts w:ascii="Times New Roman" w:hAnsi="Times New Roman" w:cs="Times New Roman"/>
          <w:bCs/>
          <w:color w:val="auto"/>
          <w:sz w:val="32"/>
          <w:szCs w:val="32"/>
        </w:rPr>
        <w:t>以数字化赋能为地下水污染防治注入“</w:t>
      </w:r>
      <w:r>
        <w:rPr>
          <w:rFonts w:hint="eastAsia" w:ascii="Times New Roman" w:hAnsi="Times New Roman" w:cs="Times New Roman"/>
          <w:bCs/>
          <w:color w:val="auto"/>
          <w:sz w:val="32"/>
          <w:szCs w:val="32"/>
        </w:rPr>
        <w:t>智慧基因</w:t>
      </w:r>
      <w:r>
        <w:rPr>
          <w:rFonts w:ascii="Times New Roman" w:hAnsi="Times New Roman" w:cs="Times New Roman"/>
          <w:bCs/>
          <w:color w:val="auto"/>
          <w:sz w:val="32"/>
          <w:szCs w:val="32"/>
        </w:rPr>
        <w:t>”</w:t>
      </w:r>
      <w:r>
        <w:rPr>
          <w:rFonts w:hint="eastAsia" w:ascii="Times New Roman" w:hAnsi="Times New Roman" w:cs="Times New Roman"/>
          <w:bCs/>
          <w:color w:val="auto"/>
          <w:sz w:val="32"/>
          <w:szCs w:val="32"/>
        </w:rPr>
        <w:t>，充分发挥大数据、云计算、区块链、人工智能等信息化手段在地下水环境监管领域的应用，实行常态化、立体化、实时化的数字监管，推进生态智慧监管提质增效。</w:t>
      </w:r>
    </w:p>
    <w:bookmarkEnd w:id="47"/>
    <w:p>
      <w:pPr>
        <w:pStyle w:val="80"/>
        <w:widowControl/>
        <w:adjustRightInd/>
        <w:spacing w:line="300" w:lineRule="auto"/>
        <w:ind w:firstLine="1285" w:firstLineChars="400"/>
        <w:jc w:val="left"/>
        <w:outlineLvl w:val="9"/>
        <w:rPr>
          <w:rFonts w:ascii="Times New Roman" w:hAnsi="Times New Roman" w:eastAsia="仿宋" w:cs="Times New Roman"/>
          <w:bCs/>
          <w:color w:val="auto"/>
          <w:sz w:val="32"/>
          <w:szCs w:val="32"/>
        </w:rPr>
      </w:pPr>
    </w:p>
    <w:sectPr>
      <w:headerReference r:id="rId20" w:type="default"/>
      <w:footerReference r:id="rId21" w:type="default"/>
      <w:pgSz w:w="11906" w:h="16838"/>
      <w:pgMar w:top="1440" w:right="1803" w:bottom="1440" w:left="1803" w:header="851" w:footer="1020" w:gutter="0"/>
      <w:pgNumType w:fmt="decimal"/>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240" w:lineRule="auto"/>
      <w:ind w:firstLine="0" w:firstLineChars="0"/>
      <w:jc w:val="center"/>
      <w:rPr>
        <w:rFonts w:ascii="宋体" w:hAnsi="宋体" w:eastAsia="仿宋_GB2312" w:cs="Times New Roman"/>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360"/>
                            <w:jc w:val="center"/>
                          </w:pPr>
                          <w:r>
                            <w:fldChar w:fldCharType="begin"/>
                          </w:r>
                          <w:r>
                            <w:instrText xml:space="preserve">PAGE   \* MERGEFORMAT</w:instrText>
                          </w:r>
                          <w:r>
                            <w:fldChar w:fldCharType="separate"/>
                          </w:r>
                          <w:r>
                            <w:rPr>
                              <w:lang w:val="zh-CN"/>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6"/>
                      <w:ind w:firstLine="360"/>
                      <w:jc w:val="center"/>
                    </w:pPr>
                    <w:r>
                      <w:fldChar w:fldCharType="begin"/>
                    </w:r>
                    <w:r>
                      <w:instrText xml:space="preserve">PAGE   \* MERGEFORMAT</w:instrText>
                    </w:r>
                    <w:r>
                      <w:fldChar w:fldCharType="separate"/>
                    </w:r>
                    <w:r>
                      <w:rPr>
                        <w:lang w:val="zh-CN"/>
                      </w:rP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_GB2312" w:hAnsi="等线" w:eastAsia="仿宋_GB2312" w:cs="Times New Roman"/>
        <w:kern w:val="2"/>
        <w:sz w:val="28"/>
        <w:szCs w:val="32"/>
        <w:lang w:val="en-US" w:eastAsia="zh-CN" w:bidi="ar-SA"/>
      </w:rPr>
      <w:id w:val="1205525265"/>
    </w:sdtPr>
    <w:sdtEndPr>
      <w:rPr>
        <w:rFonts w:ascii="仿宋_GB2312" w:hAnsi="等线" w:eastAsia="仿宋_GB2312" w:cs="Times New Roman"/>
        <w:kern w:val="2"/>
        <w:sz w:val="30"/>
        <w:szCs w:val="30"/>
        <w:lang w:val="en-US" w:eastAsia="zh-CN" w:bidi="ar-SA"/>
      </w:rPr>
    </w:sdtEndPr>
    <w:sdtContent>
      <w:p>
        <w:pPr>
          <w:widowControl w:val="0"/>
          <w:tabs>
            <w:tab w:val="center" w:pos="4153"/>
            <w:tab w:val="right" w:pos="8306"/>
          </w:tabs>
          <w:adjustRightInd/>
          <w:snapToGrid w:val="0"/>
          <w:spacing w:line="240" w:lineRule="auto"/>
          <w:ind w:firstLine="0" w:firstLineChars="0"/>
          <w:jc w:val="center"/>
          <w:rPr>
            <w:rFonts w:ascii="仿宋_GB2312" w:hAnsi="等线" w:eastAsia="仿宋_GB2312" w:cs="Times New Roman"/>
            <w:kern w:val="2"/>
            <w:sz w:val="30"/>
            <w:szCs w:val="30"/>
            <w:lang w:val="en-US" w:eastAsia="zh-CN" w:bidi="ar-SA"/>
          </w:rPr>
        </w:pPr>
        <w:r>
          <w:rPr>
            <w:rFonts w:ascii="仿宋_GB2312" w:hAnsi="等线" w:eastAsia="仿宋_GB2312" w:cs="Times New Roman"/>
            <w:kern w:val="2"/>
            <w:sz w:val="30"/>
            <w:szCs w:val="30"/>
            <w:lang w:val="en-US" w:eastAsia="zh-CN" w:bidi="ar-SA"/>
          </w:rPr>
          <w:fldChar w:fldCharType="begin"/>
        </w:r>
        <w:r>
          <w:rPr>
            <w:rFonts w:ascii="仿宋_GB2312" w:hAnsi="等线" w:eastAsia="仿宋_GB2312" w:cs="Times New Roman"/>
            <w:kern w:val="2"/>
            <w:sz w:val="30"/>
            <w:szCs w:val="30"/>
            <w:lang w:val="en-US" w:eastAsia="zh-CN" w:bidi="ar-SA"/>
          </w:rPr>
          <w:instrText xml:space="preserve">PAGE   \* MERGEFORMAT</w:instrText>
        </w:r>
        <w:r>
          <w:rPr>
            <w:rFonts w:ascii="仿宋_GB2312" w:hAnsi="等线" w:eastAsia="仿宋_GB2312" w:cs="Times New Roman"/>
            <w:kern w:val="2"/>
            <w:sz w:val="30"/>
            <w:szCs w:val="30"/>
            <w:lang w:val="en-US" w:eastAsia="zh-CN" w:bidi="ar-SA"/>
          </w:rPr>
          <w:fldChar w:fldCharType="separate"/>
        </w:r>
        <w:r>
          <w:rPr>
            <w:rFonts w:ascii="仿宋_GB2312" w:hAnsi="等线" w:eastAsia="仿宋_GB2312" w:cs="Times New Roman"/>
            <w:kern w:val="2"/>
            <w:sz w:val="30"/>
            <w:szCs w:val="30"/>
            <w:lang w:val="zh-CN" w:eastAsia="zh-CN" w:bidi="ar-SA"/>
          </w:rPr>
          <w:t>2</w:t>
        </w:r>
        <w:r>
          <w:rPr>
            <w:rFonts w:ascii="仿宋_GB2312" w:hAnsi="等线" w:eastAsia="仿宋_GB2312" w:cs="Times New Roman"/>
            <w:kern w:val="2"/>
            <w:sz w:val="30"/>
            <w:szCs w:val="30"/>
            <w:lang w:val="en-US" w:eastAsia="zh-CN" w:bidi="ar-S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4016326"/>
    </w:sdtPr>
    <w:sdtContent>
      <w:p>
        <w:pPr>
          <w:pStyle w:val="16"/>
          <w:ind w:firstLine="360"/>
          <w:jc w:val="center"/>
        </w:pPr>
        <w:r>
          <w:fldChar w:fldCharType="begin"/>
        </w:r>
        <w:r>
          <w:instrText xml:space="preserve">PAGE   \* MERGEFORMAT</w:instrText>
        </w:r>
        <w:r>
          <w:fldChar w:fldCharType="separate"/>
        </w:r>
        <w:r>
          <w:rPr>
            <w:lang w:val="zh-CN"/>
          </w:rPr>
          <w:t>I</w:t>
        </w:r>
        <w:r>
          <w:fldChar w:fldCharType="end"/>
        </w:r>
      </w:p>
    </w:sdtContent>
  </w:sdt>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2824394"/>
    </w:sdtPr>
    <w:sdtContent>
      <w:p>
        <w:pPr>
          <w:pStyle w:val="16"/>
          <w:ind w:firstLine="360"/>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360"/>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16</w:t>
                    </w:r>
                    <w:r>
                      <w:fldChar w:fldCharType="end"/>
                    </w:r>
                  </w:p>
                </w:txbxContent>
              </v:textbox>
            </v:shape>
          </w:pict>
        </mc:Fallback>
      </mc:AlternateContent>
    </w:r>
    <w:sdt>
      <w:sdtPr>
        <w:id w:val="-929653971"/>
      </w:sdt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926C6"/>
    <w:multiLevelType w:val="multilevel"/>
    <w:tmpl w:val="0C8926C6"/>
    <w:lvl w:ilvl="0" w:tentative="0">
      <w:start w:val="1"/>
      <w:numFmt w:val="chineseCountingThousand"/>
      <w:suff w:val="space"/>
      <w:lvlText w:val="第%1章"/>
      <w:lvlJc w:val="center"/>
      <w:pPr>
        <w:ind w:left="1276" w:firstLine="0"/>
      </w:pPr>
      <w:rPr>
        <w:rFonts w:hint="eastAsia"/>
      </w:rPr>
    </w:lvl>
    <w:lvl w:ilvl="1" w:tentative="0">
      <w:start w:val="1"/>
      <w:numFmt w:val="chineseCountingThousand"/>
      <w:pStyle w:val="66"/>
      <w:suff w:val="space"/>
      <w:lvlText w:val="第%2节"/>
      <w:lvlJc w:val="center"/>
      <w:pPr>
        <w:ind w:left="0" w:firstLine="0"/>
      </w:pPr>
      <w:rPr>
        <w:rFonts w:hint="eastAsia"/>
        <w:lang w:val="en-US"/>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40"/>
  <w:drawingGridVerticalSpacing w:val="38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M2YwZjAxNmJiNzFjZDVlY2MwMjgyNjQ1MWRkMWUifQ=="/>
  </w:docVars>
  <w:rsids>
    <w:rsidRoot w:val="00262D1C"/>
    <w:rsid w:val="00000DFE"/>
    <w:rsid w:val="00002014"/>
    <w:rsid w:val="00002FC8"/>
    <w:rsid w:val="00003E52"/>
    <w:rsid w:val="00007476"/>
    <w:rsid w:val="000110D4"/>
    <w:rsid w:val="000120B2"/>
    <w:rsid w:val="00012CD3"/>
    <w:rsid w:val="00013A02"/>
    <w:rsid w:val="00014577"/>
    <w:rsid w:val="000165BA"/>
    <w:rsid w:val="00016A7D"/>
    <w:rsid w:val="00016E02"/>
    <w:rsid w:val="00017CFF"/>
    <w:rsid w:val="00021B28"/>
    <w:rsid w:val="00022667"/>
    <w:rsid w:val="000234F1"/>
    <w:rsid w:val="00023C85"/>
    <w:rsid w:val="000263EF"/>
    <w:rsid w:val="0002702E"/>
    <w:rsid w:val="00032551"/>
    <w:rsid w:val="0003303F"/>
    <w:rsid w:val="00035CBD"/>
    <w:rsid w:val="00036656"/>
    <w:rsid w:val="00040130"/>
    <w:rsid w:val="00046C4F"/>
    <w:rsid w:val="000510A7"/>
    <w:rsid w:val="00055967"/>
    <w:rsid w:val="00056380"/>
    <w:rsid w:val="00057A01"/>
    <w:rsid w:val="00061B0C"/>
    <w:rsid w:val="000628F3"/>
    <w:rsid w:val="000631DB"/>
    <w:rsid w:val="000650DF"/>
    <w:rsid w:val="000676B6"/>
    <w:rsid w:val="00072A6F"/>
    <w:rsid w:val="00073012"/>
    <w:rsid w:val="00074127"/>
    <w:rsid w:val="0007653F"/>
    <w:rsid w:val="00076CCB"/>
    <w:rsid w:val="00080D5E"/>
    <w:rsid w:val="0008138E"/>
    <w:rsid w:val="000843E5"/>
    <w:rsid w:val="00084900"/>
    <w:rsid w:val="00090B1E"/>
    <w:rsid w:val="000930DB"/>
    <w:rsid w:val="0009524F"/>
    <w:rsid w:val="000953CD"/>
    <w:rsid w:val="00095B3D"/>
    <w:rsid w:val="00096661"/>
    <w:rsid w:val="0009797B"/>
    <w:rsid w:val="000A0EEC"/>
    <w:rsid w:val="000A26AB"/>
    <w:rsid w:val="000A5850"/>
    <w:rsid w:val="000A6B02"/>
    <w:rsid w:val="000A6B40"/>
    <w:rsid w:val="000A7064"/>
    <w:rsid w:val="000B12F3"/>
    <w:rsid w:val="000B151F"/>
    <w:rsid w:val="000B1AA7"/>
    <w:rsid w:val="000B54AE"/>
    <w:rsid w:val="000B56FD"/>
    <w:rsid w:val="000B5C10"/>
    <w:rsid w:val="000B626A"/>
    <w:rsid w:val="000C1649"/>
    <w:rsid w:val="000C31F4"/>
    <w:rsid w:val="000C396C"/>
    <w:rsid w:val="000C3EEE"/>
    <w:rsid w:val="000C46AE"/>
    <w:rsid w:val="000C4D78"/>
    <w:rsid w:val="000C5311"/>
    <w:rsid w:val="000C7136"/>
    <w:rsid w:val="000C7967"/>
    <w:rsid w:val="000D07A8"/>
    <w:rsid w:val="000D1A66"/>
    <w:rsid w:val="000D1B3F"/>
    <w:rsid w:val="000D2D9C"/>
    <w:rsid w:val="000D7403"/>
    <w:rsid w:val="000E1919"/>
    <w:rsid w:val="000E47E6"/>
    <w:rsid w:val="000E5D6D"/>
    <w:rsid w:val="000E6934"/>
    <w:rsid w:val="000E79D9"/>
    <w:rsid w:val="000F1228"/>
    <w:rsid w:val="000F77DF"/>
    <w:rsid w:val="000F7E44"/>
    <w:rsid w:val="0010180B"/>
    <w:rsid w:val="00106F74"/>
    <w:rsid w:val="0010790D"/>
    <w:rsid w:val="00107F8C"/>
    <w:rsid w:val="00115D99"/>
    <w:rsid w:val="00115ED9"/>
    <w:rsid w:val="00120A55"/>
    <w:rsid w:val="00122404"/>
    <w:rsid w:val="00122DF7"/>
    <w:rsid w:val="001246E9"/>
    <w:rsid w:val="0012638A"/>
    <w:rsid w:val="00126A86"/>
    <w:rsid w:val="00127EC6"/>
    <w:rsid w:val="00127ED7"/>
    <w:rsid w:val="0013065B"/>
    <w:rsid w:val="001311D4"/>
    <w:rsid w:val="00131A50"/>
    <w:rsid w:val="00131FEC"/>
    <w:rsid w:val="001330C7"/>
    <w:rsid w:val="001349E8"/>
    <w:rsid w:val="00135EB4"/>
    <w:rsid w:val="00135FDB"/>
    <w:rsid w:val="00141CDC"/>
    <w:rsid w:val="0014564F"/>
    <w:rsid w:val="00145720"/>
    <w:rsid w:val="00145C70"/>
    <w:rsid w:val="001476D1"/>
    <w:rsid w:val="00150498"/>
    <w:rsid w:val="001520A0"/>
    <w:rsid w:val="00153064"/>
    <w:rsid w:val="00154B63"/>
    <w:rsid w:val="00154BA2"/>
    <w:rsid w:val="00156803"/>
    <w:rsid w:val="00156821"/>
    <w:rsid w:val="00156871"/>
    <w:rsid w:val="00161B79"/>
    <w:rsid w:val="00165B22"/>
    <w:rsid w:val="00165E5E"/>
    <w:rsid w:val="0016618E"/>
    <w:rsid w:val="00171749"/>
    <w:rsid w:val="00171A8C"/>
    <w:rsid w:val="00172AE1"/>
    <w:rsid w:val="00173799"/>
    <w:rsid w:val="0017384D"/>
    <w:rsid w:val="00173D22"/>
    <w:rsid w:val="001752EF"/>
    <w:rsid w:val="00176514"/>
    <w:rsid w:val="00183064"/>
    <w:rsid w:val="00183141"/>
    <w:rsid w:val="00183162"/>
    <w:rsid w:val="00187CCA"/>
    <w:rsid w:val="001930E5"/>
    <w:rsid w:val="001944E6"/>
    <w:rsid w:val="00194F74"/>
    <w:rsid w:val="0019593F"/>
    <w:rsid w:val="00196061"/>
    <w:rsid w:val="001A0200"/>
    <w:rsid w:val="001A0830"/>
    <w:rsid w:val="001A1167"/>
    <w:rsid w:val="001A138B"/>
    <w:rsid w:val="001A14D0"/>
    <w:rsid w:val="001A4DA9"/>
    <w:rsid w:val="001A531C"/>
    <w:rsid w:val="001B46C1"/>
    <w:rsid w:val="001B6716"/>
    <w:rsid w:val="001B7E55"/>
    <w:rsid w:val="001C0886"/>
    <w:rsid w:val="001C0BFF"/>
    <w:rsid w:val="001C3653"/>
    <w:rsid w:val="001D07C3"/>
    <w:rsid w:val="001D2BE0"/>
    <w:rsid w:val="001D3258"/>
    <w:rsid w:val="001D378E"/>
    <w:rsid w:val="001D390A"/>
    <w:rsid w:val="001D44B0"/>
    <w:rsid w:val="001D4D04"/>
    <w:rsid w:val="001D73A4"/>
    <w:rsid w:val="001D7F7F"/>
    <w:rsid w:val="001E0BE8"/>
    <w:rsid w:val="001E0CC1"/>
    <w:rsid w:val="001E1416"/>
    <w:rsid w:val="001E16C6"/>
    <w:rsid w:val="001E4C3F"/>
    <w:rsid w:val="001E5FBB"/>
    <w:rsid w:val="001E6C94"/>
    <w:rsid w:val="001E6E4D"/>
    <w:rsid w:val="001F2B05"/>
    <w:rsid w:val="001F3C04"/>
    <w:rsid w:val="001F4FF1"/>
    <w:rsid w:val="001F595E"/>
    <w:rsid w:val="001F7288"/>
    <w:rsid w:val="00200B89"/>
    <w:rsid w:val="00200CC7"/>
    <w:rsid w:val="002032D0"/>
    <w:rsid w:val="0020379F"/>
    <w:rsid w:val="00203E0E"/>
    <w:rsid w:val="002042D0"/>
    <w:rsid w:val="00205FC3"/>
    <w:rsid w:val="00206C46"/>
    <w:rsid w:val="0021579E"/>
    <w:rsid w:val="00215A43"/>
    <w:rsid w:val="00216280"/>
    <w:rsid w:val="002162A0"/>
    <w:rsid w:val="002167D5"/>
    <w:rsid w:val="00217F5A"/>
    <w:rsid w:val="00221984"/>
    <w:rsid w:val="00221FDB"/>
    <w:rsid w:val="0022393B"/>
    <w:rsid w:val="00225743"/>
    <w:rsid w:val="002261BC"/>
    <w:rsid w:val="00227458"/>
    <w:rsid w:val="00227CA6"/>
    <w:rsid w:val="00230259"/>
    <w:rsid w:val="00232868"/>
    <w:rsid w:val="002334C8"/>
    <w:rsid w:val="0023391B"/>
    <w:rsid w:val="002417D2"/>
    <w:rsid w:val="0024233B"/>
    <w:rsid w:val="0024523E"/>
    <w:rsid w:val="00251E75"/>
    <w:rsid w:val="00254806"/>
    <w:rsid w:val="00254EDB"/>
    <w:rsid w:val="00256B0C"/>
    <w:rsid w:val="0026136D"/>
    <w:rsid w:val="002620F4"/>
    <w:rsid w:val="00262D1C"/>
    <w:rsid w:val="00263ADF"/>
    <w:rsid w:val="00266800"/>
    <w:rsid w:val="002670C5"/>
    <w:rsid w:val="00267B09"/>
    <w:rsid w:val="002724F1"/>
    <w:rsid w:val="00274AA3"/>
    <w:rsid w:val="00275B37"/>
    <w:rsid w:val="00275C2E"/>
    <w:rsid w:val="00281B86"/>
    <w:rsid w:val="00283FD6"/>
    <w:rsid w:val="00284ACB"/>
    <w:rsid w:val="00284DBE"/>
    <w:rsid w:val="00285203"/>
    <w:rsid w:val="00285F73"/>
    <w:rsid w:val="002910FB"/>
    <w:rsid w:val="002919DB"/>
    <w:rsid w:val="00293495"/>
    <w:rsid w:val="00295CE8"/>
    <w:rsid w:val="002A1715"/>
    <w:rsid w:val="002A4602"/>
    <w:rsid w:val="002A53CB"/>
    <w:rsid w:val="002A574A"/>
    <w:rsid w:val="002A739E"/>
    <w:rsid w:val="002A7B5C"/>
    <w:rsid w:val="002B0024"/>
    <w:rsid w:val="002B0174"/>
    <w:rsid w:val="002B205E"/>
    <w:rsid w:val="002B28EE"/>
    <w:rsid w:val="002B2AD4"/>
    <w:rsid w:val="002B2B4E"/>
    <w:rsid w:val="002B33B1"/>
    <w:rsid w:val="002B3868"/>
    <w:rsid w:val="002B438E"/>
    <w:rsid w:val="002B440B"/>
    <w:rsid w:val="002B47E5"/>
    <w:rsid w:val="002B6919"/>
    <w:rsid w:val="002C015D"/>
    <w:rsid w:val="002C0FB9"/>
    <w:rsid w:val="002C54DB"/>
    <w:rsid w:val="002D056C"/>
    <w:rsid w:val="002D075C"/>
    <w:rsid w:val="002D1025"/>
    <w:rsid w:val="002D5802"/>
    <w:rsid w:val="002E0AAB"/>
    <w:rsid w:val="002E0D91"/>
    <w:rsid w:val="002E4785"/>
    <w:rsid w:val="002E4ADF"/>
    <w:rsid w:val="002E5134"/>
    <w:rsid w:val="002F023E"/>
    <w:rsid w:val="002F1C97"/>
    <w:rsid w:val="002F7D7C"/>
    <w:rsid w:val="003012F5"/>
    <w:rsid w:val="0030158C"/>
    <w:rsid w:val="00303859"/>
    <w:rsid w:val="00304B2C"/>
    <w:rsid w:val="0030516C"/>
    <w:rsid w:val="00305B01"/>
    <w:rsid w:val="00306802"/>
    <w:rsid w:val="00307E69"/>
    <w:rsid w:val="00310850"/>
    <w:rsid w:val="00312CF7"/>
    <w:rsid w:val="00313EB8"/>
    <w:rsid w:val="003166E2"/>
    <w:rsid w:val="00316F81"/>
    <w:rsid w:val="00321DD7"/>
    <w:rsid w:val="00324977"/>
    <w:rsid w:val="00324C52"/>
    <w:rsid w:val="00324F88"/>
    <w:rsid w:val="00325E61"/>
    <w:rsid w:val="003269E6"/>
    <w:rsid w:val="00330DC3"/>
    <w:rsid w:val="003338D1"/>
    <w:rsid w:val="00335216"/>
    <w:rsid w:val="00336C2D"/>
    <w:rsid w:val="00337BB2"/>
    <w:rsid w:val="00341B08"/>
    <w:rsid w:val="0034539D"/>
    <w:rsid w:val="003455F6"/>
    <w:rsid w:val="0034662C"/>
    <w:rsid w:val="00347233"/>
    <w:rsid w:val="003510CC"/>
    <w:rsid w:val="00352654"/>
    <w:rsid w:val="00352751"/>
    <w:rsid w:val="00352ACA"/>
    <w:rsid w:val="0035360B"/>
    <w:rsid w:val="00354F53"/>
    <w:rsid w:val="003612DC"/>
    <w:rsid w:val="00362767"/>
    <w:rsid w:val="0036277C"/>
    <w:rsid w:val="00362864"/>
    <w:rsid w:val="00362E8B"/>
    <w:rsid w:val="003631ED"/>
    <w:rsid w:val="003631EE"/>
    <w:rsid w:val="00363CF7"/>
    <w:rsid w:val="003655D7"/>
    <w:rsid w:val="0037020E"/>
    <w:rsid w:val="0037192C"/>
    <w:rsid w:val="00372BFB"/>
    <w:rsid w:val="00372D4D"/>
    <w:rsid w:val="00373D0A"/>
    <w:rsid w:val="00375AB1"/>
    <w:rsid w:val="003765C2"/>
    <w:rsid w:val="0037776E"/>
    <w:rsid w:val="00381DE8"/>
    <w:rsid w:val="00382779"/>
    <w:rsid w:val="003851B3"/>
    <w:rsid w:val="00385A5B"/>
    <w:rsid w:val="0038771E"/>
    <w:rsid w:val="003904AD"/>
    <w:rsid w:val="003915D0"/>
    <w:rsid w:val="00392A30"/>
    <w:rsid w:val="00392DAF"/>
    <w:rsid w:val="003937D5"/>
    <w:rsid w:val="003943D0"/>
    <w:rsid w:val="00394F85"/>
    <w:rsid w:val="003967EC"/>
    <w:rsid w:val="003A09FD"/>
    <w:rsid w:val="003A1E0D"/>
    <w:rsid w:val="003A740F"/>
    <w:rsid w:val="003B1489"/>
    <w:rsid w:val="003B3CEE"/>
    <w:rsid w:val="003B47AB"/>
    <w:rsid w:val="003B5F64"/>
    <w:rsid w:val="003B772D"/>
    <w:rsid w:val="003C1AF5"/>
    <w:rsid w:val="003C44D2"/>
    <w:rsid w:val="003C47B7"/>
    <w:rsid w:val="003D023C"/>
    <w:rsid w:val="003D4587"/>
    <w:rsid w:val="003D5F52"/>
    <w:rsid w:val="003D72C6"/>
    <w:rsid w:val="003D738A"/>
    <w:rsid w:val="003E432C"/>
    <w:rsid w:val="003F0FF4"/>
    <w:rsid w:val="003F1B59"/>
    <w:rsid w:val="003F1E05"/>
    <w:rsid w:val="003F2D1E"/>
    <w:rsid w:val="003F64B9"/>
    <w:rsid w:val="003F6BF5"/>
    <w:rsid w:val="003F76B2"/>
    <w:rsid w:val="003F770F"/>
    <w:rsid w:val="00400B20"/>
    <w:rsid w:val="00402520"/>
    <w:rsid w:val="00402FA5"/>
    <w:rsid w:val="004047B7"/>
    <w:rsid w:val="004047ED"/>
    <w:rsid w:val="00405336"/>
    <w:rsid w:val="004065AC"/>
    <w:rsid w:val="00406A6E"/>
    <w:rsid w:val="0040743B"/>
    <w:rsid w:val="004115B3"/>
    <w:rsid w:val="004147D3"/>
    <w:rsid w:val="00414F02"/>
    <w:rsid w:val="0041523E"/>
    <w:rsid w:val="004163E0"/>
    <w:rsid w:val="00416CD9"/>
    <w:rsid w:val="0041773D"/>
    <w:rsid w:val="0042027E"/>
    <w:rsid w:val="004226DC"/>
    <w:rsid w:val="00425BBC"/>
    <w:rsid w:val="0042707C"/>
    <w:rsid w:val="0043097B"/>
    <w:rsid w:val="0043239A"/>
    <w:rsid w:val="004335BF"/>
    <w:rsid w:val="0043464D"/>
    <w:rsid w:val="00436371"/>
    <w:rsid w:val="00437CD5"/>
    <w:rsid w:val="0044200C"/>
    <w:rsid w:val="00453BBC"/>
    <w:rsid w:val="004550E4"/>
    <w:rsid w:val="00455BEA"/>
    <w:rsid w:val="004624CA"/>
    <w:rsid w:val="00463659"/>
    <w:rsid w:val="004642D2"/>
    <w:rsid w:val="004656E7"/>
    <w:rsid w:val="00466260"/>
    <w:rsid w:val="00470088"/>
    <w:rsid w:val="004733C9"/>
    <w:rsid w:val="00477423"/>
    <w:rsid w:val="00481139"/>
    <w:rsid w:val="0048471B"/>
    <w:rsid w:val="00490019"/>
    <w:rsid w:val="00492903"/>
    <w:rsid w:val="00493B93"/>
    <w:rsid w:val="004960E3"/>
    <w:rsid w:val="004967CB"/>
    <w:rsid w:val="004A1CD1"/>
    <w:rsid w:val="004A400E"/>
    <w:rsid w:val="004A5386"/>
    <w:rsid w:val="004A5F36"/>
    <w:rsid w:val="004A62CA"/>
    <w:rsid w:val="004A6741"/>
    <w:rsid w:val="004A67B8"/>
    <w:rsid w:val="004A67F8"/>
    <w:rsid w:val="004A791E"/>
    <w:rsid w:val="004B26F7"/>
    <w:rsid w:val="004B3746"/>
    <w:rsid w:val="004B44BC"/>
    <w:rsid w:val="004B641A"/>
    <w:rsid w:val="004B669B"/>
    <w:rsid w:val="004B772C"/>
    <w:rsid w:val="004C009C"/>
    <w:rsid w:val="004C0233"/>
    <w:rsid w:val="004C0749"/>
    <w:rsid w:val="004C3C1D"/>
    <w:rsid w:val="004C5505"/>
    <w:rsid w:val="004C6F4E"/>
    <w:rsid w:val="004C7E7C"/>
    <w:rsid w:val="004D0868"/>
    <w:rsid w:val="004D1E52"/>
    <w:rsid w:val="004D3472"/>
    <w:rsid w:val="004D6A28"/>
    <w:rsid w:val="004E3E22"/>
    <w:rsid w:val="004E562A"/>
    <w:rsid w:val="004E73AF"/>
    <w:rsid w:val="004F0242"/>
    <w:rsid w:val="004F11E9"/>
    <w:rsid w:val="004F21E3"/>
    <w:rsid w:val="004F2B55"/>
    <w:rsid w:val="004F59DD"/>
    <w:rsid w:val="005011A4"/>
    <w:rsid w:val="00502F80"/>
    <w:rsid w:val="00503F4A"/>
    <w:rsid w:val="00504DD9"/>
    <w:rsid w:val="00504DF8"/>
    <w:rsid w:val="00505DA2"/>
    <w:rsid w:val="005072E4"/>
    <w:rsid w:val="005076FB"/>
    <w:rsid w:val="00510564"/>
    <w:rsid w:val="005124C9"/>
    <w:rsid w:val="00512901"/>
    <w:rsid w:val="00515789"/>
    <w:rsid w:val="0052500C"/>
    <w:rsid w:val="00525254"/>
    <w:rsid w:val="00526012"/>
    <w:rsid w:val="005277E9"/>
    <w:rsid w:val="00531C45"/>
    <w:rsid w:val="00535DB1"/>
    <w:rsid w:val="005413C6"/>
    <w:rsid w:val="00542947"/>
    <w:rsid w:val="005441C1"/>
    <w:rsid w:val="00544512"/>
    <w:rsid w:val="0054485B"/>
    <w:rsid w:val="005454DF"/>
    <w:rsid w:val="00551353"/>
    <w:rsid w:val="005521DA"/>
    <w:rsid w:val="00553D6A"/>
    <w:rsid w:val="00554D7A"/>
    <w:rsid w:val="00556217"/>
    <w:rsid w:val="005571A9"/>
    <w:rsid w:val="00557339"/>
    <w:rsid w:val="00560DF9"/>
    <w:rsid w:val="00561E3E"/>
    <w:rsid w:val="00562A73"/>
    <w:rsid w:val="0056444E"/>
    <w:rsid w:val="0056482D"/>
    <w:rsid w:val="00565E02"/>
    <w:rsid w:val="0056694A"/>
    <w:rsid w:val="00566EDC"/>
    <w:rsid w:val="00570601"/>
    <w:rsid w:val="005708D7"/>
    <w:rsid w:val="005718BF"/>
    <w:rsid w:val="00576077"/>
    <w:rsid w:val="00576BAF"/>
    <w:rsid w:val="00576C8B"/>
    <w:rsid w:val="00577038"/>
    <w:rsid w:val="005813C4"/>
    <w:rsid w:val="00584271"/>
    <w:rsid w:val="005848E9"/>
    <w:rsid w:val="00585863"/>
    <w:rsid w:val="00586A52"/>
    <w:rsid w:val="00586D11"/>
    <w:rsid w:val="0059033E"/>
    <w:rsid w:val="005911C2"/>
    <w:rsid w:val="0059431C"/>
    <w:rsid w:val="005945D7"/>
    <w:rsid w:val="005953F5"/>
    <w:rsid w:val="00595F53"/>
    <w:rsid w:val="005A202E"/>
    <w:rsid w:val="005A28FB"/>
    <w:rsid w:val="005A32A6"/>
    <w:rsid w:val="005A5E02"/>
    <w:rsid w:val="005A6922"/>
    <w:rsid w:val="005B17BD"/>
    <w:rsid w:val="005B2491"/>
    <w:rsid w:val="005B2F2B"/>
    <w:rsid w:val="005C60F4"/>
    <w:rsid w:val="005C690F"/>
    <w:rsid w:val="005C7B25"/>
    <w:rsid w:val="005D09E6"/>
    <w:rsid w:val="005D0CE5"/>
    <w:rsid w:val="005D128C"/>
    <w:rsid w:val="005D1D4A"/>
    <w:rsid w:val="005D2283"/>
    <w:rsid w:val="005D4122"/>
    <w:rsid w:val="005D56D4"/>
    <w:rsid w:val="005D5759"/>
    <w:rsid w:val="005D6327"/>
    <w:rsid w:val="005D70CF"/>
    <w:rsid w:val="005D7703"/>
    <w:rsid w:val="005D7A89"/>
    <w:rsid w:val="005E74AE"/>
    <w:rsid w:val="005E7B29"/>
    <w:rsid w:val="005F3561"/>
    <w:rsid w:val="005F77E7"/>
    <w:rsid w:val="006035FC"/>
    <w:rsid w:val="00603EF0"/>
    <w:rsid w:val="00606146"/>
    <w:rsid w:val="006069B6"/>
    <w:rsid w:val="00610F1D"/>
    <w:rsid w:val="006122DF"/>
    <w:rsid w:val="00613DB9"/>
    <w:rsid w:val="00615EE9"/>
    <w:rsid w:val="006165B3"/>
    <w:rsid w:val="00617326"/>
    <w:rsid w:val="00620C72"/>
    <w:rsid w:val="00621001"/>
    <w:rsid w:val="00623828"/>
    <w:rsid w:val="00623B11"/>
    <w:rsid w:val="00626477"/>
    <w:rsid w:val="00626BD5"/>
    <w:rsid w:val="00630773"/>
    <w:rsid w:val="00630BF6"/>
    <w:rsid w:val="00632ABB"/>
    <w:rsid w:val="006330E0"/>
    <w:rsid w:val="00633879"/>
    <w:rsid w:val="00634B14"/>
    <w:rsid w:val="00635736"/>
    <w:rsid w:val="006361BA"/>
    <w:rsid w:val="00636FB9"/>
    <w:rsid w:val="00641010"/>
    <w:rsid w:val="00641325"/>
    <w:rsid w:val="00641982"/>
    <w:rsid w:val="00642DBC"/>
    <w:rsid w:val="00643A95"/>
    <w:rsid w:val="00645618"/>
    <w:rsid w:val="00645C08"/>
    <w:rsid w:val="00652B49"/>
    <w:rsid w:val="0065542F"/>
    <w:rsid w:val="00656FBB"/>
    <w:rsid w:val="00663812"/>
    <w:rsid w:val="00663AE1"/>
    <w:rsid w:val="00666CBF"/>
    <w:rsid w:val="006672F3"/>
    <w:rsid w:val="00667992"/>
    <w:rsid w:val="006704C8"/>
    <w:rsid w:val="00671C9E"/>
    <w:rsid w:val="0067593B"/>
    <w:rsid w:val="00681C92"/>
    <w:rsid w:val="00687604"/>
    <w:rsid w:val="0069146C"/>
    <w:rsid w:val="0069534B"/>
    <w:rsid w:val="006A0422"/>
    <w:rsid w:val="006A1AF3"/>
    <w:rsid w:val="006A243F"/>
    <w:rsid w:val="006A5045"/>
    <w:rsid w:val="006A6052"/>
    <w:rsid w:val="006A7C50"/>
    <w:rsid w:val="006B3146"/>
    <w:rsid w:val="006B479C"/>
    <w:rsid w:val="006B7DE0"/>
    <w:rsid w:val="006C08E9"/>
    <w:rsid w:val="006C1A04"/>
    <w:rsid w:val="006C1F6F"/>
    <w:rsid w:val="006C338E"/>
    <w:rsid w:val="006C408E"/>
    <w:rsid w:val="006C488E"/>
    <w:rsid w:val="006C6D2C"/>
    <w:rsid w:val="006D1640"/>
    <w:rsid w:val="006D2155"/>
    <w:rsid w:val="006D376F"/>
    <w:rsid w:val="006D39D8"/>
    <w:rsid w:val="006D5BFD"/>
    <w:rsid w:val="006D7942"/>
    <w:rsid w:val="006E105D"/>
    <w:rsid w:val="006E121B"/>
    <w:rsid w:val="006E132D"/>
    <w:rsid w:val="006E17DF"/>
    <w:rsid w:val="006E4151"/>
    <w:rsid w:val="006E471B"/>
    <w:rsid w:val="006E4DA3"/>
    <w:rsid w:val="006F08D4"/>
    <w:rsid w:val="006F1027"/>
    <w:rsid w:val="006F1AB5"/>
    <w:rsid w:val="006F2B7E"/>
    <w:rsid w:val="006F304D"/>
    <w:rsid w:val="006F3394"/>
    <w:rsid w:val="006F47EF"/>
    <w:rsid w:val="00702313"/>
    <w:rsid w:val="00702518"/>
    <w:rsid w:val="007029C2"/>
    <w:rsid w:val="00705876"/>
    <w:rsid w:val="007065A1"/>
    <w:rsid w:val="00706842"/>
    <w:rsid w:val="00706F1A"/>
    <w:rsid w:val="00710F7D"/>
    <w:rsid w:val="0071222E"/>
    <w:rsid w:val="00712CD7"/>
    <w:rsid w:val="0071729F"/>
    <w:rsid w:val="0072068B"/>
    <w:rsid w:val="007215DE"/>
    <w:rsid w:val="00724828"/>
    <w:rsid w:val="00725CDF"/>
    <w:rsid w:val="00726638"/>
    <w:rsid w:val="007269C1"/>
    <w:rsid w:val="00726BF7"/>
    <w:rsid w:val="00727359"/>
    <w:rsid w:val="007273B0"/>
    <w:rsid w:val="007311FE"/>
    <w:rsid w:val="00731C95"/>
    <w:rsid w:val="00735CC8"/>
    <w:rsid w:val="00736D51"/>
    <w:rsid w:val="0074156D"/>
    <w:rsid w:val="00743EED"/>
    <w:rsid w:val="00745BBB"/>
    <w:rsid w:val="00750006"/>
    <w:rsid w:val="007524D2"/>
    <w:rsid w:val="00752A36"/>
    <w:rsid w:val="00753359"/>
    <w:rsid w:val="00753A54"/>
    <w:rsid w:val="00756111"/>
    <w:rsid w:val="00761790"/>
    <w:rsid w:val="00761928"/>
    <w:rsid w:val="00762D3A"/>
    <w:rsid w:val="007636B1"/>
    <w:rsid w:val="00765BF0"/>
    <w:rsid w:val="007729F5"/>
    <w:rsid w:val="0077457B"/>
    <w:rsid w:val="0077540A"/>
    <w:rsid w:val="007801BF"/>
    <w:rsid w:val="0078295D"/>
    <w:rsid w:val="007842FA"/>
    <w:rsid w:val="007853A0"/>
    <w:rsid w:val="00785A96"/>
    <w:rsid w:val="0078668C"/>
    <w:rsid w:val="00787061"/>
    <w:rsid w:val="00787296"/>
    <w:rsid w:val="00787A2C"/>
    <w:rsid w:val="00791A57"/>
    <w:rsid w:val="007936FE"/>
    <w:rsid w:val="00794930"/>
    <w:rsid w:val="0079514D"/>
    <w:rsid w:val="007A02CA"/>
    <w:rsid w:val="007A04EC"/>
    <w:rsid w:val="007A192A"/>
    <w:rsid w:val="007A23A1"/>
    <w:rsid w:val="007A3F4A"/>
    <w:rsid w:val="007A3FAE"/>
    <w:rsid w:val="007A5668"/>
    <w:rsid w:val="007A6E1D"/>
    <w:rsid w:val="007A7628"/>
    <w:rsid w:val="007B028D"/>
    <w:rsid w:val="007B0554"/>
    <w:rsid w:val="007B05E8"/>
    <w:rsid w:val="007B0FB3"/>
    <w:rsid w:val="007B20E3"/>
    <w:rsid w:val="007B29B7"/>
    <w:rsid w:val="007B40D1"/>
    <w:rsid w:val="007B412D"/>
    <w:rsid w:val="007B53DD"/>
    <w:rsid w:val="007B560C"/>
    <w:rsid w:val="007B6D9B"/>
    <w:rsid w:val="007B708F"/>
    <w:rsid w:val="007C17CC"/>
    <w:rsid w:val="007C1FC8"/>
    <w:rsid w:val="007D0909"/>
    <w:rsid w:val="007D1D91"/>
    <w:rsid w:val="007D2540"/>
    <w:rsid w:val="007D2643"/>
    <w:rsid w:val="007D3AC9"/>
    <w:rsid w:val="007D4CCF"/>
    <w:rsid w:val="007D685C"/>
    <w:rsid w:val="007E0B95"/>
    <w:rsid w:val="007E3390"/>
    <w:rsid w:val="007E55A4"/>
    <w:rsid w:val="007E5825"/>
    <w:rsid w:val="007E7264"/>
    <w:rsid w:val="007F005E"/>
    <w:rsid w:val="007F0848"/>
    <w:rsid w:val="007F23FC"/>
    <w:rsid w:val="007F3555"/>
    <w:rsid w:val="007F61B2"/>
    <w:rsid w:val="007F7CF4"/>
    <w:rsid w:val="00800781"/>
    <w:rsid w:val="0080181C"/>
    <w:rsid w:val="008025D8"/>
    <w:rsid w:val="008038D9"/>
    <w:rsid w:val="0080416E"/>
    <w:rsid w:val="00806478"/>
    <w:rsid w:val="00811D6D"/>
    <w:rsid w:val="008132BE"/>
    <w:rsid w:val="00813EEB"/>
    <w:rsid w:val="00814ADA"/>
    <w:rsid w:val="00816ECC"/>
    <w:rsid w:val="008211A1"/>
    <w:rsid w:val="00824D37"/>
    <w:rsid w:val="00825AB6"/>
    <w:rsid w:val="00826ADC"/>
    <w:rsid w:val="00832263"/>
    <w:rsid w:val="00834992"/>
    <w:rsid w:val="00836457"/>
    <w:rsid w:val="00836A2A"/>
    <w:rsid w:val="0084215D"/>
    <w:rsid w:val="00843A94"/>
    <w:rsid w:val="00844C66"/>
    <w:rsid w:val="00845436"/>
    <w:rsid w:val="00845FD8"/>
    <w:rsid w:val="00846F2D"/>
    <w:rsid w:val="00850889"/>
    <w:rsid w:val="00851034"/>
    <w:rsid w:val="0085266A"/>
    <w:rsid w:val="00860735"/>
    <w:rsid w:val="008609BA"/>
    <w:rsid w:val="00863B33"/>
    <w:rsid w:val="00863B7F"/>
    <w:rsid w:val="00864D61"/>
    <w:rsid w:val="00866621"/>
    <w:rsid w:val="008671EE"/>
    <w:rsid w:val="00867A94"/>
    <w:rsid w:val="008735AF"/>
    <w:rsid w:val="0087534C"/>
    <w:rsid w:val="008771F7"/>
    <w:rsid w:val="00877C2D"/>
    <w:rsid w:val="0088032D"/>
    <w:rsid w:val="00882170"/>
    <w:rsid w:val="008846FC"/>
    <w:rsid w:val="00887B1C"/>
    <w:rsid w:val="00890B21"/>
    <w:rsid w:val="00891A64"/>
    <w:rsid w:val="008946EE"/>
    <w:rsid w:val="00895250"/>
    <w:rsid w:val="008954FF"/>
    <w:rsid w:val="008977A4"/>
    <w:rsid w:val="00897A7E"/>
    <w:rsid w:val="008A2AD0"/>
    <w:rsid w:val="008A49F5"/>
    <w:rsid w:val="008A5ACB"/>
    <w:rsid w:val="008B0990"/>
    <w:rsid w:val="008B1848"/>
    <w:rsid w:val="008B22F6"/>
    <w:rsid w:val="008B3D0A"/>
    <w:rsid w:val="008B4D6E"/>
    <w:rsid w:val="008B4E2F"/>
    <w:rsid w:val="008B5131"/>
    <w:rsid w:val="008B5788"/>
    <w:rsid w:val="008C15BF"/>
    <w:rsid w:val="008C2A6D"/>
    <w:rsid w:val="008C3BB0"/>
    <w:rsid w:val="008C420D"/>
    <w:rsid w:val="008D0833"/>
    <w:rsid w:val="008D0CAF"/>
    <w:rsid w:val="008D1BC0"/>
    <w:rsid w:val="008D59AF"/>
    <w:rsid w:val="008D657C"/>
    <w:rsid w:val="008D6B5E"/>
    <w:rsid w:val="008D6E1A"/>
    <w:rsid w:val="008E001C"/>
    <w:rsid w:val="008E069E"/>
    <w:rsid w:val="008E15D9"/>
    <w:rsid w:val="008E5C2F"/>
    <w:rsid w:val="008E6AC3"/>
    <w:rsid w:val="008F20AE"/>
    <w:rsid w:val="008F30BB"/>
    <w:rsid w:val="008F4413"/>
    <w:rsid w:val="009049BD"/>
    <w:rsid w:val="0091048D"/>
    <w:rsid w:val="009118CE"/>
    <w:rsid w:val="00912F3B"/>
    <w:rsid w:val="0091359B"/>
    <w:rsid w:val="00914382"/>
    <w:rsid w:val="00916083"/>
    <w:rsid w:val="00916318"/>
    <w:rsid w:val="00917344"/>
    <w:rsid w:val="00920CF2"/>
    <w:rsid w:val="00921B68"/>
    <w:rsid w:val="00921F74"/>
    <w:rsid w:val="00922A1C"/>
    <w:rsid w:val="00922C1B"/>
    <w:rsid w:val="00922D96"/>
    <w:rsid w:val="00926993"/>
    <w:rsid w:val="0093063A"/>
    <w:rsid w:val="00936A85"/>
    <w:rsid w:val="009373E4"/>
    <w:rsid w:val="009374AB"/>
    <w:rsid w:val="00937B2E"/>
    <w:rsid w:val="00940A74"/>
    <w:rsid w:val="00941F21"/>
    <w:rsid w:val="00942737"/>
    <w:rsid w:val="00942B58"/>
    <w:rsid w:val="00944784"/>
    <w:rsid w:val="0094489E"/>
    <w:rsid w:val="00944CC6"/>
    <w:rsid w:val="00945C7B"/>
    <w:rsid w:val="00945F0B"/>
    <w:rsid w:val="00947C33"/>
    <w:rsid w:val="009522E9"/>
    <w:rsid w:val="009541C4"/>
    <w:rsid w:val="00955726"/>
    <w:rsid w:val="009558B6"/>
    <w:rsid w:val="0096067C"/>
    <w:rsid w:val="00960FC4"/>
    <w:rsid w:val="009631E5"/>
    <w:rsid w:val="0096593D"/>
    <w:rsid w:val="00966895"/>
    <w:rsid w:val="00966F72"/>
    <w:rsid w:val="0096788E"/>
    <w:rsid w:val="0097175D"/>
    <w:rsid w:val="00971BF2"/>
    <w:rsid w:val="009725CA"/>
    <w:rsid w:val="00975472"/>
    <w:rsid w:val="00975A28"/>
    <w:rsid w:val="00975B11"/>
    <w:rsid w:val="0098246C"/>
    <w:rsid w:val="00983A15"/>
    <w:rsid w:val="0098489A"/>
    <w:rsid w:val="00984DDB"/>
    <w:rsid w:val="00987AD7"/>
    <w:rsid w:val="00987B64"/>
    <w:rsid w:val="00990E6B"/>
    <w:rsid w:val="009911EA"/>
    <w:rsid w:val="00993605"/>
    <w:rsid w:val="00994D73"/>
    <w:rsid w:val="009967F8"/>
    <w:rsid w:val="00997CDF"/>
    <w:rsid w:val="009A5BDA"/>
    <w:rsid w:val="009A6233"/>
    <w:rsid w:val="009A7CE2"/>
    <w:rsid w:val="009B04A1"/>
    <w:rsid w:val="009B1295"/>
    <w:rsid w:val="009B223F"/>
    <w:rsid w:val="009B416B"/>
    <w:rsid w:val="009B4463"/>
    <w:rsid w:val="009B4471"/>
    <w:rsid w:val="009B7D2A"/>
    <w:rsid w:val="009C68F0"/>
    <w:rsid w:val="009D0C20"/>
    <w:rsid w:val="009D1DD3"/>
    <w:rsid w:val="009D499C"/>
    <w:rsid w:val="009D60D5"/>
    <w:rsid w:val="009E15A5"/>
    <w:rsid w:val="009E68F8"/>
    <w:rsid w:val="009E69E1"/>
    <w:rsid w:val="009E6FAE"/>
    <w:rsid w:val="009E7228"/>
    <w:rsid w:val="009E7979"/>
    <w:rsid w:val="009F089E"/>
    <w:rsid w:val="009F3CAC"/>
    <w:rsid w:val="009F5263"/>
    <w:rsid w:val="009F6FC4"/>
    <w:rsid w:val="009F7AA5"/>
    <w:rsid w:val="00A00571"/>
    <w:rsid w:val="00A0578F"/>
    <w:rsid w:val="00A07612"/>
    <w:rsid w:val="00A07C79"/>
    <w:rsid w:val="00A11ADA"/>
    <w:rsid w:val="00A1236A"/>
    <w:rsid w:val="00A129D9"/>
    <w:rsid w:val="00A130D5"/>
    <w:rsid w:val="00A13C9F"/>
    <w:rsid w:val="00A13F66"/>
    <w:rsid w:val="00A17065"/>
    <w:rsid w:val="00A17B1A"/>
    <w:rsid w:val="00A17D66"/>
    <w:rsid w:val="00A25A19"/>
    <w:rsid w:val="00A2766E"/>
    <w:rsid w:val="00A27F81"/>
    <w:rsid w:val="00A32105"/>
    <w:rsid w:val="00A32268"/>
    <w:rsid w:val="00A3237C"/>
    <w:rsid w:val="00A33562"/>
    <w:rsid w:val="00A362BA"/>
    <w:rsid w:val="00A42E99"/>
    <w:rsid w:val="00A43544"/>
    <w:rsid w:val="00A44CA7"/>
    <w:rsid w:val="00A4687E"/>
    <w:rsid w:val="00A47FC0"/>
    <w:rsid w:val="00A51209"/>
    <w:rsid w:val="00A513FE"/>
    <w:rsid w:val="00A51C29"/>
    <w:rsid w:val="00A53E2D"/>
    <w:rsid w:val="00A558E2"/>
    <w:rsid w:val="00A56DFC"/>
    <w:rsid w:val="00A5734A"/>
    <w:rsid w:val="00A5793E"/>
    <w:rsid w:val="00A624DC"/>
    <w:rsid w:val="00A6284A"/>
    <w:rsid w:val="00A62AF5"/>
    <w:rsid w:val="00A63164"/>
    <w:rsid w:val="00A64BA7"/>
    <w:rsid w:val="00A65D8F"/>
    <w:rsid w:val="00A72257"/>
    <w:rsid w:val="00A727D0"/>
    <w:rsid w:val="00A737E9"/>
    <w:rsid w:val="00A744E2"/>
    <w:rsid w:val="00A749F4"/>
    <w:rsid w:val="00A75F38"/>
    <w:rsid w:val="00A7602F"/>
    <w:rsid w:val="00A8198B"/>
    <w:rsid w:val="00A846CE"/>
    <w:rsid w:val="00A879E3"/>
    <w:rsid w:val="00A87F22"/>
    <w:rsid w:val="00A93818"/>
    <w:rsid w:val="00A96C7D"/>
    <w:rsid w:val="00A97E26"/>
    <w:rsid w:val="00AA08D8"/>
    <w:rsid w:val="00AA14EF"/>
    <w:rsid w:val="00AA1FDD"/>
    <w:rsid w:val="00AA2030"/>
    <w:rsid w:val="00AA2564"/>
    <w:rsid w:val="00AA2651"/>
    <w:rsid w:val="00AA3957"/>
    <w:rsid w:val="00AA3E82"/>
    <w:rsid w:val="00AA5962"/>
    <w:rsid w:val="00AA5964"/>
    <w:rsid w:val="00AA5E29"/>
    <w:rsid w:val="00AA608F"/>
    <w:rsid w:val="00AA7171"/>
    <w:rsid w:val="00AB03E0"/>
    <w:rsid w:val="00AB0D79"/>
    <w:rsid w:val="00AB2671"/>
    <w:rsid w:val="00AB5271"/>
    <w:rsid w:val="00AC0B76"/>
    <w:rsid w:val="00AC11D2"/>
    <w:rsid w:val="00AC3016"/>
    <w:rsid w:val="00AC313C"/>
    <w:rsid w:val="00AD0D7F"/>
    <w:rsid w:val="00AD1565"/>
    <w:rsid w:val="00AD1918"/>
    <w:rsid w:val="00AD5210"/>
    <w:rsid w:val="00AD5BC9"/>
    <w:rsid w:val="00AD61DD"/>
    <w:rsid w:val="00AD7AF6"/>
    <w:rsid w:val="00AD7E35"/>
    <w:rsid w:val="00AE0E98"/>
    <w:rsid w:val="00AE443D"/>
    <w:rsid w:val="00AE4959"/>
    <w:rsid w:val="00AF29ED"/>
    <w:rsid w:val="00AF3BE9"/>
    <w:rsid w:val="00AF48AB"/>
    <w:rsid w:val="00AF4D2B"/>
    <w:rsid w:val="00AF4EE2"/>
    <w:rsid w:val="00AF4FAD"/>
    <w:rsid w:val="00AF769A"/>
    <w:rsid w:val="00B007A9"/>
    <w:rsid w:val="00B0272D"/>
    <w:rsid w:val="00B04A97"/>
    <w:rsid w:val="00B05426"/>
    <w:rsid w:val="00B0632C"/>
    <w:rsid w:val="00B06E64"/>
    <w:rsid w:val="00B105AC"/>
    <w:rsid w:val="00B1245E"/>
    <w:rsid w:val="00B124B3"/>
    <w:rsid w:val="00B13278"/>
    <w:rsid w:val="00B13D40"/>
    <w:rsid w:val="00B149DC"/>
    <w:rsid w:val="00B16E2E"/>
    <w:rsid w:val="00B171A8"/>
    <w:rsid w:val="00B21E47"/>
    <w:rsid w:val="00B2248B"/>
    <w:rsid w:val="00B22E77"/>
    <w:rsid w:val="00B2753D"/>
    <w:rsid w:val="00B27CC0"/>
    <w:rsid w:val="00B31732"/>
    <w:rsid w:val="00B317C8"/>
    <w:rsid w:val="00B3382D"/>
    <w:rsid w:val="00B33E4C"/>
    <w:rsid w:val="00B33F40"/>
    <w:rsid w:val="00B35C13"/>
    <w:rsid w:val="00B36170"/>
    <w:rsid w:val="00B363C2"/>
    <w:rsid w:val="00B36A04"/>
    <w:rsid w:val="00B37C96"/>
    <w:rsid w:val="00B4003D"/>
    <w:rsid w:val="00B40C6E"/>
    <w:rsid w:val="00B42855"/>
    <w:rsid w:val="00B44B83"/>
    <w:rsid w:val="00B45F6B"/>
    <w:rsid w:val="00B46286"/>
    <w:rsid w:val="00B478C7"/>
    <w:rsid w:val="00B52C81"/>
    <w:rsid w:val="00B53024"/>
    <w:rsid w:val="00B54519"/>
    <w:rsid w:val="00B54763"/>
    <w:rsid w:val="00B54D18"/>
    <w:rsid w:val="00B57896"/>
    <w:rsid w:val="00B60908"/>
    <w:rsid w:val="00B6373B"/>
    <w:rsid w:val="00B643E0"/>
    <w:rsid w:val="00B65154"/>
    <w:rsid w:val="00B652C6"/>
    <w:rsid w:val="00B66082"/>
    <w:rsid w:val="00B71A51"/>
    <w:rsid w:val="00B735A4"/>
    <w:rsid w:val="00B7520B"/>
    <w:rsid w:val="00B82899"/>
    <w:rsid w:val="00B8295F"/>
    <w:rsid w:val="00B86E14"/>
    <w:rsid w:val="00B9397B"/>
    <w:rsid w:val="00B95685"/>
    <w:rsid w:val="00BA4D05"/>
    <w:rsid w:val="00BA5101"/>
    <w:rsid w:val="00BA5487"/>
    <w:rsid w:val="00BB2644"/>
    <w:rsid w:val="00BB32FF"/>
    <w:rsid w:val="00BB36E0"/>
    <w:rsid w:val="00BB6A56"/>
    <w:rsid w:val="00BB6CAD"/>
    <w:rsid w:val="00BB75C2"/>
    <w:rsid w:val="00BB7F99"/>
    <w:rsid w:val="00BC24B5"/>
    <w:rsid w:val="00BC373F"/>
    <w:rsid w:val="00BC39DD"/>
    <w:rsid w:val="00BC5A56"/>
    <w:rsid w:val="00BC5DC5"/>
    <w:rsid w:val="00BC631D"/>
    <w:rsid w:val="00BC63EC"/>
    <w:rsid w:val="00BC6F71"/>
    <w:rsid w:val="00BD2038"/>
    <w:rsid w:val="00BD39F0"/>
    <w:rsid w:val="00BD6392"/>
    <w:rsid w:val="00BD74A7"/>
    <w:rsid w:val="00BE05F9"/>
    <w:rsid w:val="00BE1982"/>
    <w:rsid w:val="00BE2D3D"/>
    <w:rsid w:val="00BF3BFD"/>
    <w:rsid w:val="00BF5FFB"/>
    <w:rsid w:val="00BF7741"/>
    <w:rsid w:val="00C00F48"/>
    <w:rsid w:val="00C041FF"/>
    <w:rsid w:val="00C0566B"/>
    <w:rsid w:val="00C07DC1"/>
    <w:rsid w:val="00C11797"/>
    <w:rsid w:val="00C11AB3"/>
    <w:rsid w:val="00C120F0"/>
    <w:rsid w:val="00C12B25"/>
    <w:rsid w:val="00C15C68"/>
    <w:rsid w:val="00C16E77"/>
    <w:rsid w:val="00C17D14"/>
    <w:rsid w:val="00C17E01"/>
    <w:rsid w:val="00C22D93"/>
    <w:rsid w:val="00C22E6E"/>
    <w:rsid w:val="00C244CE"/>
    <w:rsid w:val="00C25392"/>
    <w:rsid w:val="00C26E78"/>
    <w:rsid w:val="00C274A6"/>
    <w:rsid w:val="00C27FD2"/>
    <w:rsid w:val="00C3052B"/>
    <w:rsid w:val="00C351FC"/>
    <w:rsid w:val="00C35605"/>
    <w:rsid w:val="00C35DA5"/>
    <w:rsid w:val="00C36089"/>
    <w:rsid w:val="00C367ED"/>
    <w:rsid w:val="00C42F61"/>
    <w:rsid w:val="00C43A38"/>
    <w:rsid w:val="00C43D4E"/>
    <w:rsid w:val="00C47BFE"/>
    <w:rsid w:val="00C50AE7"/>
    <w:rsid w:val="00C5456F"/>
    <w:rsid w:val="00C54F79"/>
    <w:rsid w:val="00C56D45"/>
    <w:rsid w:val="00C56DCA"/>
    <w:rsid w:val="00C57CAE"/>
    <w:rsid w:val="00C614D2"/>
    <w:rsid w:val="00C628CB"/>
    <w:rsid w:val="00C62A68"/>
    <w:rsid w:val="00C63774"/>
    <w:rsid w:val="00C63FE8"/>
    <w:rsid w:val="00C64893"/>
    <w:rsid w:val="00C66DBF"/>
    <w:rsid w:val="00C67396"/>
    <w:rsid w:val="00C67B1F"/>
    <w:rsid w:val="00C71B33"/>
    <w:rsid w:val="00C72D89"/>
    <w:rsid w:val="00C73AE8"/>
    <w:rsid w:val="00C74607"/>
    <w:rsid w:val="00C7509A"/>
    <w:rsid w:val="00C75FC8"/>
    <w:rsid w:val="00C77663"/>
    <w:rsid w:val="00C77994"/>
    <w:rsid w:val="00C802F2"/>
    <w:rsid w:val="00C81330"/>
    <w:rsid w:val="00C81F93"/>
    <w:rsid w:val="00C81FC3"/>
    <w:rsid w:val="00C83221"/>
    <w:rsid w:val="00C86411"/>
    <w:rsid w:val="00C874E8"/>
    <w:rsid w:val="00C91748"/>
    <w:rsid w:val="00C92855"/>
    <w:rsid w:val="00C93CF9"/>
    <w:rsid w:val="00C9459A"/>
    <w:rsid w:val="00C971C0"/>
    <w:rsid w:val="00C97722"/>
    <w:rsid w:val="00C97752"/>
    <w:rsid w:val="00CA3C8D"/>
    <w:rsid w:val="00CA4E0B"/>
    <w:rsid w:val="00CA516A"/>
    <w:rsid w:val="00CA53BE"/>
    <w:rsid w:val="00CA546A"/>
    <w:rsid w:val="00CA5F1B"/>
    <w:rsid w:val="00CA6B05"/>
    <w:rsid w:val="00CA76EC"/>
    <w:rsid w:val="00CB07AB"/>
    <w:rsid w:val="00CB082C"/>
    <w:rsid w:val="00CB1678"/>
    <w:rsid w:val="00CB1CDE"/>
    <w:rsid w:val="00CB1EF1"/>
    <w:rsid w:val="00CB331A"/>
    <w:rsid w:val="00CB3A7D"/>
    <w:rsid w:val="00CB412A"/>
    <w:rsid w:val="00CB50CA"/>
    <w:rsid w:val="00CB68F5"/>
    <w:rsid w:val="00CB7343"/>
    <w:rsid w:val="00CC3DE8"/>
    <w:rsid w:val="00CC4313"/>
    <w:rsid w:val="00CC53BD"/>
    <w:rsid w:val="00CD1727"/>
    <w:rsid w:val="00CD20FC"/>
    <w:rsid w:val="00CD36F3"/>
    <w:rsid w:val="00CD5351"/>
    <w:rsid w:val="00CD5634"/>
    <w:rsid w:val="00CD625C"/>
    <w:rsid w:val="00CD77AE"/>
    <w:rsid w:val="00CF0518"/>
    <w:rsid w:val="00CF370E"/>
    <w:rsid w:val="00CF4326"/>
    <w:rsid w:val="00CF5359"/>
    <w:rsid w:val="00CF5419"/>
    <w:rsid w:val="00CF5F19"/>
    <w:rsid w:val="00CF655F"/>
    <w:rsid w:val="00CF70E5"/>
    <w:rsid w:val="00D001AB"/>
    <w:rsid w:val="00D00288"/>
    <w:rsid w:val="00D040D2"/>
    <w:rsid w:val="00D100EB"/>
    <w:rsid w:val="00D100F3"/>
    <w:rsid w:val="00D1103B"/>
    <w:rsid w:val="00D11C86"/>
    <w:rsid w:val="00D12109"/>
    <w:rsid w:val="00D17793"/>
    <w:rsid w:val="00D17900"/>
    <w:rsid w:val="00D2044C"/>
    <w:rsid w:val="00D20E2E"/>
    <w:rsid w:val="00D2269E"/>
    <w:rsid w:val="00D26845"/>
    <w:rsid w:val="00D2754E"/>
    <w:rsid w:val="00D276BB"/>
    <w:rsid w:val="00D30F5C"/>
    <w:rsid w:val="00D33274"/>
    <w:rsid w:val="00D34324"/>
    <w:rsid w:val="00D36305"/>
    <w:rsid w:val="00D36F7A"/>
    <w:rsid w:val="00D40D81"/>
    <w:rsid w:val="00D4131F"/>
    <w:rsid w:val="00D41830"/>
    <w:rsid w:val="00D437F2"/>
    <w:rsid w:val="00D43E3E"/>
    <w:rsid w:val="00D4758E"/>
    <w:rsid w:val="00D505E0"/>
    <w:rsid w:val="00D51CA2"/>
    <w:rsid w:val="00D52BA1"/>
    <w:rsid w:val="00D55253"/>
    <w:rsid w:val="00D55A04"/>
    <w:rsid w:val="00D603B9"/>
    <w:rsid w:val="00D61D99"/>
    <w:rsid w:val="00D6440B"/>
    <w:rsid w:val="00D65596"/>
    <w:rsid w:val="00D65712"/>
    <w:rsid w:val="00D658B1"/>
    <w:rsid w:val="00D65C3F"/>
    <w:rsid w:val="00D6713D"/>
    <w:rsid w:val="00D67652"/>
    <w:rsid w:val="00D71012"/>
    <w:rsid w:val="00D735A4"/>
    <w:rsid w:val="00D73C91"/>
    <w:rsid w:val="00D76A20"/>
    <w:rsid w:val="00D77C8E"/>
    <w:rsid w:val="00D80689"/>
    <w:rsid w:val="00D80BCC"/>
    <w:rsid w:val="00D824DA"/>
    <w:rsid w:val="00D86242"/>
    <w:rsid w:val="00D86D43"/>
    <w:rsid w:val="00D90230"/>
    <w:rsid w:val="00D90D85"/>
    <w:rsid w:val="00D9333B"/>
    <w:rsid w:val="00D935D5"/>
    <w:rsid w:val="00DA405C"/>
    <w:rsid w:val="00DA6209"/>
    <w:rsid w:val="00DB00D7"/>
    <w:rsid w:val="00DB17AB"/>
    <w:rsid w:val="00DB256A"/>
    <w:rsid w:val="00DB48ED"/>
    <w:rsid w:val="00DB4EF3"/>
    <w:rsid w:val="00DB5A05"/>
    <w:rsid w:val="00DB6690"/>
    <w:rsid w:val="00DB6807"/>
    <w:rsid w:val="00DC0DD3"/>
    <w:rsid w:val="00DC0DF5"/>
    <w:rsid w:val="00DC4ED1"/>
    <w:rsid w:val="00DC5209"/>
    <w:rsid w:val="00DC5A89"/>
    <w:rsid w:val="00DD297A"/>
    <w:rsid w:val="00DD4AFB"/>
    <w:rsid w:val="00DD6895"/>
    <w:rsid w:val="00DE1212"/>
    <w:rsid w:val="00DE1AF6"/>
    <w:rsid w:val="00DE2423"/>
    <w:rsid w:val="00DE6B07"/>
    <w:rsid w:val="00DF1874"/>
    <w:rsid w:val="00DF30B1"/>
    <w:rsid w:val="00E00794"/>
    <w:rsid w:val="00E00799"/>
    <w:rsid w:val="00E0213E"/>
    <w:rsid w:val="00E029F9"/>
    <w:rsid w:val="00E030D9"/>
    <w:rsid w:val="00E03DDA"/>
    <w:rsid w:val="00E060A2"/>
    <w:rsid w:val="00E1025E"/>
    <w:rsid w:val="00E10ED5"/>
    <w:rsid w:val="00E11108"/>
    <w:rsid w:val="00E14016"/>
    <w:rsid w:val="00E179A1"/>
    <w:rsid w:val="00E17C62"/>
    <w:rsid w:val="00E2181B"/>
    <w:rsid w:val="00E22D97"/>
    <w:rsid w:val="00E24E7D"/>
    <w:rsid w:val="00E2523A"/>
    <w:rsid w:val="00E311E2"/>
    <w:rsid w:val="00E31DFB"/>
    <w:rsid w:val="00E33163"/>
    <w:rsid w:val="00E33B31"/>
    <w:rsid w:val="00E37C45"/>
    <w:rsid w:val="00E4091E"/>
    <w:rsid w:val="00E4118C"/>
    <w:rsid w:val="00E43140"/>
    <w:rsid w:val="00E43823"/>
    <w:rsid w:val="00E47467"/>
    <w:rsid w:val="00E53D69"/>
    <w:rsid w:val="00E55A08"/>
    <w:rsid w:val="00E55D6E"/>
    <w:rsid w:val="00E55FD5"/>
    <w:rsid w:val="00E5756F"/>
    <w:rsid w:val="00E60493"/>
    <w:rsid w:val="00E60640"/>
    <w:rsid w:val="00E60A8A"/>
    <w:rsid w:val="00E60F52"/>
    <w:rsid w:val="00E6132E"/>
    <w:rsid w:val="00E64964"/>
    <w:rsid w:val="00E64A36"/>
    <w:rsid w:val="00E6630E"/>
    <w:rsid w:val="00E70CD0"/>
    <w:rsid w:val="00E72793"/>
    <w:rsid w:val="00E732D2"/>
    <w:rsid w:val="00E747E2"/>
    <w:rsid w:val="00E7679E"/>
    <w:rsid w:val="00E76A20"/>
    <w:rsid w:val="00E76F3D"/>
    <w:rsid w:val="00E777C8"/>
    <w:rsid w:val="00E80EC0"/>
    <w:rsid w:val="00E81104"/>
    <w:rsid w:val="00E84735"/>
    <w:rsid w:val="00E859F4"/>
    <w:rsid w:val="00E86D7E"/>
    <w:rsid w:val="00E8792A"/>
    <w:rsid w:val="00E91FD5"/>
    <w:rsid w:val="00E921A9"/>
    <w:rsid w:val="00E92866"/>
    <w:rsid w:val="00E92D9F"/>
    <w:rsid w:val="00E936BE"/>
    <w:rsid w:val="00E93FD3"/>
    <w:rsid w:val="00E94668"/>
    <w:rsid w:val="00E9656B"/>
    <w:rsid w:val="00E976C7"/>
    <w:rsid w:val="00EA2B73"/>
    <w:rsid w:val="00EA330A"/>
    <w:rsid w:val="00EA3AFE"/>
    <w:rsid w:val="00EA66E9"/>
    <w:rsid w:val="00EA6945"/>
    <w:rsid w:val="00EA7437"/>
    <w:rsid w:val="00EB1015"/>
    <w:rsid w:val="00EB1308"/>
    <w:rsid w:val="00EB1477"/>
    <w:rsid w:val="00EB2AD8"/>
    <w:rsid w:val="00EB7A43"/>
    <w:rsid w:val="00EB7BF7"/>
    <w:rsid w:val="00EC1381"/>
    <w:rsid w:val="00EC1CFB"/>
    <w:rsid w:val="00EC2F92"/>
    <w:rsid w:val="00EC2FEF"/>
    <w:rsid w:val="00EC51C5"/>
    <w:rsid w:val="00EC7EF1"/>
    <w:rsid w:val="00ED0AFA"/>
    <w:rsid w:val="00ED5379"/>
    <w:rsid w:val="00ED6C52"/>
    <w:rsid w:val="00ED6F71"/>
    <w:rsid w:val="00ED7222"/>
    <w:rsid w:val="00EE26F7"/>
    <w:rsid w:val="00EE35A0"/>
    <w:rsid w:val="00EE5C95"/>
    <w:rsid w:val="00EF493B"/>
    <w:rsid w:val="00EF6F2E"/>
    <w:rsid w:val="00F00EEA"/>
    <w:rsid w:val="00F01690"/>
    <w:rsid w:val="00F01D47"/>
    <w:rsid w:val="00F03F65"/>
    <w:rsid w:val="00F0511B"/>
    <w:rsid w:val="00F10C6E"/>
    <w:rsid w:val="00F11659"/>
    <w:rsid w:val="00F13E71"/>
    <w:rsid w:val="00F15E69"/>
    <w:rsid w:val="00F23F8F"/>
    <w:rsid w:val="00F246C3"/>
    <w:rsid w:val="00F246F2"/>
    <w:rsid w:val="00F249C3"/>
    <w:rsid w:val="00F256D3"/>
    <w:rsid w:val="00F3539A"/>
    <w:rsid w:val="00F35695"/>
    <w:rsid w:val="00F36010"/>
    <w:rsid w:val="00F373B1"/>
    <w:rsid w:val="00F40C80"/>
    <w:rsid w:val="00F41B86"/>
    <w:rsid w:val="00F4301D"/>
    <w:rsid w:val="00F43CFD"/>
    <w:rsid w:val="00F46D24"/>
    <w:rsid w:val="00F50D8F"/>
    <w:rsid w:val="00F529D0"/>
    <w:rsid w:val="00F546C5"/>
    <w:rsid w:val="00F6065A"/>
    <w:rsid w:val="00F61067"/>
    <w:rsid w:val="00F6336C"/>
    <w:rsid w:val="00F63ABB"/>
    <w:rsid w:val="00F63D13"/>
    <w:rsid w:val="00F71165"/>
    <w:rsid w:val="00F73D00"/>
    <w:rsid w:val="00F74537"/>
    <w:rsid w:val="00F74568"/>
    <w:rsid w:val="00F76E83"/>
    <w:rsid w:val="00F76FCF"/>
    <w:rsid w:val="00F77C88"/>
    <w:rsid w:val="00F81367"/>
    <w:rsid w:val="00F84331"/>
    <w:rsid w:val="00F844D2"/>
    <w:rsid w:val="00F91338"/>
    <w:rsid w:val="00F9160B"/>
    <w:rsid w:val="00F91F0C"/>
    <w:rsid w:val="00F93205"/>
    <w:rsid w:val="00F94758"/>
    <w:rsid w:val="00F94EF1"/>
    <w:rsid w:val="00FA1026"/>
    <w:rsid w:val="00FA187B"/>
    <w:rsid w:val="00FA1F37"/>
    <w:rsid w:val="00FA6ECA"/>
    <w:rsid w:val="00FB695C"/>
    <w:rsid w:val="00FB7978"/>
    <w:rsid w:val="00FC062F"/>
    <w:rsid w:val="00FC1F5F"/>
    <w:rsid w:val="00FC365A"/>
    <w:rsid w:val="00FC4B2E"/>
    <w:rsid w:val="00FC4E30"/>
    <w:rsid w:val="00FC6316"/>
    <w:rsid w:val="00FC7621"/>
    <w:rsid w:val="00FD0BD0"/>
    <w:rsid w:val="00FD27FE"/>
    <w:rsid w:val="00FD2AF6"/>
    <w:rsid w:val="00FD6926"/>
    <w:rsid w:val="00FD6F94"/>
    <w:rsid w:val="00FD7CCF"/>
    <w:rsid w:val="00FE2AE2"/>
    <w:rsid w:val="00FE3362"/>
    <w:rsid w:val="00FE5750"/>
    <w:rsid w:val="00FF2036"/>
    <w:rsid w:val="00FF2354"/>
    <w:rsid w:val="00FF2CBE"/>
    <w:rsid w:val="00FF39E0"/>
    <w:rsid w:val="00FF6C5A"/>
    <w:rsid w:val="00FF7AEC"/>
    <w:rsid w:val="019A3EBD"/>
    <w:rsid w:val="038C711C"/>
    <w:rsid w:val="076039B1"/>
    <w:rsid w:val="07796359"/>
    <w:rsid w:val="0A002BCE"/>
    <w:rsid w:val="0BF87955"/>
    <w:rsid w:val="0D6A5E31"/>
    <w:rsid w:val="0DBF4B4E"/>
    <w:rsid w:val="0E044F9A"/>
    <w:rsid w:val="0FC74503"/>
    <w:rsid w:val="10F0726B"/>
    <w:rsid w:val="124F2697"/>
    <w:rsid w:val="159D0376"/>
    <w:rsid w:val="163106DA"/>
    <w:rsid w:val="18A079CA"/>
    <w:rsid w:val="1DED1409"/>
    <w:rsid w:val="20E576F1"/>
    <w:rsid w:val="23206F3B"/>
    <w:rsid w:val="24917718"/>
    <w:rsid w:val="252A6097"/>
    <w:rsid w:val="252B4B4C"/>
    <w:rsid w:val="284F7F4F"/>
    <w:rsid w:val="2A68414C"/>
    <w:rsid w:val="2CD31CBF"/>
    <w:rsid w:val="2D3578F9"/>
    <w:rsid w:val="2E247F54"/>
    <w:rsid w:val="2EBA640F"/>
    <w:rsid w:val="2EBE14E9"/>
    <w:rsid w:val="30A41143"/>
    <w:rsid w:val="30CF565B"/>
    <w:rsid w:val="311822BB"/>
    <w:rsid w:val="31BA7314"/>
    <w:rsid w:val="321864F0"/>
    <w:rsid w:val="351A3050"/>
    <w:rsid w:val="37600095"/>
    <w:rsid w:val="381E671E"/>
    <w:rsid w:val="3ADB0022"/>
    <w:rsid w:val="3DA13D13"/>
    <w:rsid w:val="3DDF19F1"/>
    <w:rsid w:val="3ED91635"/>
    <w:rsid w:val="40CD58CD"/>
    <w:rsid w:val="43DF0DF9"/>
    <w:rsid w:val="45FE7DCB"/>
    <w:rsid w:val="49070DBE"/>
    <w:rsid w:val="49A01FC5"/>
    <w:rsid w:val="4FB05ACA"/>
    <w:rsid w:val="501C713C"/>
    <w:rsid w:val="5975356B"/>
    <w:rsid w:val="59FF0712"/>
    <w:rsid w:val="5A4237C2"/>
    <w:rsid w:val="5C9D7FA1"/>
    <w:rsid w:val="5D107BA8"/>
    <w:rsid w:val="5DD046AB"/>
    <w:rsid w:val="5EB819DB"/>
    <w:rsid w:val="5F504020"/>
    <w:rsid w:val="62A96AD4"/>
    <w:rsid w:val="633418D8"/>
    <w:rsid w:val="677D232D"/>
    <w:rsid w:val="687C26B5"/>
    <w:rsid w:val="6B1F0094"/>
    <w:rsid w:val="6B726AE0"/>
    <w:rsid w:val="704E6A89"/>
    <w:rsid w:val="705132CE"/>
    <w:rsid w:val="71B0777A"/>
    <w:rsid w:val="71C56024"/>
    <w:rsid w:val="747043AB"/>
    <w:rsid w:val="7B222C2A"/>
    <w:rsid w:val="7B7730E8"/>
    <w:rsid w:val="7D457DF9"/>
    <w:rsid w:val="7E5B4207"/>
    <w:rsid w:val="7EB0237F"/>
    <w:rsid w:val="7EDB55C0"/>
    <w:rsid w:val="7F023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qFormat="1" w:uiPriority="39" w:name="toc 8"/>
    <w:lsdException w:uiPriority="39" w:name="toc 9"/>
    <w:lsdException w:qFormat="1" w:uiPriority="99"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560" w:firstLineChars="200"/>
      <w:jc w:val="both"/>
    </w:pPr>
    <w:rPr>
      <w:rFonts w:ascii="仿宋_GB2312" w:hAnsi="宋体" w:eastAsia="仿宋_GB2312" w:cstheme="minorBidi"/>
      <w:kern w:val="2"/>
      <w:sz w:val="28"/>
      <w:szCs w:val="22"/>
      <w:lang w:val="en-US" w:eastAsia="zh-CN" w:bidi="ar-SA"/>
    </w:rPr>
  </w:style>
  <w:style w:type="paragraph" w:styleId="3">
    <w:name w:val="heading 1"/>
    <w:basedOn w:val="1"/>
    <w:next w:val="1"/>
    <w:link w:val="30"/>
    <w:qFormat/>
    <w:uiPriority w:val="9"/>
    <w:pPr>
      <w:keepNext/>
      <w:keepLines/>
      <w:snapToGrid/>
      <w:spacing w:before="200" w:after="200"/>
      <w:ind w:firstLine="0" w:firstLineChars="0"/>
      <w:jc w:val="center"/>
      <w:outlineLvl w:val="0"/>
    </w:pPr>
    <w:rPr>
      <w:rFonts w:ascii="黑体" w:hAnsi="黑体" w:eastAsia="黑体" w:cs="Times New Roman"/>
      <w:bCs/>
      <w:kern w:val="44"/>
      <w:sz w:val="32"/>
      <w:szCs w:val="52"/>
    </w:rPr>
  </w:style>
  <w:style w:type="paragraph" w:styleId="4">
    <w:name w:val="heading 2"/>
    <w:basedOn w:val="1"/>
    <w:next w:val="1"/>
    <w:link w:val="31"/>
    <w:unhideWhenUsed/>
    <w:qFormat/>
    <w:uiPriority w:val="9"/>
    <w:pPr>
      <w:keepNext/>
      <w:keepLines/>
      <w:snapToGrid/>
      <w:spacing w:before="468" w:after="468"/>
      <w:ind w:firstLine="0" w:firstLineChars="0"/>
      <w:jc w:val="center"/>
      <w:outlineLvl w:val="1"/>
    </w:pPr>
    <w:rPr>
      <w:rFonts w:ascii="楷体_GB2312" w:hAnsi="Times New Roman" w:eastAsia="楷体_GB2312" w:cs="Times New Roman"/>
      <w:b/>
      <w:sz w:val="32"/>
      <w:szCs w:val="32"/>
    </w:rPr>
  </w:style>
  <w:style w:type="paragraph" w:styleId="5">
    <w:name w:val="heading 3"/>
    <w:basedOn w:val="1"/>
    <w:next w:val="1"/>
    <w:link w:val="32"/>
    <w:unhideWhenUsed/>
    <w:qFormat/>
    <w:uiPriority w:val="9"/>
    <w:pPr>
      <w:keepNext/>
      <w:keepLines/>
      <w:spacing w:before="156" w:beforeLines="50"/>
      <w:ind w:firstLine="643"/>
      <w:outlineLvl w:val="2"/>
    </w:pPr>
    <w:rPr>
      <w:b/>
      <w:bCs/>
      <w:sz w:val="32"/>
      <w:szCs w:val="32"/>
    </w:rPr>
  </w:style>
  <w:style w:type="paragraph" w:styleId="6">
    <w:name w:val="heading 4"/>
    <w:basedOn w:val="1"/>
    <w:next w:val="1"/>
    <w:link w:val="33"/>
    <w:unhideWhenUsed/>
    <w:qFormat/>
    <w:uiPriority w:val="9"/>
    <w:pPr>
      <w:keepNext/>
      <w:keepLines/>
      <w:spacing w:before="280" w:after="290" w:line="376" w:lineRule="auto"/>
      <w:ind w:firstLine="640"/>
      <w:outlineLvl w:val="3"/>
    </w:pPr>
    <w:rPr>
      <w:rFonts w:asciiTheme="majorHAnsi" w:hAnsiTheme="majorHAnsi" w:eastAsiaTheme="majorEastAsia" w:cstheme="majorBidi"/>
      <w:b/>
      <w:bCs/>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7">
    <w:name w:val="caption"/>
    <w:basedOn w:val="1"/>
    <w:next w:val="1"/>
    <w:semiHidden/>
    <w:unhideWhenUsed/>
    <w:qFormat/>
    <w:uiPriority w:val="35"/>
    <w:pPr>
      <w:ind w:firstLine="640"/>
    </w:pPr>
    <w:rPr>
      <w:rFonts w:eastAsia="黑体" w:asciiTheme="majorHAnsi" w:hAnsiTheme="majorHAnsi" w:cstheme="majorBidi"/>
      <w:sz w:val="20"/>
      <w:szCs w:val="20"/>
    </w:rPr>
  </w:style>
  <w:style w:type="paragraph" w:styleId="8">
    <w:name w:val="Document Map"/>
    <w:basedOn w:val="1"/>
    <w:link w:val="58"/>
    <w:semiHidden/>
    <w:unhideWhenUsed/>
    <w:qFormat/>
    <w:uiPriority w:val="99"/>
    <w:pPr>
      <w:ind w:firstLine="420"/>
    </w:pPr>
    <w:rPr>
      <w:rFonts w:ascii="宋体" w:eastAsia="宋体"/>
      <w:sz w:val="18"/>
      <w:szCs w:val="18"/>
    </w:rPr>
  </w:style>
  <w:style w:type="paragraph" w:styleId="9">
    <w:name w:val="annotation text"/>
    <w:basedOn w:val="1"/>
    <w:link w:val="56"/>
    <w:unhideWhenUsed/>
    <w:qFormat/>
    <w:uiPriority w:val="99"/>
    <w:pPr>
      <w:jc w:val="left"/>
    </w:pPr>
    <w:rPr>
      <w:rFonts w:ascii="Calibri" w:hAnsi="Calibri" w:eastAsia="宋体" w:cs="Times New Roman"/>
    </w:rPr>
  </w:style>
  <w:style w:type="paragraph" w:styleId="10">
    <w:name w:val="index 6"/>
    <w:basedOn w:val="1"/>
    <w:next w:val="1"/>
    <w:semiHidden/>
    <w:unhideWhenUsed/>
    <w:qFormat/>
    <w:uiPriority w:val="99"/>
    <w:pPr>
      <w:ind w:left="1000" w:leftChars="1000" w:firstLine="0"/>
    </w:pPr>
  </w:style>
  <w:style w:type="paragraph" w:styleId="11">
    <w:name w:val="Body Text"/>
    <w:basedOn w:val="1"/>
    <w:link w:val="55"/>
    <w:qFormat/>
    <w:uiPriority w:val="1"/>
    <w:pPr>
      <w:autoSpaceDE w:val="0"/>
      <w:autoSpaceDN w:val="0"/>
      <w:ind w:left="117" w:firstLine="643"/>
      <w:jc w:val="left"/>
    </w:pPr>
    <w:rPr>
      <w:rFonts w:hAnsi="Times New Roman" w:cs="仿宋_GB2312"/>
      <w:kern w:val="0"/>
      <w:sz w:val="32"/>
      <w:szCs w:val="32"/>
    </w:rPr>
  </w:style>
  <w:style w:type="paragraph" w:styleId="12">
    <w:name w:val="toc 3"/>
    <w:basedOn w:val="1"/>
    <w:next w:val="1"/>
    <w:unhideWhenUsed/>
    <w:qFormat/>
    <w:uiPriority w:val="39"/>
    <w:pPr>
      <w:ind w:left="840" w:leftChars="400"/>
    </w:pPr>
  </w:style>
  <w:style w:type="paragraph" w:styleId="13">
    <w:name w:val="toc 8"/>
    <w:basedOn w:val="1"/>
    <w:next w:val="1"/>
    <w:semiHidden/>
    <w:unhideWhenUsed/>
    <w:qFormat/>
    <w:uiPriority w:val="39"/>
    <w:pPr>
      <w:ind w:left="2940" w:leftChars="1400"/>
    </w:pPr>
  </w:style>
  <w:style w:type="paragraph" w:styleId="14">
    <w:name w:val="endnote text"/>
    <w:basedOn w:val="1"/>
    <w:link w:val="73"/>
    <w:semiHidden/>
    <w:unhideWhenUsed/>
    <w:qFormat/>
    <w:uiPriority w:val="99"/>
    <w:pPr>
      <w:jc w:val="left"/>
    </w:pPr>
  </w:style>
  <w:style w:type="paragraph" w:styleId="15">
    <w:name w:val="Balloon Text"/>
    <w:basedOn w:val="1"/>
    <w:link w:val="43"/>
    <w:semiHidden/>
    <w:unhideWhenUsed/>
    <w:qFormat/>
    <w:uiPriority w:val="99"/>
    <w:pPr>
      <w:ind w:firstLine="640"/>
    </w:pPr>
    <w:rPr>
      <w:rFonts w:hAnsi="Times New Roman" w:cs="Times New Roman"/>
      <w:sz w:val="18"/>
      <w:szCs w:val="18"/>
    </w:rPr>
  </w:style>
  <w:style w:type="paragraph" w:styleId="16">
    <w:name w:val="footer"/>
    <w:basedOn w:val="1"/>
    <w:link w:val="36"/>
    <w:unhideWhenUsed/>
    <w:qFormat/>
    <w:uiPriority w:val="99"/>
    <w:pPr>
      <w:tabs>
        <w:tab w:val="center" w:pos="4153"/>
        <w:tab w:val="right" w:pos="8306"/>
      </w:tabs>
      <w:ind w:firstLine="640"/>
      <w:jc w:val="left"/>
    </w:pPr>
    <w:rPr>
      <w:rFonts w:hAnsi="Times New Roman" w:cs="Times New Roman"/>
      <w:sz w:val="18"/>
      <w:szCs w:val="18"/>
    </w:rPr>
  </w:style>
  <w:style w:type="paragraph" w:styleId="17">
    <w:name w:val="header"/>
    <w:basedOn w:val="1"/>
    <w:link w:val="35"/>
    <w:unhideWhenUsed/>
    <w:qFormat/>
    <w:uiPriority w:val="99"/>
    <w:pPr>
      <w:pBdr>
        <w:bottom w:val="single" w:color="auto" w:sz="6" w:space="1"/>
      </w:pBdr>
      <w:tabs>
        <w:tab w:val="center" w:pos="4153"/>
        <w:tab w:val="right" w:pos="8306"/>
      </w:tabs>
      <w:ind w:firstLine="640"/>
      <w:jc w:val="center"/>
    </w:pPr>
    <w:rPr>
      <w:rFonts w:hAnsi="Times New Roman" w:cs="Times New Roman"/>
      <w:sz w:val="18"/>
      <w:szCs w:val="18"/>
    </w:rPr>
  </w:style>
  <w:style w:type="paragraph" w:styleId="18">
    <w:name w:val="toc 1"/>
    <w:basedOn w:val="1"/>
    <w:next w:val="1"/>
    <w:unhideWhenUsed/>
    <w:qFormat/>
    <w:uiPriority w:val="39"/>
  </w:style>
  <w:style w:type="paragraph" w:styleId="19">
    <w:name w:val="footnote text"/>
    <w:link w:val="71"/>
    <w:qFormat/>
    <w:uiPriority w:val="0"/>
    <w:pPr>
      <w:widowControl w:val="0"/>
      <w:snapToGrid w:val="0"/>
    </w:pPr>
    <w:rPr>
      <w:rFonts w:ascii="Calibri" w:hAnsi="Calibri" w:eastAsia="仿宋" w:cs="Arial"/>
      <w:kern w:val="2"/>
      <w:sz w:val="18"/>
      <w:szCs w:val="18"/>
      <w:lang w:val="en-US" w:eastAsia="zh-CN" w:bidi="ar-SA"/>
    </w:rPr>
  </w:style>
  <w:style w:type="paragraph" w:styleId="20">
    <w:name w:val="toc 2"/>
    <w:basedOn w:val="1"/>
    <w:next w:val="1"/>
    <w:unhideWhenUsed/>
    <w:qFormat/>
    <w:uiPriority w:val="39"/>
    <w:pPr>
      <w:ind w:left="420" w:leftChars="200"/>
    </w:pPr>
  </w:style>
  <w:style w:type="paragraph" w:styleId="21">
    <w:name w:val="Title"/>
    <w:basedOn w:val="1"/>
    <w:next w:val="1"/>
    <w:link w:val="57"/>
    <w:qFormat/>
    <w:uiPriority w:val="10"/>
    <w:pPr>
      <w:spacing w:before="240" w:after="60"/>
      <w:ind w:firstLine="420"/>
      <w:jc w:val="center"/>
      <w:outlineLvl w:val="0"/>
    </w:pPr>
    <w:rPr>
      <w:rFonts w:eastAsia="宋体" w:asciiTheme="majorHAnsi" w:hAnsiTheme="majorHAnsi" w:cstheme="majorBidi"/>
      <w:b/>
      <w:bCs/>
      <w:sz w:val="32"/>
      <w:szCs w:val="32"/>
    </w:rPr>
  </w:style>
  <w:style w:type="paragraph" w:styleId="22">
    <w:name w:val="annotation subject"/>
    <w:basedOn w:val="9"/>
    <w:next w:val="9"/>
    <w:link w:val="60"/>
    <w:semiHidden/>
    <w:unhideWhenUsed/>
    <w:qFormat/>
    <w:uiPriority w:val="99"/>
    <w:pPr>
      <w:ind w:firstLine="420"/>
    </w:pPr>
    <w:rPr>
      <w:rFonts w:asciiTheme="minorHAnsi" w:hAnsiTheme="minorHAnsi" w:eastAsiaTheme="minorEastAsia" w:cstheme="minorBidi"/>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endnote reference"/>
    <w:basedOn w:val="25"/>
    <w:semiHidden/>
    <w:unhideWhenUsed/>
    <w:qFormat/>
    <w:uiPriority w:val="99"/>
    <w:rPr>
      <w:vertAlign w:val="superscript"/>
    </w:rPr>
  </w:style>
  <w:style w:type="character" w:styleId="27">
    <w:name w:val="Hyperlink"/>
    <w:basedOn w:val="25"/>
    <w:unhideWhenUsed/>
    <w:qFormat/>
    <w:uiPriority w:val="99"/>
    <w:rPr>
      <w:color w:val="0000FF" w:themeColor="hyperlink"/>
      <w:u w:val="single"/>
      <w14:textFill>
        <w14:solidFill>
          <w14:schemeClr w14:val="hlink"/>
        </w14:solidFill>
      </w14:textFill>
    </w:rPr>
  </w:style>
  <w:style w:type="character" w:styleId="28">
    <w:name w:val="annotation reference"/>
    <w:basedOn w:val="25"/>
    <w:semiHidden/>
    <w:unhideWhenUsed/>
    <w:qFormat/>
    <w:uiPriority w:val="99"/>
    <w:rPr>
      <w:sz w:val="21"/>
      <w:szCs w:val="21"/>
    </w:rPr>
  </w:style>
  <w:style w:type="character" w:styleId="29">
    <w:name w:val="footnote reference"/>
    <w:qFormat/>
    <w:uiPriority w:val="0"/>
    <w:rPr>
      <w:vertAlign w:val="superscript"/>
    </w:rPr>
  </w:style>
  <w:style w:type="character" w:customStyle="1" w:styleId="30">
    <w:name w:val="标题 1 字符"/>
    <w:basedOn w:val="25"/>
    <w:link w:val="3"/>
    <w:qFormat/>
    <w:uiPriority w:val="9"/>
    <w:rPr>
      <w:rFonts w:ascii="黑体" w:hAnsi="黑体" w:eastAsia="黑体"/>
      <w:bCs/>
      <w:kern w:val="44"/>
      <w:sz w:val="32"/>
      <w:szCs w:val="52"/>
    </w:rPr>
  </w:style>
  <w:style w:type="character" w:customStyle="1" w:styleId="31">
    <w:name w:val="标题 2 字符"/>
    <w:basedOn w:val="25"/>
    <w:link w:val="4"/>
    <w:qFormat/>
    <w:uiPriority w:val="9"/>
    <w:rPr>
      <w:rFonts w:ascii="楷体_GB2312" w:hAnsi="Times New Roman" w:eastAsia="楷体_GB2312"/>
      <w:b/>
      <w:kern w:val="2"/>
      <w:sz w:val="32"/>
      <w:szCs w:val="32"/>
    </w:rPr>
  </w:style>
  <w:style w:type="character" w:customStyle="1" w:styleId="32">
    <w:name w:val="标题 3 字符"/>
    <w:basedOn w:val="25"/>
    <w:link w:val="5"/>
    <w:qFormat/>
    <w:uiPriority w:val="9"/>
    <w:rPr>
      <w:rFonts w:ascii="仿宋_GB2312" w:hAnsi="宋体" w:eastAsia="仿宋_GB2312"/>
      <w:b/>
      <w:bCs/>
      <w:sz w:val="32"/>
      <w:szCs w:val="32"/>
    </w:rPr>
  </w:style>
  <w:style w:type="character" w:customStyle="1" w:styleId="33">
    <w:name w:val="标题 4 字符"/>
    <w:basedOn w:val="25"/>
    <w:link w:val="6"/>
    <w:qFormat/>
    <w:uiPriority w:val="9"/>
    <w:rPr>
      <w:rFonts w:asciiTheme="majorHAnsi" w:hAnsiTheme="majorHAnsi" w:eastAsiaTheme="majorEastAsia" w:cstheme="majorBidi"/>
      <w:b/>
      <w:bCs/>
      <w:sz w:val="28"/>
      <w:szCs w:val="28"/>
    </w:rPr>
  </w:style>
  <w:style w:type="paragraph" w:customStyle="1" w:styleId="34">
    <w:name w:val="_Style 1"/>
    <w:basedOn w:val="1"/>
    <w:qFormat/>
    <w:uiPriority w:val="34"/>
    <w:pPr>
      <w:ind w:firstLine="420"/>
    </w:pPr>
    <w:rPr>
      <w:rFonts w:eastAsia="仿宋" w:cs="Arial"/>
      <w:sz w:val="32"/>
    </w:rPr>
  </w:style>
  <w:style w:type="character" w:customStyle="1" w:styleId="35">
    <w:name w:val="页眉 字符"/>
    <w:basedOn w:val="25"/>
    <w:link w:val="17"/>
    <w:qFormat/>
    <w:uiPriority w:val="99"/>
    <w:rPr>
      <w:rFonts w:ascii="仿宋_GB2312" w:hAnsi="Times New Roman" w:eastAsia="仿宋_GB2312" w:cs="Times New Roman"/>
      <w:sz w:val="18"/>
      <w:szCs w:val="18"/>
    </w:rPr>
  </w:style>
  <w:style w:type="character" w:customStyle="1" w:styleId="36">
    <w:name w:val="页脚 字符"/>
    <w:basedOn w:val="25"/>
    <w:link w:val="16"/>
    <w:qFormat/>
    <w:uiPriority w:val="99"/>
    <w:rPr>
      <w:rFonts w:ascii="仿宋_GB2312" w:hAnsi="Times New Roman" w:eastAsia="仿宋_GB2312" w:cs="Times New Roman"/>
      <w:sz w:val="18"/>
      <w:szCs w:val="18"/>
    </w:rPr>
  </w:style>
  <w:style w:type="character" w:customStyle="1" w:styleId="37">
    <w:name w:val="正文1 字符"/>
    <w:link w:val="38"/>
    <w:qFormat/>
    <w:uiPriority w:val="0"/>
    <w:rPr>
      <w:rFonts w:ascii="仿宋" w:hAnsi="仿宋" w:eastAsia="仿宋" w:cs="Times New Roman"/>
      <w:color w:val="000000"/>
      <w:sz w:val="28"/>
      <w:szCs w:val="21"/>
    </w:rPr>
  </w:style>
  <w:style w:type="paragraph" w:customStyle="1" w:styleId="38">
    <w:name w:val="正文1"/>
    <w:basedOn w:val="1"/>
    <w:link w:val="37"/>
    <w:qFormat/>
    <w:uiPriority w:val="0"/>
    <w:pPr>
      <w:jc w:val="center"/>
    </w:pPr>
    <w:rPr>
      <w:rFonts w:ascii="仿宋" w:hAnsi="仿宋" w:eastAsia="仿宋" w:cs="Times New Roman"/>
      <w:color w:val="000000"/>
      <w:szCs w:val="21"/>
    </w:rPr>
  </w:style>
  <w:style w:type="character" w:customStyle="1" w:styleId="39">
    <w:name w:val="表标题 字符"/>
    <w:link w:val="40"/>
    <w:qFormat/>
    <w:uiPriority w:val="0"/>
    <w:rPr>
      <w:rFonts w:ascii="楷体_GB2312" w:hAnsi="Times New Roman" w:eastAsia="楷体_GB2312"/>
      <w:b/>
      <w:kern w:val="2"/>
      <w:sz w:val="32"/>
      <w:szCs w:val="22"/>
    </w:rPr>
  </w:style>
  <w:style w:type="paragraph" w:customStyle="1" w:styleId="40">
    <w:name w:val="表标题"/>
    <w:basedOn w:val="1"/>
    <w:link w:val="39"/>
    <w:qFormat/>
    <w:uiPriority w:val="0"/>
    <w:pPr>
      <w:spacing w:before="156" w:beforeLines="50"/>
      <w:ind w:firstLine="0" w:firstLineChars="0"/>
      <w:jc w:val="center"/>
      <w:outlineLvl w:val="3"/>
    </w:pPr>
    <w:rPr>
      <w:rFonts w:ascii="楷体_GB2312" w:hAnsi="Times New Roman" w:eastAsia="楷体_GB2312" w:cs="Times New Roman"/>
      <w:b/>
      <w:sz w:val="32"/>
    </w:rPr>
  </w:style>
  <w:style w:type="character" w:customStyle="1" w:styleId="41">
    <w:name w:val="图名称 字符"/>
    <w:link w:val="42"/>
    <w:qFormat/>
    <w:uiPriority w:val="0"/>
    <w:rPr>
      <w:rFonts w:ascii="Times New Roman" w:hAnsi="Times New Roman" w:eastAsia="仿宋" w:cs="Times New Roman"/>
      <w:b/>
      <w:sz w:val="28"/>
      <w:szCs w:val="21"/>
    </w:rPr>
  </w:style>
  <w:style w:type="paragraph" w:customStyle="1" w:styleId="42">
    <w:name w:val="图名称"/>
    <w:basedOn w:val="1"/>
    <w:link w:val="41"/>
    <w:qFormat/>
    <w:uiPriority w:val="0"/>
    <w:pPr>
      <w:spacing w:after="120"/>
      <w:jc w:val="center"/>
      <w:outlineLvl w:val="3"/>
    </w:pPr>
    <w:rPr>
      <w:rFonts w:ascii="Times New Roman" w:hAnsi="Times New Roman" w:eastAsia="仿宋" w:cs="Times New Roman"/>
      <w:b/>
      <w:szCs w:val="21"/>
    </w:rPr>
  </w:style>
  <w:style w:type="character" w:customStyle="1" w:styleId="43">
    <w:name w:val="批注框文本 字符"/>
    <w:basedOn w:val="25"/>
    <w:link w:val="15"/>
    <w:semiHidden/>
    <w:qFormat/>
    <w:uiPriority w:val="99"/>
    <w:rPr>
      <w:rFonts w:ascii="仿宋_GB2312" w:hAnsi="Times New Roman" w:eastAsia="仿宋_GB2312" w:cs="Times New Roman"/>
      <w:sz w:val="18"/>
      <w:szCs w:val="18"/>
    </w:rPr>
  </w:style>
  <w:style w:type="paragraph" w:customStyle="1" w:styleId="44">
    <w:name w:val="图表格式"/>
    <w:basedOn w:val="7"/>
    <w:link w:val="45"/>
    <w:qFormat/>
    <w:uiPriority w:val="0"/>
    <w:pPr>
      <w:spacing w:line="240" w:lineRule="auto"/>
      <w:ind w:firstLine="0" w:firstLineChars="0"/>
      <w:jc w:val="center"/>
    </w:pPr>
    <w:rPr>
      <w:rFonts w:ascii="Times New Roman" w:hAnsi="Times New Roman" w:eastAsia="仿宋_GB2312" w:cs="Times New Roman"/>
      <w:kern w:val="0"/>
      <w:sz w:val="22"/>
      <w:szCs w:val="21"/>
    </w:rPr>
  </w:style>
  <w:style w:type="character" w:customStyle="1" w:styleId="45">
    <w:name w:val="图表格式 Char"/>
    <w:link w:val="44"/>
    <w:qFormat/>
    <w:uiPriority w:val="0"/>
    <w:rPr>
      <w:rFonts w:ascii="Times New Roman" w:hAnsi="Times New Roman" w:eastAsia="仿宋_GB2312" w:cs="Times New Roman"/>
      <w:kern w:val="0"/>
      <w:sz w:val="22"/>
      <w:szCs w:val="21"/>
    </w:rPr>
  </w:style>
  <w:style w:type="paragraph" w:customStyle="1" w:styleId="46">
    <w:name w:val="T2"/>
    <w:basedOn w:val="47"/>
    <w:qFormat/>
    <w:uiPriority w:val="0"/>
    <w:pPr>
      <w:ind w:firstLine="0" w:firstLineChars="0"/>
      <w:outlineLvl w:val="1"/>
    </w:pPr>
    <w:rPr>
      <w:rFonts w:ascii="楷体_GB2312" w:hAnsi="华文中宋" w:eastAsia="黑体" w:cs="Arial"/>
      <w:bCs/>
    </w:rPr>
  </w:style>
  <w:style w:type="paragraph" w:styleId="47">
    <w:name w:val="List Paragraph"/>
    <w:basedOn w:val="1"/>
    <w:qFormat/>
    <w:uiPriority w:val="34"/>
    <w:pPr>
      <w:ind w:firstLine="640"/>
    </w:pPr>
    <w:rPr>
      <w:rFonts w:hAnsi="Times New Roman" w:cs="Times New Roman"/>
      <w:sz w:val="32"/>
      <w:szCs w:val="32"/>
    </w:rPr>
  </w:style>
  <w:style w:type="paragraph" w:customStyle="1" w:styleId="48">
    <w:name w:val="T3"/>
    <w:basedOn w:val="1"/>
    <w:qFormat/>
    <w:uiPriority w:val="0"/>
    <w:pPr>
      <w:ind w:firstLine="200"/>
      <w:outlineLvl w:val="2"/>
    </w:pPr>
    <w:rPr>
      <w:rFonts w:hAnsi="Calibri" w:eastAsia="楷体_GB2312" w:cs="Arial"/>
      <w:b/>
      <w:bCs/>
      <w:sz w:val="32"/>
      <w:szCs w:val="32"/>
    </w:rPr>
  </w:style>
  <w:style w:type="paragraph" w:customStyle="1" w:styleId="49">
    <w:name w:val="Z1"/>
    <w:basedOn w:val="47"/>
    <w:qFormat/>
    <w:uiPriority w:val="0"/>
    <w:pPr>
      <w:ind w:firstLine="200"/>
    </w:pPr>
    <w:rPr>
      <w:rFonts w:hAnsi="华文中宋" w:cs="Arial"/>
    </w:rPr>
  </w:style>
  <w:style w:type="character" w:customStyle="1" w:styleId="50">
    <w:name w:val="标题-表 字符"/>
    <w:link w:val="51"/>
    <w:qFormat/>
    <w:uiPriority w:val="0"/>
    <w:rPr>
      <w:rFonts w:ascii="Times New Roman" w:hAnsi="Times New Roman" w:eastAsia="仿宋" w:cs="Times New Roman"/>
      <w:b/>
      <w:color w:val="000000"/>
      <w:szCs w:val="23"/>
    </w:rPr>
  </w:style>
  <w:style w:type="paragraph" w:customStyle="1" w:styleId="51">
    <w:name w:val="标题-表"/>
    <w:basedOn w:val="7"/>
    <w:link w:val="50"/>
    <w:qFormat/>
    <w:uiPriority w:val="0"/>
    <w:pPr>
      <w:adjustRightInd/>
      <w:spacing w:before="50" w:beforeLines="50" w:line="240" w:lineRule="auto"/>
      <w:ind w:firstLine="0" w:firstLineChars="0"/>
      <w:jc w:val="center"/>
    </w:pPr>
    <w:rPr>
      <w:rFonts w:ascii="Times New Roman" w:hAnsi="Times New Roman" w:eastAsia="仿宋" w:cs="Times New Roman"/>
      <w:b/>
      <w:color w:val="000000"/>
      <w:sz w:val="21"/>
      <w:szCs w:val="23"/>
    </w:rPr>
  </w:style>
  <w:style w:type="paragraph" w:customStyle="1" w:styleId="52">
    <w:name w:val="表格式"/>
    <w:basedOn w:val="1"/>
    <w:qFormat/>
    <w:uiPriority w:val="0"/>
    <w:pPr>
      <w:jc w:val="center"/>
    </w:pPr>
    <w:rPr>
      <w:rFonts w:ascii="Times New Roman" w:hAnsi="Times New Roman" w:eastAsia="仿宋" w:cs="Microsoft JhengHei"/>
      <w:bCs/>
      <w:color w:val="000000"/>
      <w:kern w:val="0"/>
      <w:szCs w:val="28"/>
    </w:rPr>
  </w:style>
  <w:style w:type="character" w:customStyle="1" w:styleId="53">
    <w:name w:val="标题-图 字符"/>
    <w:link w:val="54"/>
    <w:qFormat/>
    <w:uiPriority w:val="0"/>
    <w:rPr>
      <w:rFonts w:ascii="Times New Roman" w:hAnsi="Times New Roman" w:eastAsia="仿宋" w:cs="Times New Roman"/>
      <w:b/>
      <w:color w:val="000000"/>
      <w:szCs w:val="21"/>
    </w:rPr>
  </w:style>
  <w:style w:type="paragraph" w:customStyle="1" w:styleId="54">
    <w:name w:val="标题-图"/>
    <w:basedOn w:val="7"/>
    <w:link w:val="53"/>
    <w:qFormat/>
    <w:uiPriority w:val="0"/>
    <w:pPr>
      <w:adjustRightInd/>
      <w:spacing w:after="156" w:afterLines="50" w:line="240" w:lineRule="auto"/>
      <w:ind w:firstLine="0" w:firstLineChars="0"/>
      <w:jc w:val="center"/>
    </w:pPr>
    <w:rPr>
      <w:rFonts w:ascii="Times New Roman" w:hAnsi="Times New Roman" w:eastAsia="仿宋" w:cs="Times New Roman"/>
      <w:b/>
      <w:color w:val="000000"/>
      <w:sz w:val="21"/>
      <w:szCs w:val="21"/>
    </w:rPr>
  </w:style>
  <w:style w:type="character" w:customStyle="1" w:styleId="55">
    <w:name w:val="正文文本 字符"/>
    <w:basedOn w:val="25"/>
    <w:link w:val="11"/>
    <w:qFormat/>
    <w:uiPriority w:val="99"/>
    <w:rPr>
      <w:rFonts w:ascii="仿宋_GB2312" w:hAnsi="Times New Roman" w:eastAsia="仿宋_GB2312" w:cs="仿宋_GB2312"/>
      <w:kern w:val="0"/>
      <w:sz w:val="32"/>
      <w:szCs w:val="32"/>
    </w:rPr>
  </w:style>
  <w:style w:type="character" w:customStyle="1" w:styleId="56">
    <w:name w:val="批注文字 字符"/>
    <w:basedOn w:val="25"/>
    <w:link w:val="9"/>
    <w:qFormat/>
    <w:uiPriority w:val="99"/>
    <w:rPr>
      <w:rFonts w:ascii="Calibri" w:hAnsi="Calibri" w:eastAsia="宋体" w:cs="Times New Roman"/>
    </w:rPr>
  </w:style>
  <w:style w:type="character" w:customStyle="1" w:styleId="57">
    <w:name w:val="标题 字符"/>
    <w:basedOn w:val="25"/>
    <w:link w:val="21"/>
    <w:qFormat/>
    <w:uiPriority w:val="10"/>
    <w:rPr>
      <w:rFonts w:eastAsia="宋体" w:asciiTheme="majorHAnsi" w:hAnsiTheme="majorHAnsi" w:cstheme="majorBidi"/>
      <w:b/>
      <w:bCs/>
      <w:sz w:val="32"/>
      <w:szCs w:val="32"/>
    </w:rPr>
  </w:style>
  <w:style w:type="character" w:customStyle="1" w:styleId="58">
    <w:name w:val="文档结构图 字符"/>
    <w:basedOn w:val="25"/>
    <w:link w:val="8"/>
    <w:semiHidden/>
    <w:qFormat/>
    <w:uiPriority w:val="99"/>
    <w:rPr>
      <w:rFonts w:ascii="宋体" w:eastAsia="宋体"/>
      <w:sz w:val="18"/>
      <w:szCs w:val="18"/>
    </w:rPr>
  </w:style>
  <w:style w:type="paragraph" w:customStyle="1" w:styleId="59">
    <w:name w:val="标题 11"/>
    <w:basedOn w:val="1"/>
    <w:qFormat/>
    <w:uiPriority w:val="1"/>
    <w:pPr>
      <w:autoSpaceDE w:val="0"/>
      <w:autoSpaceDN w:val="0"/>
      <w:spacing w:before="47"/>
      <w:ind w:left="760"/>
      <w:jc w:val="left"/>
      <w:outlineLvl w:val="0"/>
    </w:pPr>
    <w:rPr>
      <w:rFonts w:ascii="楷体_GB2312" w:hAnsi="Times New Roman" w:eastAsia="楷体_GB2312" w:cs="楷体_GB2312"/>
      <w:b/>
      <w:bCs/>
      <w:kern w:val="0"/>
      <w:sz w:val="32"/>
      <w:szCs w:val="32"/>
    </w:rPr>
  </w:style>
  <w:style w:type="character" w:customStyle="1" w:styleId="60">
    <w:name w:val="批注主题 字符"/>
    <w:basedOn w:val="56"/>
    <w:link w:val="22"/>
    <w:semiHidden/>
    <w:qFormat/>
    <w:uiPriority w:val="99"/>
    <w:rPr>
      <w:rFonts w:ascii="Calibri" w:hAnsi="Calibri" w:eastAsia="宋体" w:cs="Times New Roman"/>
      <w:b/>
      <w:bCs/>
    </w:rPr>
  </w:style>
  <w:style w:type="paragraph" w:customStyle="1" w:styleId="61">
    <w:name w:val="样式1"/>
    <w:basedOn w:val="1"/>
    <w:qFormat/>
    <w:uiPriority w:val="0"/>
    <w:pPr>
      <w:jc w:val="center"/>
      <w:outlineLvl w:val="0"/>
    </w:pPr>
    <w:rPr>
      <w:rFonts w:ascii="黑体" w:hAnsi="黑体" w:eastAsia="华文中宋" w:cs="Arial"/>
      <w:b/>
      <w:sz w:val="44"/>
      <w:szCs w:val="32"/>
    </w:rPr>
  </w:style>
  <w:style w:type="paragraph" w:customStyle="1" w:styleId="62">
    <w:name w:val="TOC 标题1"/>
    <w:basedOn w:val="3"/>
    <w:next w:val="1"/>
    <w:unhideWhenUsed/>
    <w:qFormat/>
    <w:uiPriority w:val="39"/>
    <w:pPr>
      <w:widowControl/>
      <w:adjustRightInd/>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63">
    <w:name w:val="修订1"/>
    <w:hidden/>
    <w:semiHidden/>
    <w:qFormat/>
    <w:uiPriority w:val="99"/>
    <w:rPr>
      <w:rFonts w:ascii="仿宋_GB2312" w:hAnsi="宋体" w:eastAsia="仿宋_GB2312" w:cstheme="minorBidi"/>
      <w:kern w:val="2"/>
      <w:sz w:val="28"/>
      <w:szCs w:val="22"/>
      <w:lang w:val="en-US" w:eastAsia="zh-CN" w:bidi="ar-SA"/>
    </w:rPr>
  </w:style>
  <w:style w:type="paragraph" w:customStyle="1" w:styleId="64">
    <w:name w:val="05表内文字"/>
    <w:qFormat/>
    <w:uiPriority w:val="0"/>
    <w:pPr>
      <w:adjustRightInd w:val="0"/>
      <w:snapToGrid w:val="0"/>
      <w:jc w:val="center"/>
    </w:pPr>
    <w:rPr>
      <w:rFonts w:ascii="仿宋" w:hAnsi="仿宋" w:eastAsia="仿宋" w:cs="Times New Roman"/>
      <w:kern w:val="2"/>
      <w:sz w:val="24"/>
      <w:szCs w:val="28"/>
      <w:lang w:val="en-US" w:eastAsia="zh-CN" w:bidi="ar-SA"/>
    </w:rPr>
  </w:style>
  <w:style w:type="paragraph" w:customStyle="1" w:styleId="65">
    <w:name w:val="0正文"/>
    <w:qFormat/>
    <w:uiPriority w:val="0"/>
    <w:pPr>
      <w:spacing w:line="360" w:lineRule="auto"/>
      <w:ind w:firstLine="200" w:firstLineChars="200"/>
    </w:pPr>
    <w:rPr>
      <w:rFonts w:ascii="宋体" w:hAnsi="宋体" w:eastAsia="仿宋" w:cs="Arial"/>
      <w:bCs/>
      <w:kern w:val="2"/>
      <w:sz w:val="32"/>
      <w:szCs w:val="32"/>
      <w:lang w:val="en-US" w:eastAsia="zh-CN" w:bidi="ar-SA"/>
    </w:rPr>
  </w:style>
  <w:style w:type="paragraph" w:customStyle="1" w:styleId="66">
    <w:name w:val="02T"/>
    <w:qFormat/>
    <w:uiPriority w:val="0"/>
    <w:pPr>
      <w:numPr>
        <w:ilvl w:val="1"/>
        <w:numId w:val="1"/>
      </w:numPr>
      <w:spacing w:before="190" w:beforeLines="50" w:after="190" w:afterLines="50" w:line="360" w:lineRule="auto"/>
      <w:jc w:val="center"/>
      <w:outlineLvl w:val="1"/>
    </w:pPr>
    <w:rPr>
      <w:rFonts w:ascii="楷体_GB2312" w:hAnsi="华文中宋" w:eastAsia="黑体" w:cs="Arial"/>
      <w:b/>
      <w:bCs/>
      <w:kern w:val="2"/>
      <w:sz w:val="32"/>
      <w:szCs w:val="32"/>
      <w:lang w:val="en-US" w:eastAsia="zh-CN" w:bidi="ar-SA"/>
    </w:rPr>
  </w:style>
  <w:style w:type="paragraph" w:customStyle="1" w:styleId="67">
    <w:name w:val="01T"/>
    <w:qFormat/>
    <w:uiPriority w:val="0"/>
    <w:pPr>
      <w:jc w:val="both"/>
      <w:outlineLvl w:val="0"/>
    </w:pPr>
    <w:rPr>
      <w:rFonts w:ascii="黑体" w:hAnsi="黑体" w:eastAsia="黑体" w:cs="Times New Roman"/>
      <w:kern w:val="2"/>
      <w:sz w:val="32"/>
      <w:szCs w:val="32"/>
      <w:lang w:val="en-US" w:eastAsia="zh-CN" w:bidi="ar-SA"/>
    </w:rPr>
  </w:style>
  <w:style w:type="paragraph" w:customStyle="1" w:styleId="68">
    <w:name w:val="07"/>
    <w:qFormat/>
    <w:uiPriority w:val="0"/>
    <w:pPr>
      <w:spacing w:before="312" w:after="312"/>
      <w:ind w:firstLine="643" w:firstLineChars="200"/>
    </w:pPr>
    <w:rPr>
      <w:rFonts w:ascii="楷体_GB2312" w:hAnsi="华文中宋" w:eastAsia="楷体" w:cs="Arial"/>
      <w:b/>
      <w:bCs/>
      <w:kern w:val="2"/>
      <w:sz w:val="32"/>
      <w:szCs w:val="32"/>
      <w:lang w:val="en-US" w:eastAsia="zh-CN" w:bidi="ar-SA"/>
    </w:rPr>
  </w:style>
  <w:style w:type="paragraph" w:customStyle="1" w:styleId="69">
    <w:name w:val="06"/>
    <w:qFormat/>
    <w:uiPriority w:val="0"/>
    <w:pPr>
      <w:spacing w:before="312" w:after="312"/>
      <w:ind w:firstLine="643" w:firstLineChars="200"/>
    </w:pPr>
    <w:rPr>
      <w:rFonts w:ascii="黑体" w:hAnsi="黑体" w:eastAsia="黑体" w:cs="Arial"/>
      <w:b/>
      <w:kern w:val="2"/>
      <w:sz w:val="32"/>
      <w:szCs w:val="32"/>
      <w:lang w:val="en-US" w:eastAsia="zh-CN" w:bidi="ar-SA"/>
    </w:rPr>
  </w:style>
  <w:style w:type="paragraph" w:customStyle="1" w:styleId="70">
    <w:name w:val="04表头"/>
    <w:qFormat/>
    <w:uiPriority w:val="0"/>
    <w:pPr>
      <w:tabs>
        <w:tab w:val="left" w:pos="967"/>
      </w:tabs>
      <w:spacing w:before="156" w:beforeLines="50" w:after="156" w:afterLines="50" w:line="360" w:lineRule="auto"/>
      <w:jc w:val="center"/>
    </w:pPr>
    <w:rPr>
      <w:rFonts w:ascii="仿宋_GB2312" w:hAnsi="Times New Roman" w:eastAsia="仿宋_GB2312" w:cs="Times New Roman"/>
      <w:b/>
      <w:bCs/>
      <w:kern w:val="2"/>
      <w:sz w:val="32"/>
      <w:szCs w:val="32"/>
      <w:lang w:val="en-US" w:eastAsia="zh-CN" w:bidi="ar-SA"/>
    </w:rPr>
  </w:style>
  <w:style w:type="character" w:customStyle="1" w:styleId="71">
    <w:name w:val="脚注文本 字符"/>
    <w:basedOn w:val="25"/>
    <w:link w:val="19"/>
    <w:qFormat/>
    <w:uiPriority w:val="0"/>
    <w:rPr>
      <w:rFonts w:eastAsia="仿宋" w:cs="Arial"/>
      <w:kern w:val="2"/>
      <w:sz w:val="18"/>
      <w:szCs w:val="18"/>
    </w:rPr>
  </w:style>
  <w:style w:type="character" w:styleId="72">
    <w:name w:val="Placeholder Text"/>
    <w:basedOn w:val="25"/>
    <w:unhideWhenUsed/>
    <w:qFormat/>
    <w:uiPriority w:val="99"/>
    <w:rPr>
      <w:color w:val="808080"/>
    </w:rPr>
  </w:style>
  <w:style w:type="character" w:customStyle="1" w:styleId="73">
    <w:name w:val="尾注文本 字符"/>
    <w:basedOn w:val="25"/>
    <w:link w:val="14"/>
    <w:semiHidden/>
    <w:qFormat/>
    <w:uiPriority w:val="99"/>
    <w:rPr>
      <w:rFonts w:ascii="仿宋_GB2312" w:hAnsi="宋体" w:eastAsia="仿宋_GB2312" w:cstheme="minorBidi"/>
      <w:kern w:val="2"/>
      <w:sz w:val="28"/>
      <w:szCs w:val="22"/>
    </w:rPr>
  </w:style>
  <w:style w:type="paragraph" w:customStyle="1" w:styleId="74">
    <w:name w:val="05章节标题"/>
    <w:qFormat/>
    <w:uiPriority w:val="0"/>
    <w:pPr>
      <w:spacing w:before="200" w:after="200" w:line="360" w:lineRule="auto"/>
      <w:jc w:val="center"/>
      <w:outlineLvl w:val="0"/>
    </w:pPr>
    <w:rPr>
      <w:rFonts w:ascii="黑体" w:hAnsi="黑体" w:eastAsia="黑体" w:cs="Arial"/>
      <w:kern w:val="2"/>
      <w:sz w:val="32"/>
      <w:szCs w:val="32"/>
      <w:lang w:val="en-US" w:eastAsia="zh-CN" w:bidi="ar-SA"/>
    </w:rPr>
  </w:style>
  <w:style w:type="paragraph" w:customStyle="1" w:styleId="75">
    <w:name w:val="06小节标题"/>
    <w:qFormat/>
    <w:uiPriority w:val="0"/>
    <w:pPr>
      <w:spacing w:before="468" w:after="468" w:line="360" w:lineRule="auto"/>
      <w:jc w:val="center"/>
      <w:outlineLvl w:val="1"/>
    </w:pPr>
    <w:rPr>
      <w:rFonts w:ascii="仿宋_GB2312" w:hAnsi="宋体" w:eastAsia="楷体" w:cs="Arial"/>
      <w:b/>
      <w:bCs/>
      <w:kern w:val="2"/>
      <w:sz w:val="32"/>
      <w:szCs w:val="32"/>
      <w:lang w:val="en-US" w:eastAsia="zh-CN" w:bidi="ar-SA"/>
    </w:rPr>
  </w:style>
  <w:style w:type="paragraph" w:customStyle="1" w:styleId="76">
    <w:name w:val="07正文"/>
    <w:next w:val="13"/>
    <w:qFormat/>
    <w:uiPriority w:val="0"/>
    <w:pPr>
      <w:spacing w:line="360" w:lineRule="auto"/>
      <w:ind w:firstLine="200" w:firstLineChars="200"/>
    </w:pPr>
    <w:rPr>
      <w:rFonts w:ascii="仿宋_GB2312" w:hAnsi="Times New Roman" w:eastAsia="仿宋_GB2312" w:cs="Arial"/>
      <w:bCs/>
      <w:kern w:val="2"/>
      <w:sz w:val="32"/>
      <w:szCs w:val="32"/>
      <w:lang w:val="en-US" w:eastAsia="zh-CN" w:bidi="ar-SA"/>
    </w:rPr>
  </w:style>
  <w:style w:type="paragraph" w:customStyle="1" w:styleId="77">
    <w:name w:val="00大标题"/>
    <w:next w:val="12"/>
    <w:qFormat/>
    <w:uiPriority w:val="0"/>
    <w:pPr>
      <w:snapToGrid w:val="0"/>
      <w:jc w:val="center"/>
    </w:pPr>
    <w:rPr>
      <w:rFonts w:ascii="华文中宋" w:hAnsi="Times New Roman" w:eastAsia="华文中宋" w:cs="Arial"/>
      <w:b/>
      <w:bCs/>
      <w:kern w:val="2"/>
      <w:sz w:val="52"/>
      <w:szCs w:val="52"/>
      <w:lang w:val="en-US" w:eastAsia="zh-CN" w:bidi="ar-SA"/>
    </w:rPr>
  </w:style>
  <w:style w:type="paragraph" w:customStyle="1" w:styleId="78">
    <w:name w:val="02日期"/>
    <w:next w:val="10"/>
    <w:qFormat/>
    <w:uiPriority w:val="0"/>
    <w:pPr>
      <w:widowControl w:val="0"/>
      <w:snapToGrid w:val="0"/>
      <w:spacing w:line="360" w:lineRule="auto"/>
      <w:jc w:val="center"/>
    </w:pPr>
    <w:rPr>
      <w:rFonts w:ascii="华文中宋" w:hAnsi="华文中宋" w:eastAsia="黑体" w:cs="Arial"/>
      <w:b/>
      <w:bCs/>
      <w:kern w:val="2"/>
      <w:sz w:val="36"/>
      <w:szCs w:val="52"/>
      <w:lang w:val="en-US" w:eastAsia="zh-CN" w:bidi="ar-SA"/>
    </w:rPr>
  </w:style>
  <w:style w:type="paragraph" w:customStyle="1" w:styleId="79">
    <w:name w:val="Default"/>
    <w:qFormat/>
    <w:uiPriority w:val="0"/>
    <w:pPr>
      <w:widowControl w:val="0"/>
      <w:autoSpaceDE w:val="0"/>
      <w:autoSpaceDN w:val="0"/>
      <w:adjustRightInd w:val="0"/>
    </w:pPr>
    <w:rPr>
      <w:rFonts w:ascii="华文中宋" w:hAnsi="华文中宋" w:eastAsia="宋体" w:cs="华文中宋"/>
      <w:color w:val="000000"/>
      <w:sz w:val="24"/>
      <w:szCs w:val="24"/>
      <w:lang w:val="en-US" w:eastAsia="zh-CN" w:bidi="ar-SA"/>
    </w:rPr>
  </w:style>
  <w:style w:type="paragraph" w:customStyle="1" w:styleId="80">
    <w:name w:val="c1表标题"/>
    <w:basedOn w:val="1"/>
    <w:qFormat/>
    <w:uiPriority w:val="0"/>
    <w:pPr>
      <w:adjustRightInd/>
      <w:ind w:firstLine="0" w:firstLineChars="0"/>
      <w:jc w:val="center"/>
      <w:outlineLvl w:val="3"/>
    </w:pPr>
    <w:rPr>
      <w:rFonts w:hAnsi="华文中宋" w:cs="Arial"/>
      <w:b/>
      <w:bCs/>
      <w:sz w:val="32"/>
      <w:szCs w:val="32"/>
    </w:rPr>
  </w:style>
  <w:style w:type="character" w:customStyle="1" w:styleId="81">
    <w:name w:val="font21"/>
    <w:basedOn w:val="25"/>
    <w:qFormat/>
    <w:uiPriority w:val="0"/>
    <w:rPr>
      <w:rFonts w:hint="eastAsia" w:ascii="宋体" w:hAnsi="宋体" w:eastAsia="宋体" w:cs="宋体"/>
      <w:color w:val="000000"/>
      <w:sz w:val="20"/>
      <w:szCs w:val="20"/>
      <w:u w:val="none"/>
    </w:rPr>
  </w:style>
  <w:style w:type="character" w:customStyle="1" w:styleId="82">
    <w:name w:val="font31"/>
    <w:basedOn w:val="25"/>
    <w:qFormat/>
    <w:uiPriority w:val="0"/>
    <w:rPr>
      <w:rFonts w:ascii="宋体" w:hAnsi="宋体" w:eastAsia="宋体" w:cs="宋体"/>
      <w:color w:val="000000"/>
      <w:sz w:val="20"/>
      <w:szCs w:val="20"/>
      <w:u w:val="none"/>
    </w:rPr>
  </w:style>
  <w:style w:type="paragraph" w:customStyle="1" w:styleId="83">
    <w:name w:val="Table Paragraph"/>
    <w:basedOn w:val="1"/>
    <w:qFormat/>
    <w:uiPriority w:val="1"/>
    <w:pPr>
      <w:adjustRightInd/>
      <w:snapToGrid/>
      <w:spacing w:line="240" w:lineRule="auto"/>
      <w:ind w:firstLine="0" w:firstLineChars="0"/>
      <w:jc w:val="left"/>
    </w:pPr>
    <w:rPr>
      <w:rFonts w:ascii="Calibri" w:hAnsi="Calibri" w:eastAsia="宋体" w:cs="Times New Roman"/>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AB47B-732F-4375-80B4-6138B64AB07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7271</Words>
  <Characters>7369</Characters>
  <Lines>183</Lines>
  <Paragraphs>51</Paragraphs>
  <TotalTime>7</TotalTime>
  <ScaleCrop>false</ScaleCrop>
  <LinksUpToDate>false</LinksUpToDate>
  <CharactersWithSpaces>7467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2021-11-17T07:30:00Z</dcterms:created>
  <dc:creator>nel</dc:creator>
  <cp:lastModifiedBy>٩棕榈</cp:lastModifiedBy>
  <cp:lastPrinted>2021-10-29T13:10:00Z</cp:lastPrinted>
  <dcterms:modified xsi:type="dcterms:W3CDTF">2022-11-16T08:54:30Z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40187F9809974582AC96680F6F9DDF8D</vt:lpwstr>
  </property>
</Properties>
</file>