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color w:val="auto"/>
          <w:lang w:val="en-US"/>
        </w:rPr>
      </w:pPr>
    </w:p>
    <w:p>
      <w:pPr>
        <w:pStyle w:val="13"/>
        <w:rPr>
          <w:rFonts w:hint="eastAsia"/>
          <w:color w:val="auto"/>
          <w:lang w:val="en-US"/>
        </w:rPr>
      </w:pPr>
    </w:p>
    <w:p>
      <w:pPr>
        <w:pStyle w:val="13"/>
        <w:rPr>
          <w:color w:val="auto"/>
        </w:rPr>
      </w:pPr>
    </w:p>
    <w:p>
      <w:pPr>
        <w:pStyle w:val="13"/>
        <w:rPr>
          <w:color w:val="auto"/>
        </w:rPr>
      </w:pPr>
    </w:p>
    <w:p>
      <w:pPr>
        <w:ind w:firstLine="0" w:firstLineChars="0"/>
        <w:jc w:val="center"/>
        <w:outlineLvl w:val="0"/>
        <w:rPr>
          <w:bCs/>
          <w:sz w:val="72"/>
          <w:szCs w:val="72"/>
        </w:rPr>
      </w:pPr>
      <w:r>
        <w:rPr>
          <w:bCs/>
          <w:sz w:val="72"/>
          <w:szCs w:val="72"/>
        </w:rPr>
        <w:t>建设项目环境影响报告表</w:t>
      </w:r>
    </w:p>
    <w:p>
      <w:pPr>
        <w:ind w:firstLine="0" w:firstLineChars="0"/>
        <w:jc w:val="center"/>
        <w:rPr>
          <w:rFonts w:eastAsia="楷体_GB2312"/>
          <w:bCs/>
          <w:sz w:val="48"/>
          <w:szCs w:val="48"/>
        </w:rPr>
      </w:pPr>
      <w:r>
        <w:rPr>
          <w:rFonts w:eastAsia="楷体_GB2312"/>
          <w:bCs/>
          <w:sz w:val="48"/>
          <w:szCs w:val="48"/>
        </w:rPr>
        <w:t>（污染影响类）</w:t>
      </w:r>
    </w:p>
    <w:p>
      <w:pPr>
        <w:ind w:firstLine="1040"/>
        <w:jc w:val="center"/>
        <w:rPr>
          <w:rFonts w:eastAsia="仿宋"/>
          <w:sz w:val="52"/>
          <w:szCs w:val="52"/>
        </w:rPr>
      </w:pPr>
    </w:p>
    <w:p>
      <w:pPr>
        <w:ind w:firstLine="880"/>
        <w:rPr>
          <w:rFonts w:eastAsia="仿宋"/>
          <w:sz w:val="44"/>
          <w:szCs w:val="44"/>
        </w:rPr>
      </w:pPr>
    </w:p>
    <w:p>
      <w:pPr>
        <w:pStyle w:val="2"/>
      </w:pPr>
    </w:p>
    <w:p>
      <w:pPr>
        <w:spacing w:line="480" w:lineRule="auto"/>
        <w:ind w:left="2520" w:leftChars="300" w:hanging="1800" w:hangingChars="500"/>
        <w:rPr>
          <w:rFonts w:hint="default" w:eastAsia="宋体"/>
          <w:sz w:val="36"/>
          <w:szCs w:val="36"/>
          <w:u w:val="single"/>
          <w:lang w:val="en-US" w:eastAsia="zh-CN"/>
        </w:rPr>
      </w:pPr>
      <w:r>
        <w:rPr>
          <w:sz w:val="36"/>
          <w:szCs w:val="36"/>
        </w:rPr>
        <w:t>项目名称：</w:t>
      </w:r>
      <w:r>
        <w:rPr>
          <w:rFonts w:hint="eastAsia"/>
          <w:sz w:val="36"/>
          <w:szCs w:val="36"/>
          <w:u w:val="single"/>
          <w:lang w:val="en-US" w:eastAsia="zh-CN"/>
        </w:rPr>
        <w:t>百胜片</w:t>
      </w:r>
      <w:r>
        <w:rPr>
          <w:rFonts w:hint="eastAsia"/>
          <w:color w:val="auto"/>
          <w:sz w:val="36"/>
          <w:szCs w:val="36"/>
          <w:u w:val="single"/>
          <w:lang w:val="en-US" w:eastAsia="zh-CN"/>
        </w:rPr>
        <w:t>区22-25号地块场地平整剩余石料加工扩建项</w:t>
      </w:r>
      <w:r>
        <w:rPr>
          <w:rFonts w:hint="eastAsia"/>
          <w:sz w:val="36"/>
          <w:szCs w:val="36"/>
          <w:u w:val="single"/>
          <w:lang w:val="en-US" w:eastAsia="zh-CN"/>
        </w:rPr>
        <w:t>目</w:t>
      </w:r>
    </w:p>
    <w:p>
      <w:pPr>
        <w:spacing w:line="480" w:lineRule="auto"/>
        <w:ind w:firstLine="720"/>
        <w:rPr>
          <w:sz w:val="36"/>
          <w:szCs w:val="36"/>
          <w:u w:val="single"/>
        </w:rPr>
      </w:pPr>
      <w:r>
        <w:rPr>
          <w:sz w:val="36"/>
          <w:szCs w:val="36"/>
        </w:rPr>
        <w:t>建设单位(盖章)：</w:t>
      </w:r>
      <w:r>
        <w:rPr>
          <w:rFonts w:hint="eastAsia"/>
          <w:sz w:val="36"/>
          <w:szCs w:val="36"/>
          <w:u w:val="single"/>
          <w:lang w:val="en-US" w:eastAsia="zh-CN"/>
        </w:rPr>
        <w:t>福建省文誉建设工程</w:t>
      </w:r>
      <w:r>
        <w:rPr>
          <w:sz w:val="36"/>
          <w:szCs w:val="36"/>
          <w:u w:val="single"/>
        </w:rPr>
        <w:t>有限公司</w:t>
      </w:r>
      <w:r>
        <w:rPr>
          <w:rFonts w:hint="eastAsia"/>
          <w:sz w:val="36"/>
          <w:szCs w:val="36"/>
          <w:u w:val="single"/>
        </w:rPr>
        <w:t xml:space="preserve">   </w:t>
      </w:r>
    </w:p>
    <w:p>
      <w:pPr>
        <w:spacing w:line="480" w:lineRule="auto"/>
        <w:ind w:firstLine="720"/>
        <w:rPr>
          <w:rFonts w:eastAsia="仿宋_GB2312"/>
          <w:sz w:val="36"/>
          <w:szCs w:val="36"/>
        </w:rPr>
      </w:pPr>
      <w:r>
        <w:rPr>
          <w:sz w:val="36"/>
          <w:szCs w:val="36"/>
        </w:rPr>
        <w:t>编制日期：</w:t>
      </w:r>
      <w:r>
        <w:rPr>
          <w:sz w:val="36"/>
          <w:szCs w:val="36"/>
          <w:u w:val="single"/>
        </w:rPr>
        <w:t xml:space="preserve">         2022年</w:t>
      </w:r>
      <w:r>
        <w:rPr>
          <w:rFonts w:hint="eastAsia"/>
          <w:sz w:val="36"/>
          <w:szCs w:val="36"/>
          <w:u w:val="single"/>
          <w:lang w:val="en-US" w:eastAsia="zh-CN"/>
        </w:rPr>
        <w:t>12</w:t>
      </w:r>
      <w:r>
        <w:rPr>
          <w:sz w:val="36"/>
          <w:szCs w:val="36"/>
          <w:u w:val="single"/>
        </w:rPr>
        <w:t>月</w:t>
      </w:r>
      <w:r>
        <w:rPr>
          <w:rFonts w:hint="eastAsia"/>
          <w:sz w:val="36"/>
          <w:szCs w:val="36"/>
          <w:u w:val="single"/>
        </w:rPr>
        <w:t xml:space="preserve">           </w:t>
      </w:r>
    </w:p>
    <w:p>
      <w:pPr>
        <w:spacing w:line="288" w:lineRule="auto"/>
        <w:ind w:firstLine="720"/>
        <w:rPr>
          <w:rFonts w:eastAsia="仿宋_GB2312"/>
          <w:sz w:val="36"/>
          <w:szCs w:val="36"/>
        </w:rPr>
      </w:pPr>
    </w:p>
    <w:p>
      <w:pPr>
        <w:pStyle w:val="2"/>
        <w:rPr>
          <w:rFonts w:hint="eastAsia"/>
        </w:rPr>
      </w:pPr>
    </w:p>
    <w:p>
      <w:pPr>
        <w:spacing w:line="288" w:lineRule="auto"/>
        <w:ind w:firstLine="720"/>
        <w:rPr>
          <w:rFonts w:eastAsia="仿宋_GB2312"/>
          <w:sz w:val="36"/>
          <w:szCs w:val="36"/>
        </w:rPr>
      </w:pPr>
    </w:p>
    <w:p>
      <w:pPr>
        <w:spacing w:line="288" w:lineRule="auto"/>
        <w:ind w:firstLine="720"/>
        <w:rPr>
          <w:rFonts w:eastAsia="仿宋_GB2312"/>
          <w:sz w:val="36"/>
          <w:szCs w:val="36"/>
        </w:rPr>
      </w:pPr>
    </w:p>
    <w:p>
      <w:pPr>
        <w:ind w:firstLine="0" w:firstLineChars="0"/>
        <w:jc w:val="center"/>
        <w:rPr>
          <w:rFonts w:hint="eastAsia"/>
          <w:sz w:val="36"/>
          <w:szCs w:val="36"/>
          <w:lang w:val="en-US"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36"/>
          <w:szCs w:val="36"/>
        </w:rPr>
        <w:t>中华人民共和国生态环境</w:t>
      </w:r>
      <w:r>
        <w:rPr>
          <w:rFonts w:hint="eastAsia"/>
          <w:sz w:val="36"/>
          <w:szCs w:val="36"/>
          <w:lang w:val="en-US" w:eastAsia="zh-CN"/>
        </w:rPr>
        <w:t>部制</w:t>
      </w:r>
    </w:p>
    <w:p>
      <w:pPr>
        <w:pStyle w:val="2"/>
        <w:ind w:left="0" w:leftChars="0" w:firstLine="0" w:firstLineChars="0"/>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inline distT="0" distB="0" distL="114300" distR="114300">
            <wp:extent cx="5857875" cy="8286750"/>
            <wp:effectExtent l="0" t="0" r="9525" b="0"/>
            <wp:docPr id="50" name="图片 5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08"/>
                    <pic:cNvPicPr>
                      <a:picLocks noChangeAspect="1"/>
                    </pic:cNvPicPr>
                  </pic:nvPicPr>
                  <pic:blipFill>
                    <a:blip r:embed="rId10"/>
                    <a:stretch>
                      <a:fillRect/>
                    </a:stretch>
                  </pic:blipFill>
                  <pic:spPr>
                    <a:xfrm>
                      <a:off x="0" y="0"/>
                      <a:ext cx="5857875" cy="8286750"/>
                    </a:xfrm>
                    <a:prstGeom prst="rect">
                      <a:avLst/>
                    </a:prstGeom>
                  </pic:spPr>
                </pic:pic>
              </a:graphicData>
            </a:graphic>
          </wp:inline>
        </w:drawing>
      </w:r>
    </w:p>
    <w:p>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inline distT="0" distB="0" distL="114300" distR="114300">
            <wp:extent cx="5267960" cy="7450455"/>
            <wp:effectExtent l="0" t="0" r="8890" b="17145"/>
            <wp:docPr id="60" name="图片 6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006"/>
                    <pic:cNvPicPr>
                      <a:picLocks noChangeAspect="1"/>
                    </pic:cNvPicPr>
                  </pic:nvPicPr>
                  <pic:blipFill>
                    <a:blip r:embed="rId11"/>
                    <a:stretch>
                      <a:fillRect/>
                    </a:stretch>
                  </pic:blipFill>
                  <pic:spPr>
                    <a:xfrm>
                      <a:off x="0" y="0"/>
                      <a:ext cx="5267960" cy="7450455"/>
                    </a:xfrm>
                    <a:prstGeom prst="rect">
                      <a:avLst/>
                    </a:prstGeom>
                  </pic:spPr>
                </pic:pic>
              </a:graphicData>
            </a:graphic>
          </wp:inline>
        </w:drawing>
      </w:r>
    </w:p>
    <w:p>
      <w:pPr>
        <w:pStyle w:val="2"/>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rPr>
        <w:drawing>
          <wp:inline distT="0" distB="0" distL="114300" distR="114300">
            <wp:extent cx="5583555" cy="7970520"/>
            <wp:effectExtent l="0" t="0" r="17145" b="11430"/>
            <wp:docPr id="61" name="图片 6" descr="龙安危险品1-4_页面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龙安危险品1-4_页面_003"/>
                    <pic:cNvPicPr>
                      <a:picLocks noChangeAspect="1"/>
                    </pic:cNvPicPr>
                  </pic:nvPicPr>
                  <pic:blipFill>
                    <a:blip r:embed="rId12"/>
                    <a:srcRect l="11945" t="7335" r="11230" b="14940"/>
                    <a:stretch>
                      <a:fillRect/>
                    </a:stretch>
                  </pic:blipFill>
                  <pic:spPr>
                    <a:xfrm>
                      <a:off x="0" y="0"/>
                      <a:ext cx="5583555" cy="7970520"/>
                    </a:xfrm>
                    <a:prstGeom prst="rect">
                      <a:avLst/>
                    </a:prstGeom>
                    <a:noFill/>
                    <a:ln>
                      <a:noFill/>
                    </a:ln>
                  </pic:spPr>
                </pic:pic>
              </a:graphicData>
            </a:graphic>
          </wp:inline>
        </w:drawing>
      </w:r>
    </w:p>
    <w:p>
      <w:pPr>
        <w:pStyle w:val="14"/>
        <w:rPr>
          <w:snapToGrid w:val="0"/>
        </w:rPr>
      </w:pPr>
      <w:r>
        <w:rPr>
          <w:snapToGrid w:val="0"/>
        </w:rPr>
        <w:t>一、建设项目基本情况</w:t>
      </w:r>
    </w:p>
    <w:tbl>
      <w:tblPr>
        <w:tblStyle w:val="10"/>
        <w:tblW w:w="49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731"/>
        <w:gridCol w:w="1879"/>
        <w:gridCol w:w="1871"/>
        <w:gridCol w:w="28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建设项目名称</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pStyle w:val="15"/>
              <w:jc w:val="center"/>
              <w:rPr>
                <w:color w:val="auto"/>
                <w:sz w:val="24"/>
                <w:szCs w:val="24"/>
              </w:rPr>
            </w:pPr>
            <w:r>
              <w:rPr>
                <w:rFonts w:hint="eastAsia"/>
                <w:color w:val="auto"/>
                <w:sz w:val="24"/>
                <w:szCs w:val="24"/>
                <w:lang w:val="en-US" w:eastAsia="zh-CN"/>
              </w:rPr>
              <w:t>百胜片区22-25号地块场地平整剩余石料</w:t>
            </w:r>
            <w:r>
              <w:rPr>
                <w:color w:val="auto"/>
                <w:sz w:val="24"/>
                <w:szCs w:val="24"/>
              </w:rPr>
              <w:t>加工</w:t>
            </w:r>
            <w:r>
              <w:rPr>
                <w:rFonts w:hint="eastAsia"/>
                <w:color w:val="auto"/>
                <w:sz w:val="24"/>
                <w:szCs w:val="24"/>
                <w:lang w:val="en-US" w:eastAsia="zh-CN"/>
              </w:rPr>
              <w:t>扩建</w:t>
            </w:r>
            <w:r>
              <w:rPr>
                <w:color w:val="auto"/>
                <w:sz w:val="24"/>
                <w:szCs w:val="24"/>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项目代码</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pStyle w:val="15"/>
              <w:rPr>
                <w:rFonts w:hint="default" w:eastAsia="宋体"/>
                <w:color w:val="auto"/>
                <w:sz w:val="24"/>
                <w:szCs w:val="24"/>
                <w:lang w:val="en-US" w:eastAsia="zh-CN"/>
              </w:rPr>
            </w:pPr>
            <w:r>
              <w:rPr>
                <w:rFonts w:hint="eastAsia"/>
                <w:color w:val="auto"/>
                <w:sz w:val="24"/>
                <w:szCs w:val="24"/>
                <w:lang w:val="en-US" w:eastAsia="zh-CN"/>
              </w:rPr>
              <w:t>2212-350982-04-05-814353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731" w:type="dxa"/>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5"/>
              <w:ind w:firstLine="0" w:firstLineChars="0"/>
              <w:rPr>
                <w:color w:val="auto"/>
                <w:sz w:val="24"/>
                <w:szCs w:val="24"/>
              </w:rPr>
            </w:pPr>
            <w:r>
              <w:rPr>
                <w:color w:val="auto"/>
                <w:sz w:val="24"/>
                <w:szCs w:val="24"/>
              </w:rPr>
              <w:t>建设单位联系人</w:t>
            </w:r>
          </w:p>
        </w:tc>
        <w:tc>
          <w:tcPr>
            <w:tcW w:w="1879" w:type="dxa"/>
            <w:tcBorders>
              <w:top w:val="single" w:color="auto" w:sz="4" w:space="0"/>
              <w:bottom w:val="single" w:color="auto" w:sz="4" w:space="0"/>
            </w:tcBorders>
            <w:noWrap w:val="0"/>
            <w:vAlign w:val="center"/>
          </w:tcPr>
          <w:p>
            <w:pPr>
              <w:pStyle w:val="15"/>
              <w:ind w:firstLine="0" w:firstLineChars="0"/>
              <w:rPr>
                <w:rFonts w:hint="default" w:eastAsia="宋体"/>
                <w:color w:val="auto"/>
                <w:sz w:val="24"/>
                <w:szCs w:val="24"/>
                <w:lang w:val="en-US" w:eastAsia="zh-CN"/>
              </w:rPr>
            </w:pPr>
            <w:r>
              <w:rPr>
                <w:color w:val="auto"/>
                <w:sz w:val="24"/>
                <w:szCs w:val="24"/>
              </w:rPr>
              <w:t>郑加文</w:t>
            </w:r>
          </w:p>
        </w:tc>
        <w:tc>
          <w:tcPr>
            <w:tcW w:w="1599" w:type="dxa"/>
            <w:tcBorders>
              <w:top w:val="single" w:color="auto" w:sz="4" w:space="0"/>
              <w:bottom w:val="single" w:color="auto" w:sz="4" w:space="0"/>
            </w:tcBorders>
            <w:noWrap w:val="0"/>
            <w:vAlign w:val="center"/>
          </w:tcPr>
          <w:p>
            <w:pPr>
              <w:pStyle w:val="15"/>
              <w:ind w:firstLine="0" w:firstLineChars="0"/>
              <w:rPr>
                <w:color w:val="auto"/>
                <w:sz w:val="24"/>
                <w:szCs w:val="24"/>
              </w:rPr>
            </w:pPr>
            <w:r>
              <w:rPr>
                <w:color w:val="auto"/>
                <w:sz w:val="24"/>
                <w:szCs w:val="24"/>
              </w:rPr>
              <w:t>联系方式</w:t>
            </w:r>
          </w:p>
        </w:tc>
        <w:tc>
          <w:tcPr>
            <w:tcW w:w="3129" w:type="dxa"/>
            <w:tcBorders>
              <w:top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sz w:val="24"/>
                <w:szCs w:val="24"/>
                <w:lang w:val="en-US" w:eastAsia="zh-CN"/>
              </w:rPr>
            </w:pPr>
            <w:r>
              <w:rPr>
                <w:color w:val="auto"/>
                <w:sz w:val="24"/>
                <w:szCs w:val="24"/>
              </w:rPr>
              <w:t>15711504822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建设地点</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pStyle w:val="15"/>
              <w:rPr>
                <w:rFonts w:hint="default" w:eastAsia="宋体"/>
                <w:color w:val="auto"/>
                <w:sz w:val="24"/>
                <w:szCs w:val="24"/>
                <w:lang w:val="en-US" w:eastAsia="zh-CN"/>
              </w:rPr>
            </w:pPr>
            <w:r>
              <w:rPr>
                <w:rFonts w:hint="eastAsia"/>
                <w:color w:val="auto"/>
                <w:sz w:val="24"/>
                <w:szCs w:val="24"/>
                <w:lang w:val="en-US" w:eastAsia="zh-CN"/>
              </w:rPr>
              <w:t>福建省宁德市福鼎市双岳片区百叶岚山东侧地块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right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地理坐标</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pStyle w:val="15"/>
              <w:rPr>
                <w:color w:val="auto"/>
                <w:sz w:val="24"/>
                <w:szCs w:val="24"/>
              </w:rPr>
            </w:pPr>
            <w:r>
              <w:rPr>
                <w:rFonts w:hint="eastAsia"/>
                <w:color w:val="auto"/>
                <w:sz w:val="24"/>
                <w:szCs w:val="24"/>
                <w:highlight w:val="none"/>
                <w:u w:val="none"/>
                <w:lang w:val="en-US" w:eastAsia="zh-CN"/>
              </w:rPr>
              <w:t xml:space="preserve">E </w:t>
            </w:r>
            <w:r>
              <w:rPr>
                <w:color w:val="auto"/>
                <w:sz w:val="24"/>
                <w:szCs w:val="24"/>
                <w:highlight w:val="none"/>
                <w:u w:val="none"/>
              </w:rPr>
              <w:t>120</w:t>
            </w:r>
            <w:r>
              <w:rPr>
                <w:rFonts w:hint="eastAsia"/>
                <w:color w:val="auto"/>
                <w:sz w:val="24"/>
                <w:szCs w:val="24"/>
                <w:highlight w:val="none"/>
                <w:u w:val="none"/>
                <w:lang w:val="en-US" w:eastAsia="zh-CN"/>
              </w:rPr>
              <w:t>°</w:t>
            </w:r>
            <w:r>
              <w:rPr>
                <w:color w:val="auto"/>
                <w:sz w:val="24"/>
                <w:szCs w:val="24"/>
                <w:highlight w:val="none"/>
                <w:u w:val="none"/>
              </w:rPr>
              <w:t>1</w:t>
            </w:r>
            <w:r>
              <w:rPr>
                <w:rFonts w:hint="eastAsia"/>
                <w:color w:val="auto"/>
                <w:sz w:val="24"/>
                <w:szCs w:val="24"/>
                <w:highlight w:val="none"/>
                <w:u w:val="none"/>
                <w:lang w:val="en-US" w:eastAsia="zh-CN"/>
              </w:rPr>
              <w:t>6</w:t>
            </w:r>
            <w:r>
              <w:rPr>
                <w:rFonts w:hint="eastAsia"/>
                <w:highlight w:val="none"/>
                <w:u w:val="none"/>
              </w:rPr>
              <w:t>′</w:t>
            </w:r>
            <w:r>
              <w:rPr>
                <w:rFonts w:hint="eastAsia"/>
                <w:color w:val="auto"/>
                <w:sz w:val="24"/>
                <w:szCs w:val="24"/>
                <w:highlight w:val="none"/>
                <w:u w:val="none"/>
                <w:lang w:val="en-US" w:eastAsia="zh-CN"/>
              </w:rPr>
              <w:t>9.944</w:t>
            </w:r>
            <w:r>
              <w:rPr>
                <w:rFonts w:hint="eastAsia"/>
                <w:highlight w:val="none"/>
                <w:u w:val="none"/>
              </w:rPr>
              <w:t>″</w:t>
            </w:r>
            <w:r>
              <w:rPr>
                <w:color w:val="auto"/>
                <w:sz w:val="24"/>
                <w:szCs w:val="24"/>
                <w:highlight w:val="none"/>
                <w:u w:val="none"/>
              </w:rPr>
              <w:t>，</w:t>
            </w:r>
            <w:r>
              <w:rPr>
                <w:rFonts w:hint="eastAsia"/>
                <w:color w:val="auto"/>
                <w:sz w:val="24"/>
                <w:szCs w:val="24"/>
                <w:highlight w:val="none"/>
                <w:u w:val="none"/>
                <w:lang w:val="en-US" w:eastAsia="zh-CN"/>
              </w:rPr>
              <w:t xml:space="preserve">N </w:t>
            </w:r>
            <w:r>
              <w:rPr>
                <w:color w:val="auto"/>
                <w:sz w:val="24"/>
                <w:szCs w:val="24"/>
                <w:highlight w:val="none"/>
                <w:u w:val="none"/>
              </w:rPr>
              <w:t>27</w:t>
            </w:r>
            <w:r>
              <w:rPr>
                <w:rFonts w:hint="eastAsia"/>
                <w:color w:val="auto"/>
                <w:sz w:val="24"/>
                <w:szCs w:val="24"/>
                <w:highlight w:val="none"/>
                <w:u w:val="none"/>
                <w:lang w:val="en-US" w:eastAsia="zh-CN"/>
              </w:rPr>
              <w:t>°</w:t>
            </w:r>
            <w:r>
              <w:rPr>
                <w:color w:val="auto"/>
                <w:sz w:val="24"/>
                <w:szCs w:val="24"/>
                <w:highlight w:val="none"/>
                <w:u w:val="none"/>
              </w:rPr>
              <w:t>1</w:t>
            </w:r>
            <w:r>
              <w:rPr>
                <w:rFonts w:hint="eastAsia"/>
                <w:color w:val="auto"/>
                <w:sz w:val="24"/>
                <w:szCs w:val="24"/>
                <w:highlight w:val="none"/>
                <w:u w:val="none"/>
                <w:lang w:val="en-US" w:eastAsia="zh-CN"/>
              </w:rPr>
              <w:t>7</w:t>
            </w:r>
            <w:r>
              <w:rPr>
                <w:rFonts w:hint="eastAsia"/>
                <w:highlight w:val="none"/>
                <w:u w:val="none"/>
              </w:rPr>
              <w:t>′</w:t>
            </w:r>
            <w:r>
              <w:rPr>
                <w:rFonts w:hint="eastAsia"/>
                <w:color w:val="auto"/>
                <w:sz w:val="24"/>
                <w:szCs w:val="24"/>
                <w:highlight w:val="none"/>
                <w:u w:val="none"/>
                <w:lang w:val="en-US" w:eastAsia="zh-CN"/>
              </w:rPr>
              <w:t>19.412</w:t>
            </w:r>
            <w:r>
              <w:rPr>
                <w:rFonts w:hint="eastAsia"/>
                <w:highlight w:val="none"/>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国民经济</w:t>
            </w:r>
          </w:p>
          <w:p>
            <w:pPr>
              <w:pStyle w:val="15"/>
              <w:rPr>
                <w:color w:val="auto"/>
                <w:sz w:val="24"/>
                <w:szCs w:val="24"/>
              </w:rPr>
            </w:pPr>
            <w:r>
              <w:rPr>
                <w:color w:val="auto"/>
                <w:sz w:val="24"/>
                <w:szCs w:val="24"/>
              </w:rPr>
              <w:t>行业类别</w:t>
            </w:r>
          </w:p>
        </w:tc>
        <w:tc>
          <w:tcPr>
            <w:tcW w:w="1127" w:type="pct"/>
            <w:tcBorders>
              <w:top w:val="single" w:color="auto" w:sz="4" w:space="0"/>
              <w:bottom w:val="single" w:color="auto" w:sz="4" w:space="0"/>
            </w:tcBorders>
            <w:noWrap w:val="0"/>
            <w:vAlign w:val="center"/>
          </w:tcPr>
          <w:p>
            <w:pPr>
              <w:pStyle w:val="15"/>
              <w:rPr>
                <w:color w:val="auto"/>
                <w:sz w:val="24"/>
                <w:szCs w:val="24"/>
              </w:rPr>
            </w:pPr>
            <w:r>
              <w:rPr>
                <w:color w:val="auto"/>
                <w:sz w:val="24"/>
                <w:szCs w:val="24"/>
              </w:rPr>
              <w:t>C3099其他非金属矿物制品制造</w:t>
            </w:r>
          </w:p>
        </w:tc>
        <w:tc>
          <w:tcPr>
            <w:tcW w:w="1122" w:type="pct"/>
            <w:tcBorders>
              <w:top w:val="single" w:color="auto" w:sz="4" w:space="0"/>
              <w:bottom w:val="single" w:color="auto" w:sz="4" w:space="0"/>
            </w:tcBorders>
            <w:noWrap w:val="0"/>
            <w:vAlign w:val="center"/>
          </w:tcPr>
          <w:p>
            <w:pPr>
              <w:pStyle w:val="15"/>
              <w:rPr>
                <w:color w:val="auto"/>
                <w:sz w:val="24"/>
                <w:szCs w:val="24"/>
              </w:rPr>
            </w:pPr>
            <w:bookmarkStart w:id="0" w:name="_Hlk49843745"/>
            <w:r>
              <w:rPr>
                <w:color w:val="auto"/>
                <w:sz w:val="24"/>
                <w:szCs w:val="24"/>
              </w:rPr>
              <w:t>建设项目</w:t>
            </w:r>
          </w:p>
          <w:p>
            <w:pPr>
              <w:pStyle w:val="15"/>
              <w:rPr>
                <w:color w:val="auto"/>
                <w:sz w:val="24"/>
                <w:szCs w:val="24"/>
              </w:rPr>
            </w:pPr>
            <w:r>
              <w:rPr>
                <w:color w:val="auto"/>
                <w:sz w:val="24"/>
                <w:szCs w:val="24"/>
              </w:rPr>
              <w:t>行业类别</w:t>
            </w:r>
            <w:bookmarkEnd w:id="0"/>
          </w:p>
        </w:tc>
        <w:tc>
          <w:tcPr>
            <w:tcW w:w="1713" w:type="pct"/>
            <w:tcBorders>
              <w:top w:val="single" w:color="auto" w:sz="4" w:space="0"/>
              <w:bottom w:val="single" w:color="auto" w:sz="4" w:space="0"/>
              <w:right w:val="single" w:color="auto" w:sz="4" w:space="0"/>
            </w:tcBorders>
            <w:noWrap w:val="0"/>
            <w:vAlign w:val="center"/>
          </w:tcPr>
          <w:p>
            <w:pPr>
              <w:pStyle w:val="15"/>
              <w:rPr>
                <w:color w:val="auto"/>
                <w:sz w:val="24"/>
                <w:szCs w:val="24"/>
              </w:rPr>
            </w:pPr>
            <w:r>
              <w:rPr>
                <w:color w:val="auto"/>
                <w:sz w:val="24"/>
                <w:szCs w:val="24"/>
              </w:rPr>
              <w:t>二十七、非金属矿物制品业30,60耐火材料制品制造308；石墨及其他非金属矿物制品制造309中其他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19"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建设性质</w:t>
            </w:r>
          </w:p>
        </w:tc>
        <w:tc>
          <w:tcPr>
            <w:tcW w:w="1127" w:type="pct"/>
            <w:tcBorders>
              <w:top w:val="single" w:color="auto" w:sz="4" w:space="0"/>
              <w:bottom w:val="single" w:color="auto" w:sz="4" w:space="0"/>
            </w:tcBorders>
            <w:noWrap w:val="0"/>
            <w:vAlign w:val="center"/>
          </w:tcPr>
          <w:p>
            <w:pPr>
              <w:pStyle w:val="15"/>
              <w:jc w:val="both"/>
              <w:rPr>
                <w:color w:val="auto"/>
                <w:sz w:val="24"/>
                <w:szCs w:val="24"/>
              </w:rPr>
            </w:pPr>
            <w:r>
              <w:rPr>
                <w:color w:val="auto"/>
                <w:sz w:val="24"/>
                <w:szCs w:val="24"/>
              </w:rPr>
              <w:t>□新建（迁建）</w:t>
            </w:r>
          </w:p>
          <w:p>
            <w:pPr>
              <w:pStyle w:val="15"/>
              <w:jc w:val="both"/>
              <w:rPr>
                <w:color w:val="auto"/>
                <w:sz w:val="24"/>
                <w:szCs w:val="24"/>
              </w:rPr>
            </w:pPr>
            <w:r>
              <w:rPr>
                <w:color w:val="auto"/>
                <w:sz w:val="24"/>
                <w:szCs w:val="24"/>
              </w:rPr>
              <w:t>□改建</w:t>
            </w:r>
          </w:p>
          <w:p>
            <w:pPr>
              <w:pStyle w:val="15"/>
              <w:jc w:val="both"/>
              <w:rPr>
                <w:color w:val="auto"/>
                <w:sz w:val="24"/>
                <w:szCs w:val="24"/>
              </w:rPr>
            </w:pPr>
            <w:r>
              <w:rPr>
                <w:color w:val="auto"/>
                <w:sz w:val="24"/>
                <w:szCs w:val="24"/>
              </w:rPr>
              <w:sym w:font="Wingdings 2" w:char="0052"/>
            </w:r>
            <w:r>
              <w:rPr>
                <w:color w:val="auto"/>
                <w:sz w:val="24"/>
                <w:szCs w:val="24"/>
              </w:rPr>
              <w:t>扩建</w:t>
            </w:r>
          </w:p>
          <w:p>
            <w:pPr>
              <w:pStyle w:val="15"/>
              <w:jc w:val="both"/>
              <w:rPr>
                <w:color w:val="auto"/>
                <w:sz w:val="24"/>
                <w:szCs w:val="24"/>
              </w:rPr>
            </w:pPr>
            <w:r>
              <w:rPr>
                <w:color w:val="auto"/>
                <w:sz w:val="24"/>
                <w:szCs w:val="24"/>
              </w:rPr>
              <w:t>□技术改造</w:t>
            </w:r>
          </w:p>
        </w:tc>
        <w:tc>
          <w:tcPr>
            <w:tcW w:w="1122" w:type="pct"/>
            <w:tcBorders>
              <w:top w:val="single" w:color="auto" w:sz="4" w:space="0"/>
              <w:bottom w:val="single" w:color="auto" w:sz="4" w:space="0"/>
            </w:tcBorders>
            <w:noWrap w:val="0"/>
            <w:vAlign w:val="center"/>
          </w:tcPr>
          <w:p>
            <w:pPr>
              <w:pStyle w:val="15"/>
              <w:rPr>
                <w:color w:val="auto"/>
                <w:sz w:val="24"/>
                <w:szCs w:val="24"/>
              </w:rPr>
            </w:pPr>
            <w:r>
              <w:rPr>
                <w:color w:val="auto"/>
                <w:sz w:val="24"/>
                <w:szCs w:val="24"/>
              </w:rPr>
              <w:t>建设项目</w:t>
            </w:r>
          </w:p>
          <w:p>
            <w:pPr>
              <w:pStyle w:val="15"/>
              <w:rPr>
                <w:color w:val="auto"/>
                <w:sz w:val="24"/>
                <w:szCs w:val="24"/>
              </w:rPr>
            </w:pPr>
            <w:r>
              <w:rPr>
                <w:color w:val="auto"/>
                <w:sz w:val="24"/>
                <w:szCs w:val="24"/>
              </w:rPr>
              <w:t>申报情形</w:t>
            </w:r>
          </w:p>
        </w:tc>
        <w:tc>
          <w:tcPr>
            <w:tcW w:w="1713" w:type="pct"/>
            <w:tcBorders>
              <w:top w:val="single" w:color="auto" w:sz="4" w:space="0"/>
              <w:bottom w:val="single" w:color="auto" w:sz="4" w:space="0"/>
              <w:right w:val="single" w:color="auto" w:sz="4" w:space="0"/>
            </w:tcBorders>
            <w:noWrap w:val="0"/>
            <w:vAlign w:val="center"/>
          </w:tcPr>
          <w:p>
            <w:pPr>
              <w:pStyle w:val="15"/>
              <w:jc w:val="both"/>
              <w:rPr>
                <w:color w:val="auto"/>
                <w:sz w:val="24"/>
                <w:szCs w:val="24"/>
              </w:rPr>
            </w:pPr>
            <w:r>
              <w:rPr>
                <w:color w:val="auto"/>
                <w:sz w:val="24"/>
                <w:szCs w:val="24"/>
              </w:rPr>
              <w:t>√首次申报项目</w:t>
            </w:r>
          </w:p>
          <w:p>
            <w:pPr>
              <w:pStyle w:val="15"/>
              <w:jc w:val="both"/>
              <w:rPr>
                <w:color w:val="auto"/>
                <w:sz w:val="24"/>
                <w:szCs w:val="24"/>
              </w:rPr>
            </w:pPr>
            <w:r>
              <w:rPr>
                <w:color w:val="auto"/>
                <w:sz w:val="24"/>
                <w:szCs w:val="24"/>
              </w:rPr>
              <w:t>□不予批准后再次申报项目</w:t>
            </w:r>
          </w:p>
          <w:p>
            <w:pPr>
              <w:pStyle w:val="15"/>
              <w:jc w:val="both"/>
              <w:rPr>
                <w:color w:val="auto"/>
                <w:sz w:val="24"/>
                <w:szCs w:val="24"/>
              </w:rPr>
            </w:pPr>
            <w:r>
              <w:rPr>
                <w:color w:val="auto"/>
                <w:sz w:val="24"/>
                <w:szCs w:val="24"/>
              </w:rPr>
              <w:t>□超五年重新审核项目</w:t>
            </w:r>
          </w:p>
          <w:p>
            <w:pPr>
              <w:pStyle w:val="15"/>
              <w:jc w:val="both"/>
              <w:rPr>
                <w:color w:val="auto"/>
                <w:sz w:val="24"/>
                <w:szCs w:val="24"/>
              </w:rPr>
            </w:pPr>
            <w:r>
              <w:rPr>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1"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项目审批（核准/</w:t>
            </w:r>
          </w:p>
          <w:p>
            <w:pPr>
              <w:pStyle w:val="15"/>
              <w:rPr>
                <w:color w:val="auto"/>
                <w:sz w:val="24"/>
                <w:szCs w:val="24"/>
              </w:rPr>
            </w:pPr>
            <w:r>
              <w:rPr>
                <w:color w:val="auto"/>
                <w:sz w:val="24"/>
                <w:szCs w:val="24"/>
              </w:rPr>
              <w:t>备案）部门（选填）</w:t>
            </w:r>
          </w:p>
        </w:tc>
        <w:tc>
          <w:tcPr>
            <w:tcW w:w="1127" w:type="pct"/>
            <w:tcBorders>
              <w:top w:val="single" w:color="auto" w:sz="4" w:space="0"/>
              <w:bottom w:val="single" w:color="auto" w:sz="4" w:space="0"/>
            </w:tcBorders>
            <w:noWrap w:val="0"/>
            <w:vAlign w:val="center"/>
          </w:tcPr>
          <w:p>
            <w:pPr>
              <w:pStyle w:val="15"/>
              <w:rPr>
                <w:color w:val="auto"/>
                <w:sz w:val="24"/>
                <w:szCs w:val="24"/>
              </w:rPr>
            </w:pPr>
            <w:r>
              <w:rPr>
                <w:color w:val="auto"/>
                <w:sz w:val="24"/>
                <w:szCs w:val="24"/>
              </w:rPr>
              <w:t>福鼎市发展和改革局</w:t>
            </w:r>
          </w:p>
        </w:tc>
        <w:tc>
          <w:tcPr>
            <w:tcW w:w="1122" w:type="pct"/>
            <w:tcBorders>
              <w:top w:val="single" w:color="auto" w:sz="4" w:space="0"/>
              <w:bottom w:val="single" w:color="auto" w:sz="4" w:space="0"/>
            </w:tcBorders>
            <w:noWrap w:val="0"/>
            <w:vAlign w:val="center"/>
          </w:tcPr>
          <w:p>
            <w:pPr>
              <w:pStyle w:val="15"/>
              <w:rPr>
                <w:color w:val="auto"/>
                <w:sz w:val="24"/>
                <w:szCs w:val="24"/>
              </w:rPr>
            </w:pPr>
            <w:r>
              <w:rPr>
                <w:color w:val="auto"/>
                <w:sz w:val="24"/>
                <w:szCs w:val="24"/>
              </w:rPr>
              <w:t>项目审批（核准/</w:t>
            </w:r>
          </w:p>
          <w:p>
            <w:pPr>
              <w:pStyle w:val="15"/>
              <w:rPr>
                <w:color w:val="auto"/>
                <w:sz w:val="24"/>
                <w:szCs w:val="24"/>
              </w:rPr>
            </w:pPr>
            <w:r>
              <w:rPr>
                <w:color w:val="auto"/>
                <w:sz w:val="24"/>
                <w:szCs w:val="24"/>
              </w:rPr>
              <w:t>备案）文号（选填）</w:t>
            </w:r>
          </w:p>
        </w:tc>
        <w:tc>
          <w:tcPr>
            <w:tcW w:w="1713" w:type="pct"/>
            <w:tcBorders>
              <w:top w:val="single" w:color="auto" w:sz="4" w:space="0"/>
              <w:bottom w:val="single" w:color="auto" w:sz="4" w:space="0"/>
              <w:right w:val="single" w:color="auto" w:sz="4" w:space="0"/>
            </w:tcBorders>
            <w:noWrap w:val="0"/>
            <w:vAlign w:val="center"/>
          </w:tcPr>
          <w:p>
            <w:pPr>
              <w:pStyle w:val="15"/>
              <w:rPr>
                <w:color w:val="auto"/>
                <w:sz w:val="24"/>
                <w:szCs w:val="24"/>
              </w:rPr>
            </w:pPr>
            <w:r>
              <w:rPr>
                <w:color w:val="auto"/>
                <w:sz w:val="24"/>
                <w:szCs w:val="24"/>
              </w:rPr>
              <w:t>闽发改备[202</w:t>
            </w:r>
            <w:r>
              <w:rPr>
                <w:rFonts w:hint="eastAsia"/>
                <w:color w:val="auto"/>
                <w:sz w:val="24"/>
                <w:szCs w:val="24"/>
                <w:lang w:val="en-US" w:eastAsia="zh-CN"/>
              </w:rPr>
              <w:t>2</w:t>
            </w:r>
            <w:r>
              <w:rPr>
                <w:color w:val="auto"/>
                <w:sz w:val="24"/>
                <w:szCs w:val="24"/>
              </w:rPr>
              <w:t>]J0300</w:t>
            </w:r>
            <w:r>
              <w:rPr>
                <w:rFonts w:hint="eastAsia"/>
                <w:color w:val="auto"/>
                <w:sz w:val="24"/>
                <w:szCs w:val="24"/>
                <w:lang w:val="en-US" w:eastAsia="zh-CN"/>
              </w:rPr>
              <w:t>71</w:t>
            </w:r>
            <w:r>
              <w:rPr>
                <w:color w:val="auto"/>
                <w:sz w:val="24"/>
                <w:szCs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5"/>
              <w:rPr>
                <w:rFonts w:hint="eastAsia"/>
                <w:color w:val="auto"/>
                <w:sz w:val="24"/>
                <w:szCs w:val="24"/>
                <w:lang w:val="en-US" w:eastAsia="zh-CN"/>
              </w:rPr>
            </w:pPr>
            <w:r>
              <w:rPr>
                <w:rFonts w:hint="eastAsia"/>
                <w:color w:val="auto"/>
                <w:sz w:val="24"/>
                <w:szCs w:val="24"/>
                <w:lang w:val="en-US" w:eastAsia="zh-CN"/>
              </w:rPr>
              <w:t>总投资（万元）</w:t>
            </w:r>
          </w:p>
        </w:tc>
        <w:tc>
          <w:tcPr>
            <w:tcW w:w="1127" w:type="pct"/>
            <w:tcBorders>
              <w:top w:val="single" w:color="auto" w:sz="4" w:space="0"/>
              <w:bottom w:val="single" w:color="auto" w:sz="4" w:space="0"/>
            </w:tcBorders>
            <w:noWrap w:val="0"/>
            <w:vAlign w:val="center"/>
          </w:tcPr>
          <w:p>
            <w:pPr>
              <w:pStyle w:val="15"/>
              <w:rPr>
                <w:rFonts w:hint="default"/>
                <w:color w:val="auto"/>
                <w:sz w:val="24"/>
                <w:szCs w:val="24"/>
                <w:lang w:val="en-US" w:eastAsia="zh-CN"/>
              </w:rPr>
            </w:pPr>
            <w:r>
              <w:rPr>
                <w:rFonts w:hint="eastAsia"/>
                <w:color w:val="auto"/>
                <w:sz w:val="24"/>
                <w:szCs w:val="24"/>
                <w:lang w:val="en-US" w:eastAsia="zh-CN"/>
              </w:rPr>
              <w:t>600</w:t>
            </w:r>
          </w:p>
        </w:tc>
        <w:tc>
          <w:tcPr>
            <w:tcW w:w="1122" w:type="pct"/>
            <w:tcBorders>
              <w:top w:val="single" w:color="auto" w:sz="4" w:space="0"/>
              <w:bottom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环保投资（万元）</w:t>
            </w:r>
          </w:p>
        </w:tc>
        <w:tc>
          <w:tcPr>
            <w:tcW w:w="1713" w:type="pct"/>
            <w:tcBorders>
              <w:top w:val="single" w:color="auto" w:sz="4" w:space="0"/>
              <w:bottom w:val="single" w:color="auto" w:sz="4" w:space="0"/>
              <w:right w:val="single" w:color="auto" w:sz="4" w:space="0"/>
            </w:tcBorders>
            <w:noWrap w:val="0"/>
            <w:vAlign w:val="center"/>
          </w:tcPr>
          <w:p>
            <w:pPr>
              <w:pStyle w:val="15"/>
              <w:rPr>
                <w:rFonts w:hint="default" w:eastAsia="宋体"/>
                <w:color w:val="auto"/>
                <w:sz w:val="24"/>
                <w:szCs w:val="24"/>
                <w:lang w:val="en-US" w:eastAsia="zh-CN"/>
              </w:rPr>
            </w:pPr>
            <w:r>
              <w:rPr>
                <w:rFonts w:hint="eastAsia"/>
                <w:color w:val="auto"/>
                <w:sz w:val="24"/>
                <w:szCs w:val="24"/>
                <w:lang w:val="en-US" w:eastAsia="zh-CN"/>
              </w:rPr>
              <w:t>180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环保投资占比（%）</w:t>
            </w:r>
          </w:p>
        </w:tc>
        <w:tc>
          <w:tcPr>
            <w:tcW w:w="1127" w:type="pct"/>
            <w:tcBorders>
              <w:top w:val="single" w:color="auto" w:sz="4" w:space="0"/>
              <w:bottom w:val="single" w:color="auto" w:sz="4" w:space="0"/>
            </w:tcBorders>
            <w:noWrap w:val="0"/>
            <w:vAlign w:val="center"/>
          </w:tcPr>
          <w:p>
            <w:pPr>
              <w:pStyle w:val="15"/>
              <w:rPr>
                <w:rFonts w:hint="default" w:eastAsia="宋体"/>
                <w:color w:val="auto"/>
                <w:sz w:val="24"/>
                <w:szCs w:val="24"/>
                <w:lang w:val="en-US" w:eastAsia="zh-CN"/>
              </w:rPr>
            </w:pPr>
            <w:r>
              <w:rPr>
                <w:rFonts w:hint="eastAsia"/>
                <w:color w:val="auto"/>
                <w:sz w:val="24"/>
                <w:szCs w:val="24"/>
                <w:lang w:val="en-US" w:eastAsia="zh-CN"/>
              </w:rPr>
              <w:t>30</w:t>
            </w:r>
          </w:p>
        </w:tc>
        <w:tc>
          <w:tcPr>
            <w:tcW w:w="1122" w:type="pct"/>
            <w:tcBorders>
              <w:top w:val="single" w:color="auto" w:sz="4" w:space="0"/>
              <w:bottom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施工工期（月）</w:t>
            </w:r>
          </w:p>
        </w:tc>
        <w:tc>
          <w:tcPr>
            <w:tcW w:w="1713" w:type="pct"/>
            <w:tcBorders>
              <w:top w:val="single" w:color="auto" w:sz="4" w:space="0"/>
              <w:bottom w:val="single" w:color="auto" w:sz="4" w:space="0"/>
              <w:right w:val="single" w:color="auto" w:sz="4" w:space="0"/>
            </w:tcBorders>
            <w:noWrap w:val="0"/>
            <w:vAlign w:val="center"/>
          </w:tcPr>
          <w:p>
            <w:pPr>
              <w:pStyle w:val="15"/>
              <w:rPr>
                <w:rFonts w:hint="default" w:eastAsia="宋体"/>
                <w:color w:val="auto"/>
                <w:sz w:val="24"/>
                <w:szCs w:val="24"/>
                <w:lang w:val="en-US" w:eastAsia="zh-CN"/>
              </w:rPr>
            </w:pPr>
            <w:r>
              <w:rPr>
                <w:rFonts w:hint="eastAsia"/>
                <w:color w:val="auto"/>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038" w:type="pct"/>
            <w:tcBorders>
              <w:top w:val="single" w:color="auto" w:sz="4" w:space="0"/>
              <w:left w:val="single" w:color="auto" w:sz="4" w:space="0"/>
              <w:bottom w:val="single" w:color="auto" w:sz="4" w:space="0"/>
            </w:tcBorders>
            <w:noWrap w:val="0"/>
            <w:tcMar>
              <w:top w:w="16" w:type="dxa"/>
              <w:left w:w="16" w:type="dxa"/>
              <w:right w:w="16" w:type="dxa"/>
            </w:tcMar>
            <w:vAlign w:val="center"/>
          </w:tcPr>
          <w:p>
            <w:pPr>
              <w:pStyle w:val="15"/>
              <w:rPr>
                <w:color w:val="auto"/>
                <w:sz w:val="24"/>
                <w:szCs w:val="24"/>
              </w:rPr>
            </w:pPr>
            <w:r>
              <w:rPr>
                <w:color w:val="auto"/>
                <w:sz w:val="24"/>
                <w:szCs w:val="24"/>
              </w:rPr>
              <w:t>是否开工建设</w:t>
            </w:r>
          </w:p>
        </w:tc>
        <w:tc>
          <w:tcPr>
            <w:tcW w:w="1127" w:type="pct"/>
            <w:tcBorders>
              <w:top w:val="single" w:color="auto" w:sz="4" w:space="0"/>
              <w:bottom w:val="single" w:color="auto" w:sz="4" w:space="0"/>
            </w:tcBorders>
            <w:noWrap w:val="0"/>
            <w:vAlign w:val="center"/>
          </w:tcPr>
          <w:p>
            <w:pPr>
              <w:pStyle w:val="15"/>
              <w:jc w:val="left"/>
              <w:rPr>
                <w:color w:val="auto"/>
                <w:sz w:val="24"/>
                <w:szCs w:val="24"/>
              </w:rPr>
            </w:pPr>
            <w:r>
              <w:rPr>
                <w:color w:val="auto"/>
                <w:sz w:val="24"/>
                <w:szCs w:val="24"/>
              </w:rPr>
              <w:t>√否</w:t>
            </w:r>
          </w:p>
          <w:p>
            <w:pPr>
              <w:pStyle w:val="15"/>
              <w:jc w:val="left"/>
              <w:rPr>
                <w:color w:val="auto"/>
              </w:rPr>
            </w:pPr>
            <w:r>
              <w:rPr>
                <w:color w:val="auto"/>
                <w:sz w:val="24"/>
                <w:szCs w:val="24"/>
              </w:rPr>
              <w:t>□是：—</w:t>
            </w:r>
          </w:p>
        </w:tc>
        <w:tc>
          <w:tcPr>
            <w:tcW w:w="1122" w:type="pct"/>
            <w:tcBorders>
              <w:top w:val="single" w:color="auto" w:sz="4" w:space="0"/>
              <w:bottom w:val="single" w:color="auto" w:sz="4" w:space="0"/>
            </w:tcBorders>
            <w:noWrap w:val="0"/>
            <w:tcMar>
              <w:top w:w="16" w:type="dxa"/>
              <w:left w:w="16" w:type="dxa"/>
              <w:right w:w="16" w:type="dxa"/>
            </w:tcMar>
            <w:vAlign w:val="center"/>
          </w:tcPr>
          <w:p>
            <w:pPr>
              <w:pStyle w:val="15"/>
              <w:rPr>
                <w:color w:val="auto"/>
                <w:spacing w:val="-6"/>
                <w:sz w:val="24"/>
                <w:szCs w:val="24"/>
              </w:rPr>
            </w:pPr>
            <w:r>
              <w:rPr>
                <w:color w:val="auto"/>
                <w:spacing w:val="-6"/>
                <w:sz w:val="24"/>
                <w:szCs w:val="24"/>
              </w:rPr>
              <w:t>用地（用海）</w:t>
            </w:r>
          </w:p>
          <w:p>
            <w:pPr>
              <w:pStyle w:val="15"/>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1713" w:type="pct"/>
            <w:tcBorders>
              <w:top w:val="single" w:color="auto" w:sz="4" w:space="0"/>
              <w:bottom w:val="single" w:color="auto" w:sz="4" w:space="0"/>
              <w:right w:val="single" w:color="auto" w:sz="4" w:space="0"/>
            </w:tcBorders>
            <w:noWrap w:val="0"/>
            <w:vAlign w:val="center"/>
          </w:tcPr>
          <w:p>
            <w:pPr>
              <w:pStyle w:val="15"/>
              <w:rPr>
                <w:rFonts w:hint="default" w:eastAsia="宋体"/>
                <w:color w:val="auto"/>
                <w:sz w:val="24"/>
                <w:szCs w:val="24"/>
                <w:lang w:val="en-US" w:eastAsia="zh-CN"/>
              </w:rPr>
            </w:pPr>
            <w:r>
              <w:rPr>
                <w:rFonts w:hint="eastAsia"/>
                <w:color w:val="auto"/>
                <w:sz w:val="24"/>
                <w:szCs w:val="24"/>
                <w:lang w:val="en-US" w:eastAsia="zh-CN"/>
              </w:rPr>
              <w:t>10328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kern w:val="0"/>
                <w:sz w:val="24"/>
                <w:szCs w:val="24"/>
              </w:rPr>
            </w:pPr>
            <w:r>
              <w:rPr>
                <w:color w:val="auto"/>
                <w:kern w:val="0"/>
                <w:sz w:val="24"/>
                <w:szCs w:val="24"/>
              </w:rPr>
              <w:t>专项评价设置情况</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pStyle w:val="15"/>
              <w:rPr>
                <w:color w:val="auto"/>
                <w:sz w:val="24"/>
                <w:szCs w:val="24"/>
              </w:rPr>
            </w:pPr>
            <w:r>
              <w:rPr>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33"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kern w:val="0"/>
                <w:sz w:val="24"/>
                <w:szCs w:val="24"/>
              </w:rPr>
            </w:pPr>
            <w:r>
              <w:rPr>
                <w:color w:val="auto"/>
                <w:sz w:val="24"/>
                <w:szCs w:val="24"/>
              </w:rPr>
              <w:t>规划情况</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bidi w:val="0"/>
              <w:rPr>
                <w:rFonts w:hint="eastAsia" w:eastAsia="宋体"/>
                <w:color w:val="auto"/>
                <w:szCs w:val="24"/>
                <w:lang w:eastAsia="zh-CN"/>
              </w:rPr>
            </w:pPr>
            <w:r>
              <w:rPr>
                <w:color w:val="auto"/>
              </w:rPr>
              <w:t>《闽浙边贸工业园区规划》</w:t>
            </w:r>
            <w:r>
              <w:rPr>
                <w:rFonts w:hint="eastAsia"/>
                <w:color w:val="auto"/>
                <w:lang w:eastAsia="zh-CN"/>
              </w:rPr>
              <w:t>、《</w:t>
            </w:r>
            <w:r>
              <w:rPr>
                <w:rFonts w:hint="eastAsia"/>
                <w:color w:val="auto"/>
                <w:lang w:val="en-US" w:eastAsia="zh-CN"/>
              </w:rPr>
              <w:t>双岳控制性详规</w:t>
            </w:r>
            <w:r>
              <w:rPr>
                <w:rFonts w:hint="eastAsia"/>
                <w:color w:val="auto"/>
                <w:lang w:eastAsia="zh-CN"/>
              </w:rPr>
              <w:t>》、《</w:t>
            </w:r>
            <w:r>
              <w:rPr>
                <w:rFonts w:hint="eastAsia"/>
                <w:color w:val="auto"/>
                <w:lang w:val="en-US" w:eastAsia="zh-CN"/>
              </w:rPr>
              <w:t>土地利用总体规划</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sz w:val="24"/>
                <w:szCs w:val="24"/>
              </w:rPr>
            </w:pPr>
            <w:r>
              <w:rPr>
                <w:color w:val="auto"/>
                <w:sz w:val="24"/>
                <w:szCs w:val="24"/>
              </w:rPr>
              <w:t>规划环境影响</w:t>
            </w:r>
          </w:p>
          <w:p>
            <w:pPr>
              <w:pStyle w:val="15"/>
              <w:rPr>
                <w:color w:val="auto"/>
                <w:kern w:val="0"/>
                <w:sz w:val="24"/>
                <w:szCs w:val="24"/>
              </w:rPr>
            </w:pPr>
            <w:r>
              <w:rPr>
                <w:color w:val="auto"/>
                <w:sz w:val="24"/>
                <w:szCs w:val="24"/>
              </w:rPr>
              <w:t>评价情况</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bidi w:val="0"/>
              <w:rPr>
                <w:rFonts w:hint="eastAsia"/>
              </w:rPr>
            </w:pPr>
            <w:r>
              <w:rPr>
                <w:rFonts w:hint="eastAsia"/>
              </w:rPr>
              <w:t>规划环评名称：《闽浙边贸工业园规划环境影响报告书》</w:t>
            </w:r>
          </w:p>
          <w:p>
            <w:pPr>
              <w:bidi w:val="0"/>
              <w:rPr>
                <w:rFonts w:hint="eastAsia"/>
              </w:rPr>
            </w:pPr>
            <w:r>
              <w:rPr>
                <w:rFonts w:hint="eastAsia"/>
              </w:rPr>
              <w:t>审批机关：福建省环境保护厅</w:t>
            </w:r>
          </w:p>
          <w:p>
            <w:pPr>
              <w:bidi w:val="0"/>
              <w:rPr>
                <w:rFonts w:hint="eastAsia"/>
              </w:rPr>
            </w:pPr>
            <w:r>
              <w:rPr>
                <w:rFonts w:hint="eastAsia"/>
              </w:rPr>
              <w:t>审查文号：闽环保评【2013】49号</w:t>
            </w:r>
          </w:p>
          <w:p>
            <w:pPr>
              <w:bidi w:val="0"/>
              <w:rPr>
                <w:color w:val="auto"/>
              </w:rPr>
            </w:pPr>
            <w:r>
              <w:rPr>
                <w:rFonts w:hint="eastAsia"/>
              </w:rPr>
              <w:t>规划环评：</w:t>
            </w:r>
            <w:r>
              <w:rPr>
                <w:rFonts w:hint="eastAsia"/>
                <w:lang w:val="en-US" w:eastAsia="zh-CN"/>
              </w:rPr>
              <w:t>《闽浙边贸工业园区总体规划环境影响跟踪评价报告书》（2020）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5"/>
              <w:jc w:val="center"/>
              <w:rPr>
                <w:color w:val="auto"/>
                <w:kern w:val="0"/>
                <w:sz w:val="24"/>
                <w:szCs w:val="24"/>
              </w:rPr>
            </w:pPr>
            <w:r>
              <w:rPr>
                <w:color w:val="auto"/>
                <w:kern w:val="0"/>
                <w:sz w:val="24"/>
                <w:szCs w:val="24"/>
              </w:rPr>
              <w:t>规划及规划环境影响评价符合性分析</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bidi w:val="0"/>
              <w:rPr>
                <w:rFonts w:hint="eastAsia"/>
                <w:lang w:eastAsia="zh-CN"/>
              </w:rPr>
            </w:pPr>
            <w:r>
              <w:t>项目位于闽浙边贸工业园区双岳片区，根据，双岳片区规划结构为“一心、一轴、三组团、四配套区”。“一心”：即由中部设施配套区的公共设施形成的公共设施中心，服务整个工业园区；“一轴”：即沿双岳溪及滨水绿化形成的南北滨水景观轴；“三组团”：即北部工业组团、中部工业组团和南部工业组团；“四区”即四个配套区，其中中部配套区为设施配套区，其余三个为居住配套区（双岳居住配套区、南乾居住配套区、南部居住配套区）。项目所在地用地性质为一类工业用地。本项目为</w:t>
            </w:r>
            <w:r>
              <w:rPr>
                <w:rFonts w:hint="eastAsia"/>
                <w:lang w:val="en-US" w:eastAsia="zh-CN"/>
              </w:rPr>
              <w:t>百胜片区22-25号地块场地平整剩余石料加工扩建</w:t>
            </w:r>
            <w:r>
              <w:t>项目，为一类工业用地三通一平中平整和剩余渣石加工项目。</w:t>
            </w:r>
            <w:r>
              <w:rPr>
                <w:rFonts w:hint="eastAsia"/>
                <w:lang w:val="en-US" w:eastAsia="zh-CN"/>
              </w:rPr>
              <w:t>符合</w:t>
            </w:r>
            <w:r>
              <w:t>《闽浙边贸工业园区规划》</w:t>
            </w:r>
            <w:r>
              <w:rPr>
                <w:rFonts w:hint="eastAsia"/>
                <w:lang w:eastAsia="zh-CN"/>
              </w:rPr>
              <w:t>。</w:t>
            </w:r>
          </w:p>
          <w:p>
            <w:pPr>
              <w:bidi w:val="0"/>
              <w:rPr>
                <w:rFonts w:hint="eastAsia"/>
              </w:rPr>
            </w:pPr>
            <w:r>
              <w:rPr>
                <w:rFonts w:hint="eastAsia"/>
              </w:rPr>
              <w:t>根据《闽浙边贸工业园区规划环境影响报告书》，项目所在园区禁止引入排放汞、镉、六价铬重金属和持久性污染物的项目；工业园区禁止新建、扩建以排放氨氮、总磷等为主要污染物的工业项目。食品饮料加工企业全部使用LNG供热，禁止自行设置燃煤锅炉。禁止引进集成电路及半导体器件的前端工序、印制电路板制造等高耗水行业，禁止引进排放剧毒物质的电子光电企业；禁止引进铅酸电池、镍氢电池等重污染的电池制造产业；禁止发展单晶硅前段的多晶硅、工业硅原料生产行业。</w:t>
            </w:r>
          </w:p>
          <w:p>
            <w:pPr>
              <w:pStyle w:val="37"/>
              <w:rPr>
                <w:rFonts w:hint="eastAsia"/>
              </w:rPr>
            </w:pPr>
            <w:r>
              <w:t>本项目为</w:t>
            </w:r>
            <w:r>
              <w:rPr>
                <w:rFonts w:hint="eastAsia"/>
                <w:lang w:val="en-US" w:eastAsia="zh-CN"/>
              </w:rPr>
              <w:t>百胜片区22-25号地块场地平整剩余石料加工扩建</w:t>
            </w:r>
            <w:r>
              <w:t>项目，</w:t>
            </w:r>
            <w:r>
              <w:rPr>
                <w:rFonts w:hint="eastAsia"/>
                <w:highlight w:val="none"/>
              </w:rPr>
              <w:t>不涉及严格环境准入中禁止引入目录，和园区规划环评不冲突</w:t>
            </w:r>
            <w:r>
              <w:rPr>
                <w:rFonts w:hint="eastAsia"/>
                <w:highlight w:val="none"/>
                <w:lang w:eastAsia="zh-CN"/>
              </w:rPr>
              <w:t>，</w:t>
            </w:r>
            <w:r>
              <w:rPr>
                <w:rFonts w:hint="eastAsia"/>
                <w:highlight w:val="none"/>
              </w:rPr>
              <w:t>符</w:t>
            </w:r>
            <w:r>
              <w:rPr>
                <w:rFonts w:hint="eastAsia"/>
              </w:rPr>
              <w:t>合《闽浙边贸工业园区规划》的产业布局。项目营运过程中不排放汞、镉、六价铬重金属和持久性污染物，不属于规划环评报告中的禁止类行业。</w:t>
            </w:r>
          </w:p>
          <w:p>
            <w:pPr>
              <w:bidi w:val="0"/>
              <w:rPr>
                <w:rFonts w:hint="eastAsia"/>
                <w:lang w:val="en-US" w:eastAsia="zh-CN"/>
              </w:rPr>
            </w:pPr>
            <w:r>
              <w:rPr>
                <w:rFonts w:hint="eastAsia"/>
              </w:rPr>
              <w:t>因此，项目建设符合《闽浙边贸工业园区规划》</w:t>
            </w:r>
            <w:r>
              <w:rPr>
                <w:rFonts w:hint="eastAsia"/>
                <w:lang w:eastAsia="zh-CN"/>
              </w:rPr>
              <w:t>、</w:t>
            </w:r>
            <w:r>
              <w:rPr>
                <w:rFonts w:hint="eastAsia"/>
              </w:rPr>
              <w:t>《闽浙边贸工业园区规划环境影响报告书》的要求。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12" w:hRule="atLeast"/>
          <w:jc w:val="center"/>
        </w:trPr>
        <w:tc>
          <w:tcPr>
            <w:tcW w:w="1038"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kern w:val="0"/>
                <w:sz w:val="24"/>
                <w:szCs w:val="24"/>
              </w:rPr>
            </w:pPr>
            <w:r>
              <w:rPr>
                <w:color w:val="auto"/>
                <w:kern w:val="0"/>
                <w:sz w:val="24"/>
                <w:szCs w:val="24"/>
              </w:rPr>
              <w:t>其他符合性分析</w:t>
            </w:r>
          </w:p>
        </w:tc>
        <w:tc>
          <w:tcPr>
            <w:tcW w:w="3962" w:type="pct"/>
            <w:gridSpan w:val="3"/>
            <w:tcBorders>
              <w:top w:val="single" w:color="auto" w:sz="4" w:space="0"/>
              <w:left w:val="single" w:color="auto" w:sz="4" w:space="0"/>
              <w:bottom w:val="single" w:color="auto" w:sz="4" w:space="0"/>
              <w:right w:val="single" w:color="auto" w:sz="4" w:space="0"/>
            </w:tcBorders>
            <w:noWrap w:val="0"/>
            <w:vAlign w:val="center"/>
          </w:tcPr>
          <w:p>
            <w:pPr>
              <w:pStyle w:val="17"/>
              <w:rPr>
                <w:color w:val="auto"/>
              </w:rPr>
            </w:pPr>
            <w:r>
              <w:rPr>
                <w:color w:val="auto"/>
              </w:rPr>
              <w:t>1.1“三线一单”控制要求符合性分析</w:t>
            </w:r>
          </w:p>
          <w:p>
            <w:pPr>
              <w:pStyle w:val="18"/>
              <w:ind w:firstLine="480"/>
              <w:textAlignment w:val="center"/>
              <w:rPr>
                <w:rFonts w:ascii="Times New Roman" w:hAnsi="Times New Roman" w:cs="Times New Roman"/>
                <w:color w:val="auto"/>
                <w:kern w:val="18"/>
              </w:rPr>
            </w:pPr>
            <w:r>
              <w:rPr>
                <w:rFonts w:ascii="Times New Roman" w:hAnsi="Times New Roman" w:cs="Times New Roman"/>
                <w:color w:val="auto"/>
                <w:kern w:val="18"/>
              </w:rPr>
              <w:t>根据《宁德市“三线一单”生态环境分区管控方案》，项目与宁德市“三线一单”管控要求符合性分析如下：</w:t>
            </w:r>
          </w:p>
          <w:p>
            <w:pPr>
              <w:pStyle w:val="16"/>
              <w:ind w:firstLine="480"/>
              <w:rPr>
                <w:rFonts w:ascii="Times New Roman" w:hAnsi="Times New Roman"/>
                <w:color w:val="auto"/>
                <w:szCs w:val="24"/>
              </w:rPr>
            </w:pPr>
            <w:r>
              <w:rPr>
                <w:rFonts w:ascii="Times New Roman" w:hAnsi="Times New Roman"/>
                <w:color w:val="auto"/>
              </w:rPr>
              <w:t>（1）生态红线</w:t>
            </w:r>
          </w:p>
          <w:p>
            <w:pPr>
              <w:widowControl/>
              <w:adjustRightInd w:val="0"/>
              <w:snapToGrid w:val="0"/>
              <w:ind w:firstLine="480"/>
              <w:rPr>
                <w:color w:val="auto"/>
                <w:kern w:val="0"/>
                <w:szCs w:val="24"/>
              </w:rPr>
            </w:pPr>
            <w:r>
              <w:rPr>
                <w:color w:val="auto"/>
                <w:kern w:val="0"/>
                <w:szCs w:val="24"/>
              </w:rPr>
              <w:t>宁德市生态保护红线为全市生态空间范围内具有特殊重要生态功能、必须强制性严格保护的区域，包括水源涵养、生物多样性维护、水土保持、海岸防护等生态功能极重要区域，水土流失、海岸侵蚀及沙源流失等生态极脆弱区域，以及其他具有潜在重要生态价值的区域。</w:t>
            </w:r>
          </w:p>
          <w:p>
            <w:pPr>
              <w:pStyle w:val="16"/>
              <w:ind w:firstLine="480"/>
              <w:rPr>
                <w:rFonts w:ascii="Times New Roman" w:hAnsi="Times New Roman"/>
                <w:color w:val="auto"/>
              </w:rPr>
            </w:pPr>
            <w:r>
              <w:rPr>
                <w:rFonts w:ascii="Times New Roman" w:hAnsi="Times New Roman"/>
                <w:color w:val="auto"/>
              </w:rPr>
              <w:t>本项目位于</w:t>
            </w:r>
            <w:r>
              <w:rPr>
                <w:rFonts w:ascii="Times New Roman" w:hAnsi="Times New Roman"/>
                <w:color w:val="auto"/>
                <w:szCs w:val="24"/>
              </w:rPr>
              <w:t>宁德</w:t>
            </w:r>
            <w:r>
              <w:rPr>
                <w:rFonts w:hint="eastAsia" w:ascii="Times New Roman" w:hAnsi="Times New Roman"/>
                <w:color w:val="auto"/>
                <w:szCs w:val="24"/>
                <w:lang w:val="en-US" w:eastAsia="zh-CN"/>
              </w:rPr>
              <w:t>市福鼎市双岳片区百叶岚山</w:t>
            </w:r>
            <w:r>
              <w:rPr>
                <w:rFonts w:ascii="Times New Roman" w:hAnsi="Times New Roman"/>
                <w:color w:val="auto"/>
              </w:rPr>
              <w:t>，项目建设区未涉及生态保护红线，因此项目建设与生态保护红线管控要求不冲突。</w:t>
            </w:r>
          </w:p>
          <w:p>
            <w:pPr>
              <w:pStyle w:val="16"/>
              <w:ind w:firstLine="480"/>
              <w:rPr>
                <w:rFonts w:ascii="Times New Roman" w:hAnsi="Times New Roman"/>
                <w:color w:val="auto"/>
              </w:rPr>
            </w:pPr>
            <w:r>
              <w:rPr>
                <w:rFonts w:ascii="Times New Roman" w:hAnsi="Times New Roman"/>
                <w:color w:val="auto"/>
              </w:rPr>
              <w:t>（2）环境质量底线</w:t>
            </w:r>
          </w:p>
          <w:p>
            <w:pPr>
              <w:pStyle w:val="16"/>
              <w:ind w:firstLine="480"/>
              <w:rPr>
                <w:rFonts w:ascii="Times New Roman" w:hAnsi="Times New Roman"/>
                <w:color w:val="auto"/>
              </w:rPr>
            </w:pPr>
            <w:r>
              <w:rPr>
                <w:rFonts w:hint="eastAsia" w:cs="宋体"/>
                <w:color w:val="auto"/>
              </w:rPr>
              <w:t>①</w:t>
            </w:r>
            <w:r>
              <w:rPr>
                <w:rFonts w:ascii="Times New Roman" w:hAnsi="Times New Roman"/>
                <w:color w:val="auto"/>
              </w:rPr>
              <w:t>水环境质量底线</w:t>
            </w:r>
          </w:p>
          <w:p>
            <w:pPr>
              <w:widowControl/>
              <w:adjustRightInd w:val="0"/>
              <w:snapToGrid w:val="0"/>
              <w:ind w:firstLine="480"/>
              <w:rPr>
                <w:color w:val="auto"/>
                <w:kern w:val="0"/>
                <w:szCs w:val="24"/>
              </w:rPr>
            </w:pPr>
            <w:r>
              <w:rPr>
                <w:color w:val="auto"/>
                <w:kern w:val="0"/>
                <w:szCs w:val="24"/>
              </w:rPr>
              <w:t>到2025年，全市主要流域国、省控断面水质优良（达到或优于</w:t>
            </w:r>
            <w:r>
              <w:rPr>
                <w:rFonts w:hint="eastAsia" w:ascii="宋体" w:hAnsi="宋体" w:cs="宋体"/>
                <w:color w:val="auto"/>
                <w:kern w:val="0"/>
                <w:szCs w:val="24"/>
              </w:rPr>
              <w:t>Ⅲ</w:t>
            </w:r>
            <w:r>
              <w:rPr>
                <w:color w:val="auto"/>
                <w:kern w:val="0"/>
                <w:szCs w:val="24"/>
              </w:rPr>
              <w:t>类）比例总体达100%，县级以上集中式饮用水水源水质达标率达100%。到2030年，全市主要流域国、省控断面水质优良（达到或优于</w:t>
            </w:r>
            <w:r>
              <w:rPr>
                <w:rFonts w:hint="eastAsia" w:ascii="宋体" w:hAnsi="宋体" w:cs="宋体"/>
                <w:color w:val="auto"/>
                <w:kern w:val="0"/>
                <w:szCs w:val="24"/>
              </w:rPr>
              <w:t>Ⅲ</w:t>
            </w:r>
            <w:r>
              <w:rPr>
                <w:color w:val="auto"/>
                <w:kern w:val="0"/>
                <w:szCs w:val="24"/>
              </w:rPr>
              <w:t>类）比例总体达100%，县级以上城市建成区黑臭水体总体得到消除，县级以上集中式饮用水水源水质稳定达标。到2035年，全市主要流域国、省控断面水质优良（达到或优于</w:t>
            </w:r>
            <w:r>
              <w:rPr>
                <w:rFonts w:hint="eastAsia" w:ascii="宋体" w:hAnsi="宋体" w:cs="宋体"/>
                <w:color w:val="auto"/>
                <w:kern w:val="0"/>
                <w:szCs w:val="24"/>
              </w:rPr>
              <w:t>Ⅲ</w:t>
            </w:r>
            <w:r>
              <w:rPr>
                <w:color w:val="auto"/>
                <w:kern w:val="0"/>
                <w:szCs w:val="24"/>
              </w:rPr>
              <w:t>类）比例总体达100%，水生态系统实现良性循环。</w:t>
            </w:r>
          </w:p>
          <w:p>
            <w:pPr>
              <w:pStyle w:val="16"/>
              <w:ind w:firstLine="480"/>
              <w:rPr>
                <w:rFonts w:ascii="Times New Roman" w:hAnsi="Times New Roman"/>
                <w:color w:val="auto"/>
              </w:rPr>
            </w:pPr>
            <w:r>
              <w:rPr>
                <w:rFonts w:ascii="Times New Roman" w:hAnsi="Times New Roman"/>
                <w:color w:val="auto"/>
              </w:rPr>
              <w:t>项目周边水体为</w:t>
            </w:r>
            <w:r>
              <w:rPr>
                <w:rFonts w:hint="eastAsia" w:ascii="Times New Roman" w:hAnsi="Times New Roman"/>
                <w:color w:val="auto"/>
                <w:lang w:val="en-US" w:eastAsia="zh-CN"/>
              </w:rPr>
              <w:t>双岳</w:t>
            </w:r>
            <w:r>
              <w:rPr>
                <w:rFonts w:ascii="Times New Roman" w:hAnsi="Times New Roman"/>
                <w:color w:val="auto"/>
              </w:rPr>
              <w:t>溪，根据</w:t>
            </w:r>
            <w:r>
              <w:rPr>
                <w:rFonts w:hint="eastAsia" w:ascii="Times New Roman" w:hAnsi="Times New Roman"/>
                <w:color w:val="auto"/>
                <w:lang w:eastAsia="zh-CN"/>
              </w:rPr>
              <w:t>《</w:t>
            </w:r>
            <w:r>
              <w:rPr>
                <w:rFonts w:hint="eastAsia" w:ascii="Times New Roman" w:hAnsi="Times New Roman"/>
                <w:color w:val="auto"/>
                <w:lang w:val="en-US" w:eastAsia="zh-CN"/>
              </w:rPr>
              <w:t>宁德市环境质量状况2021年度</w:t>
            </w:r>
            <w:r>
              <w:rPr>
                <w:rFonts w:hint="eastAsia" w:ascii="Times New Roman" w:hAnsi="Times New Roman"/>
                <w:color w:val="auto"/>
                <w:lang w:eastAsia="zh-CN"/>
              </w:rPr>
              <w:t>》</w:t>
            </w:r>
            <w:r>
              <w:rPr>
                <w:rFonts w:hint="eastAsia" w:ascii="Times New Roman" w:hAnsi="Times New Roman"/>
                <w:color w:val="auto"/>
                <w:lang w:val="en-US" w:eastAsia="zh-CN"/>
              </w:rPr>
              <w:t>中小流域水质状况</w:t>
            </w:r>
            <w:r>
              <w:rPr>
                <w:rFonts w:ascii="Times New Roman" w:hAnsi="Times New Roman"/>
                <w:color w:val="auto"/>
              </w:rPr>
              <w:t>监测报告，</w:t>
            </w:r>
            <w:r>
              <w:rPr>
                <w:rFonts w:hint="eastAsia" w:ascii="Times New Roman" w:hAnsi="Times New Roman"/>
                <w:color w:val="auto"/>
                <w:lang w:val="en-US" w:eastAsia="zh-CN"/>
              </w:rPr>
              <w:t>双岳</w:t>
            </w:r>
            <w:r>
              <w:rPr>
                <w:rFonts w:ascii="Times New Roman" w:hAnsi="Times New Roman"/>
                <w:color w:val="auto"/>
              </w:rPr>
              <w:t>溪水质断面监测数据现状显示该区域水质为</w:t>
            </w:r>
            <w:r>
              <w:rPr>
                <w:rFonts w:hint="eastAsia" w:cs="宋体"/>
                <w:color w:val="auto"/>
              </w:rPr>
              <w:t>Ⅲ</w:t>
            </w:r>
            <w:r>
              <w:rPr>
                <w:rFonts w:ascii="Times New Roman" w:hAnsi="Times New Roman"/>
                <w:color w:val="auto"/>
              </w:rPr>
              <w:t>，满足到水环境质量底线到2035年，全市主要流域国、省控断面水质优良（达到或优于</w:t>
            </w:r>
            <w:r>
              <w:rPr>
                <w:rFonts w:hint="eastAsia" w:cs="宋体"/>
                <w:color w:val="auto"/>
              </w:rPr>
              <w:t>Ⅲ</w:t>
            </w:r>
            <w:r>
              <w:rPr>
                <w:rFonts w:ascii="Times New Roman" w:hAnsi="Times New Roman"/>
                <w:color w:val="auto"/>
              </w:rPr>
              <w:t>类）比例总体达100%，水生态系统实现良性循环的要求。</w:t>
            </w:r>
          </w:p>
          <w:p>
            <w:pPr>
              <w:pStyle w:val="16"/>
              <w:ind w:firstLine="480"/>
              <w:rPr>
                <w:rFonts w:ascii="Times New Roman" w:hAnsi="Times New Roman"/>
                <w:color w:val="auto"/>
              </w:rPr>
            </w:pPr>
            <w:r>
              <w:rPr>
                <w:rFonts w:ascii="Times New Roman" w:hAnsi="Times New Roman"/>
                <w:color w:val="auto"/>
              </w:rPr>
              <w:t>项目生产废水全部循环使用，不外排。生活污水经化粪池处理后利用槽罐车定期抽吸后运送至福鼎市第一污水处理厂集中处理，符合水环境质量底线要求。</w:t>
            </w:r>
          </w:p>
          <w:p>
            <w:pPr>
              <w:pStyle w:val="16"/>
              <w:ind w:firstLine="480"/>
              <w:rPr>
                <w:rFonts w:ascii="Times New Roman" w:hAnsi="Times New Roman"/>
                <w:color w:val="auto"/>
              </w:rPr>
            </w:pPr>
            <w:r>
              <w:rPr>
                <w:rFonts w:hint="eastAsia" w:cs="宋体"/>
                <w:color w:val="auto"/>
              </w:rPr>
              <w:t>②</w:t>
            </w:r>
            <w:r>
              <w:rPr>
                <w:rFonts w:ascii="Times New Roman" w:hAnsi="Times New Roman"/>
                <w:color w:val="auto"/>
              </w:rPr>
              <w:t>大气环境质量底线</w:t>
            </w:r>
          </w:p>
          <w:p>
            <w:pPr>
              <w:widowControl/>
              <w:adjustRightInd w:val="0"/>
              <w:snapToGrid w:val="0"/>
              <w:ind w:firstLine="480"/>
              <w:rPr>
                <w:color w:val="auto"/>
                <w:kern w:val="0"/>
                <w:szCs w:val="24"/>
              </w:rPr>
            </w:pPr>
            <w:r>
              <w:rPr>
                <w:color w:val="auto"/>
                <w:kern w:val="0"/>
                <w:szCs w:val="24"/>
              </w:rPr>
              <w:t>根据《宁德市“三线一单”生态环境分区管控方案》，到2025年，中心城区PM</w:t>
            </w:r>
            <w:r>
              <w:rPr>
                <w:color w:val="auto"/>
                <w:kern w:val="0"/>
                <w:szCs w:val="24"/>
                <w:vertAlign w:val="subscript"/>
              </w:rPr>
              <w:t>2.5</w:t>
            </w:r>
            <w:r>
              <w:rPr>
                <w:color w:val="auto"/>
                <w:kern w:val="0"/>
                <w:szCs w:val="24"/>
              </w:rPr>
              <w:t>年平均浓度不高于23μg/m</w:t>
            </w:r>
            <w:r>
              <w:rPr>
                <w:color w:val="auto"/>
                <w:kern w:val="0"/>
                <w:szCs w:val="24"/>
                <w:vertAlign w:val="superscript"/>
              </w:rPr>
              <w:t>3</w:t>
            </w:r>
            <w:r>
              <w:rPr>
                <w:color w:val="auto"/>
                <w:kern w:val="0"/>
                <w:szCs w:val="24"/>
              </w:rPr>
              <w:t>。到2035年，县级以上地区空气质量PM</w:t>
            </w:r>
            <w:r>
              <w:rPr>
                <w:color w:val="auto"/>
                <w:kern w:val="0"/>
                <w:szCs w:val="24"/>
                <w:vertAlign w:val="subscript"/>
              </w:rPr>
              <w:t>2.5</w:t>
            </w:r>
            <w:r>
              <w:rPr>
                <w:color w:val="auto"/>
                <w:kern w:val="0"/>
                <w:szCs w:val="24"/>
              </w:rPr>
              <w:t>年平均浓度不高于18μg/m</w:t>
            </w:r>
            <w:r>
              <w:rPr>
                <w:color w:val="auto"/>
                <w:kern w:val="0"/>
                <w:szCs w:val="24"/>
                <w:vertAlign w:val="superscript"/>
              </w:rPr>
              <w:t>3</w:t>
            </w:r>
            <w:r>
              <w:rPr>
                <w:color w:val="auto"/>
                <w:kern w:val="0"/>
                <w:szCs w:val="24"/>
              </w:rPr>
              <w:t>。</w:t>
            </w:r>
          </w:p>
          <w:p>
            <w:pPr>
              <w:pStyle w:val="16"/>
              <w:ind w:firstLine="480"/>
              <w:rPr>
                <w:rFonts w:ascii="Times New Roman" w:hAnsi="Times New Roman"/>
                <w:color w:val="auto"/>
              </w:rPr>
            </w:pPr>
            <w:r>
              <w:rPr>
                <w:rFonts w:ascii="Times New Roman" w:hAnsi="Times New Roman"/>
                <w:color w:val="auto"/>
              </w:rPr>
              <w:t>项目为</w:t>
            </w:r>
            <w:r>
              <w:rPr>
                <w:rFonts w:hint="eastAsia" w:ascii="Times New Roman" w:hAnsi="Times New Roman"/>
                <w:color w:val="auto"/>
                <w:lang w:val="en-US" w:eastAsia="zh-CN"/>
              </w:rPr>
              <w:t>百胜片区22-25号地块场地平整剩余石料</w:t>
            </w:r>
            <w:r>
              <w:rPr>
                <w:rFonts w:ascii="Times New Roman" w:hAnsi="Times New Roman"/>
                <w:color w:val="auto"/>
                <w:szCs w:val="24"/>
              </w:rPr>
              <w:t>加工</w:t>
            </w:r>
            <w:r>
              <w:rPr>
                <w:rFonts w:hint="eastAsia" w:ascii="Times New Roman" w:hAnsi="Times New Roman"/>
                <w:color w:val="auto"/>
                <w:szCs w:val="24"/>
                <w:lang w:val="en-US" w:eastAsia="zh-CN"/>
              </w:rPr>
              <w:t>扩建</w:t>
            </w:r>
            <w:r>
              <w:rPr>
                <w:rFonts w:ascii="Times New Roman" w:hAnsi="Times New Roman"/>
                <w:color w:val="auto"/>
                <w:szCs w:val="24"/>
              </w:rPr>
              <w:t>项目</w:t>
            </w:r>
            <w:r>
              <w:rPr>
                <w:rFonts w:ascii="Times New Roman" w:hAnsi="Times New Roman"/>
                <w:color w:val="auto"/>
              </w:rPr>
              <w:t>，不属于大规模建设的开发建设项目；生产废气经除尘净化后达标排放，与大气环境质量底线要求不冲突。</w:t>
            </w:r>
          </w:p>
          <w:p>
            <w:pPr>
              <w:pStyle w:val="16"/>
              <w:ind w:firstLine="480"/>
              <w:rPr>
                <w:rFonts w:ascii="Times New Roman" w:hAnsi="Times New Roman"/>
                <w:color w:val="auto"/>
                <w:szCs w:val="24"/>
              </w:rPr>
            </w:pPr>
            <w:r>
              <w:rPr>
                <w:rFonts w:hint="eastAsia" w:cs="宋体"/>
                <w:color w:val="auto"/>
              </w:rPr>
              <w:t>③</w:t>
            </w:r>
            <w:r>
              <w:rPr>
                <w:rFonts w:ascii="Times New Roman" w:hAnsi="Times New Roman"/>
                <w:color w:val="auto"/>
              </w:rPr>
              <w:t>土壤环境风险防控底线</w:t>
            </w:r>
          </w:p>
          <w:p>
            <w:pPr>
              <w:pStyle w:val="16"/>
              <w:ind w:firstLine="480"/>
              <w:rPr>
                <w:rFonts w:ascii="Times New Roman" w:hAnsi="Times New Roman"/>
                <w:color w:val="auto"/>
              </w:rPr>
            </w:pPr>
            <w:r>
              <w:rPr>
                <w:rFonts w:ascii="Times New Roman" w:hAnsi="Times New Roman"/>
                <w:color w:val="auto"/>
              </w:rPr>
              <w:t>到2025年，全市土壤环境质量保持稳定，土壤环境风险得到管控，受污染耕地和污染地块安全利用率达93％以上。到2035年，全市土壤环境质量稳中向好，土壤环境风险得到全面管控，受污染耕地和污染地块安全利用率达95％以上。</w:t>
            </w:r>
          </w:p>
          <w:p>
            <w:pPr>
              <w:pStyle w:val="16"/>
              <w:ind w:firstLine="480"/>
              <w:rPr>
                <w:rFonts w:ascii="Times New Roman" w:hAnsi="Times New Roman"/>
                <w:color w:val="auto"/>
                <w:kern w:val="2"/>
                <w:szCs w:val="24"/>
              </w:rPr>
            </w:pPr>
            <w:r>
              <w:rPr>
                <w:rFonts w:ascii="Times New Roman" w:hAnsi="Times New Roman"/>
                <w:color w:val="auto"/>
              </w:rPr>
              <w:t>项目为</w:t>
            </w:r>
            <w:r>
              <w:rPr>
                <w:rFonts w:hint="eastAsia" w:ascii="Times New Roman" w:hAnsi="Times New Roman"/>
                <w:color w:val="auto"/>
                <w:lang w:val="en-US" w:eastAsia="zh-CN"/>
              </w:rPr>
              <w:t>百胜片区22-25号地块场地平整剩余石料</w:t>
            </w:r>
            <w:r>
              <w:rPr>
                <w:rFonts w:ascii="Times New Roman" w:hAnsi="Times New Roman"/>
                <w:color w:val="auto"/>
              </w:rPr>
              <w:t>加工</w:t>
            </w:r>
            <w:r>
              <w:rPr>
                <w:rFonts w:hint="eastAsia" w:ascii="Times New Roman" w:hAnsi="Times New Roman"/>
                <w:color w:val="auto"/>
                <w:lang w:val="en-US" w:eastAsia="zh-CN"/>
              </w:rPr>
              <w:t>扩建</w:t>
            </w:r>
            <w:r>
              <w:rPr>
                <w:rFonts w:ascii="Times New Roman" w:hAnsi="Times New Roman"/>
                <w:color w:val="auto"/>
              </w:rPr>
              <w:t>项目，不排放持久性污染物，不存在土壤环境风险，与土壤环境风险防控底线要求不冲突。</w:t>
            </w:r>
          </w:p>
          <w:p>
            <w:pPr>
              <w:pStyle w:val="16"/>
              <w:ind w:firstLine="480"/>
              <w:rPr>
                <w:rFonts w:ascii="Times New Roman" w:hAnsi="Times New Roman"/>
                <w:color w:val="auto"/>
              </w:rPr>
            </w:pPr>
            <w:r>
              <w:rPr>
                <w:rFonts w:ascii="Times New Roman" w:hAnsi="Times New Roman"/>
                <w:color w:val="auto"/>
              </w:rPr>
              <w:t>（3）资源利用上线</w:t>
            </w:r>
          </w:p>
          <w:p>
            <w:pPr>
              <w:widowControl/>
              <w:adjustRightInd w:val="0"/>
              <w:snapToGrid w:val="0"/>
              <w:ind w:firstLine="480"/>
              <w:rPr>
                <w:color w:val="auto"/>
                <w:szCs w:val="24"/>
              </w:rPr>
            </w:pPr>
            <w:r>
              <w:rPr>
                <w:color w:val="auto"/>
                <w:szCs w:val="24"/>
              </w:rPr>
              <w:t>根据《宁德市“三线一单”生态环境分区管控方案》，水资源利用上线衔接水资源管理“三条红线”，土地资源利用上线衔接国土空间总体规划要求，能源资源利用上线衔接节能减排、能源规划等文件要求。</w:t>
            </w:r>
          </w:p>
          <w:p>
            <w:pPr>
              <w:pStyle w:val="16"/>
              <w:ind w:firstLine="480"/>
              <w:rPr>
                <w:rFonts w:ascii="Times New Roman" w:hAnsi="Times New Roman"/>
                <w:color w:val="auto"/>
              </w:rPr>
            </w:pPr>
            <w:r>
              <w:rPr>
                <w:rFonts w:ascii="Times New Roman" w:hAnsi="Times New Roman"/>
                <w:color w:val="auto"/>
              </w:rPr>
              <w:t>项目生产用水来源于</w:t>
            </w:r>
            <w:r>
              <w:rPr>
                <w:rFonts w:hint="eastAsia" w:ascii="Times New Roman" w:hAnsi="Times New Roman"/>
                <w:color w:val="auto"/>
                <w:lang w:val="en-US" w:eastAsia="zh-CN"/>
              </w:rPr>
              <w:t>市政供水，</w:t>
            </w:r>
            <w:r>
              <w:rPr>
                <w:rFonts w:ascii="Times New Roman" w:hAnsi="Times New Roman"/>
                <w:color w:val="auto"/>
              </w:rPr>
              <w:t>主要作为砂石清洗使用</w:t>
            </w:r>
            <w:r>
              <w:rPr>
                <w:rFonts w:hint="eastAsia" w:ascii="Times New Roman" w:hAnsi="Times New Roman"/>
                <w:color w:val="auto"/>
                <w:lang w:eastAsia="zh-CN"/>
              </w:rPr>
              <w:t>，</w:t>
            </w:r>
            <w:r>
              <w:rPr>
                <w:rFonts w:hint="eastAsia" w:ascii="Times New Roman" w:hAnsi="Times New Roman"/>
                <w:color w:val="auto"/>
                <w:lang w:val="en-US" w:eastAsia="zh-CN"/>
              </w:rPr>
              <w:t>生活用水接入自来水管网。</w:t>
            </w:r>
            <w:r>
              <w:rPr>
                <w:rFonts w:ascii="Times New Roman" w:hAnsi="Times New Roman"/>
                <w:color w:val="auto"/>
              </w:rPr>
              <w:t>与宁德市水资源利用上线管控要求相符。</w:t>
            </w:r>
          </w:p>
          <w:p>
            <w:pPr>
              <w:pStyle w:val="16"/>
              <w:ind w:firstLine="480"/>
              <w:rPr>
                <w:rFonts w:ascii="Times New Roman" w:hAnsi="Times New Roman"/>
                <w:color w:val="auto"/>
              </w:rPr>
            </w:pPr>
            <w:r>
              <w:rPr>
                <w:rFonts w:hint="eastAsia" w:ascii="Times New Roman" w:hAnsi="Times New Roman"/>
                <w:color w:val="auto"/>
                <w:lang w:val="en-US" w:eastAsia="zh-CN"/>
              </w:rPr>
              <w:t>项目为临时用地，待</w:t>
            </w:r>
            <w:r>
              <w:rPr>
                <w:rFonts w:ascii="Times New Roman" w:hAnsi="Times New Roman"/>
                <w:color w:val="auto"/>
                <w:szCs w:val="24"/>
              </w:rPr>
              <w:t>福鼎市百胜片区22-25号地块</w:t>
            </w:r>
            <w:r>
              <w:rPr>
                <w:rFonts w:ascii="Times New Roman" w:hAnsi="Times New Roman"/>
                <w:color w:val="auto"/>
              </w:rPr>
              <w:t>场地平整剩余砂石资源处置完毕后自行拆除相关设备和临时搭建的生产车间</w:t>
            </w:r>
            <w:r>
              <w:rPr>
                <w:rFonts w:hint="eastAsia" w:ascii="Times New Roman" w:hAnsi="Times New Roman"/>
                <w:color w:val="auto"/>
                <w:lang w:eastAsia="zh-CN"/>
              </w:rPr>
              <w:t>，</w:t>
            </w:r>
            <w:r>
              <w:rPr>
                <w:rFonts w:ascii="Times New Roman" w:hAnsi="Times New Roman"/>
                <w:color w:val="auto"/>
              </w:rPr>
              <w:t>不会突破土地资源利用上线。</w:t>
            </w:r>
          </w:p>
          <w:p>
            <w:pPr>
              <w:pStyle w:val="16"/>
              <w:ind w:firstLine="480"/>
              <w:rPr>
                <w:rFonts w:ascii="Times New Roman" w:hAnsi="Times New Roman"/>
                <w:color w:val="auto"/>
              </w:rPr>
            </w:pPr>
            <w:r>
              <w:rPr>
                <w:rFonts w:ascii="Times New Roman" w:hAnsi="Times New Roman"/>
                <w:color w:val="auto"/>
              </w:rPr>
              <w:t>项目所在地不属于文本中划定的高污染燃料禁燃区，且项目主要使用电作能源，项目未涉及高污染燃料，项目与宁德市能源资源利用上线要求相符。</w:t>
            </w:r>
          </w:p>
          <w:p>
            <w:pPr>
              <w:pStyle w:val="16"/>
              <w:ind w:firstLine="480"/>
              <w:rPr>
                <w:rFonts w:ascii="Times New Roman" w:hAnsi="Times New Roman"/>
                <w:color w:val="auto"/>
              </w:rPr>
            </w:pPr>
            <w:r>
              <w:rPr>
                <w:rFonts w:ascii="Times New Roman" w:hAnsi="Times New Roman"/>
                <w:color w:val="auto"/>
              </w:rPr>
              <w:t>（4）准入清单</w:t>
            </w:r>
          </w:p>
          <w:p>
            <w:pPr>
              <w:pStyle w:val="16"/>
              <w:ind w:firstLine="480"/>
              <w:rPr>
                <w:rFonts w:ascii="Times New Roman" w:hAnsi="Times New Roman"/>
                <w:color w:val="auto"/>
              </w:rPr>
            </w:pPr>
            <w:r>
              <w:rPr>
                <w:rFonts w:ascii="Times New Roman" w:hAnsi="Times New Roman"/>
                <w:color w:val="auto"/>
              </w:rPr>
              <w:t>根据《宁德市生态环境准入清单》，项目对照宁德市生态环境总体准入要求，其管控要求见表1.1-1。</w:t>
            </w:r>
          </w:p>
          <w:p>
            <w:pPr>
              <w:pStyle w:val="13"/>
              <w:rPr>
                <w:color w:val="auto"/>
              </w:rPr>
            </w:pPr>
            <w:r>
              <w:rPr>
                <w:color w:val="auto"/>
              </w:rPr>
              <w:t>表1.1-1项目与宁德市生态环境总体准入要求符合性分析</w:t>
            </w:r>
          </w:p>
          <w:tbl>
            <w:tblPr>
              <w:tblStyle w:val="10"/>
              <w:tblW w:w="65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870"/>
              <w:gridCol w:w="731"/>
              <w:gridCol w:w="3031"/>
              <w:gridCol w:w="10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665" w:type="pct"/>
                  <w:tcBorders>
                    <w:top w:val="single" w:color="auto" w:sz="12" w:space="0"/>
                    <w:left w:val="single" w:color="auto" w:sz="12" w:space="0"/>
                    <w:bottom w:val="single" w:color="auto" w:sz="6" w:space="0"/>
                    <w:right w:val="single" w:color="auto" w:sz="6"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环境管控单元名称</w:t>
                  </w:r>
                </w:p>
              </w:tc>
              <w:tc>
                <w:tcPr>
                  <w:tcW w:w="665" w:type="pct"/>
                  <w:tcBorders>
                    <w:top w:val="single" w:color="auto" w:sz="12" w:space="0"/>
                    <w:left w:val="single" w:color="auto" w:sz="6" w:space="0"/>
                    <w:bottom w:val="single" w:color="auto" w:sz="6" w:space="0"/>
                    <w:right w:val="single" w:color="auto" w:sz="4"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管控单元类别</w:t>
                  </w:r>
                </w:p>
              </w:tc>
              <w:tc>
                <w:tcPr>
                  <w:tcW w:w="2877" w:type="pct"/>
                  <w:gridSpan w:val="2"/>
                  <w:tcBorders>
                    <w:top w:val="single" w:color="auto" w:sz="12" w:space="0"/>
                    <w:left w:val="single" w:color="auto" w:sz="6" w:space="0"/>
                    <w:bottom w:val="single" w:color="auto" w:sz="6" w:space="0"/>
                    <w:right w:val="single" w:color="auto" w:sz="12"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管控要求</w:t>
                  </w:r>
                </w:p>
              </w:tc>
              <w:tc>
                <w:tcPr>
                  <w:tcW w:w="792" w:type="pct"/>
                  <w:tcBorders>
                    <w:top w:val="single" w:color="auto" w:sz="12" w:space="0"/>
                    <w:left w:val="single" w:color="auto" w:sz="6" w:space="0"/>
                    <w:bottom w:val="single" w:color="auto" w:sz="6" w:space="0"/>
                    <w:right w:val="single" w:color="auto" w:sz="12"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color w:val="auto"/>
                    </w:rPr>
                  </w:pPr>
                  <w:r>
                    <w:rPr>
                      <w:color w:val="auto"/>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65" w:type="pct"/>
                  <w:vMerge w:val="restart"/>
                  <w:tcBorders>
                    <w:top w:val="single" w:color="auto" w:sz="4" w:space="0"/>
                    <w:left w:val="single" w:color="auto" w:sz="12" w:space="0"/>
                    <w:right w:val="single" w:color="auto" w:sz="6"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福鼎工业园区</w:t>
                  </w:r>
                </w:p>
              </w:tc>
              <w:tc>
                <w:tcPr>
                  <w:tcW w:w="665" w:type="pct"/>
                  <w:vMerge w:val="restart"/>
                  <w:tcBorders>
                    <w:top w:val="single" w:color="auto" w:sz="6" w:space="0"/>
                    <w:left w:val="single" w:color="auto" w:sz="6" w:space="0"/>
                    <w:right w:val="single" w:color="auto" w:sz="6" w:space="0"/>
                  </w:tcBorders>
                  <w:noWrap w:val="0"/>
                  <w:vAlign w:val="center"/>
                </w:tcPr>
                <w:p>
                  <w:pPr>
                    <w:pStyle w:val="15"/>
                    <w:keepNext w:val="0"/>
                    <w:keepLines w:val="0"/>
                    <w:pageBreakBefore w:val="0"/>
                    <w:kinsoku/>
                    <w:wordWrap/>
                    <w:overflowPunct/>
                    <w:topLinePunct w:val="0"/>
                    <w:autoSpaceDE/>
                    <w:autoSpaceDN/>
                    <w:bidi w:val="0"/>
                    <w:adjustRightInd/>
                    <w:snapToGrid/>
                    <w:jc w:val="center"/>
                    <w:textAlignment w:val="auto"/>
                    <w:rPr>
                      <w:color w:val="auto"/>
                    </w:rPr>
                  </w:pPr>
                  <w:r>
                    <w:rPr>
                      <w:rFonts w:hint="eastAsia"/>
                      <w:color w:val="auto"/>
                      <w:lang w:val="en-US" w:eastAsia="zh-CN"/>
                    </w:rPr>
                    <w:t>重点管控单元</w:t>
                  </w:r>
                </w:p>
              </w:tc>
              <w:tc>
                <w:tcPr>
                  <w:tcW w:w="559" w:type="pct"/>
                  <w:tcBorders>
                    <w:top w:val="single" w:color="auto" w:sz="6" w:space="0"/>
                    <w:left w:val="single" w:color="auto" w:sz="6" w:space="0"/>
                    <w:right w:val="single" w:color="auto" w:sz="4"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空间布局约束</w:t>
                  </w:r>
                </w:p>
              </w:tc>
              <w:tc>
                <w:tcPr>
                  <w:tcW w:w="2317" w:type="pct"/>
                  <w:tcBorders>
                    <w:top w:val="single" w:color="auto" w:sz="6" w:space="0"/>
                    <w:left w:val="single" w:color="auto" w:sz="6"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 xml:space="preserve">双岳片区禁止引入新增重金属污染物排放的建设项目。 </w:t>
                  </w:r>
                </w:p>
              </w:tc>
              <w:tc>
                <w:tcPr>
                  <w:tcW w:w="792" w:type="pct"/>
                  <w:tcBorders>
                    <w:top w:val="single" w:color="auto" w:sz="6" w:space="0"/>
                    <w:left w:val="single" w:color="auto" w:sz="6" w:space="0"/>
                    <w:bottom w:val="single" w:color="auto" w:sz="12" w:space="0"/>
                    <w:right w:val="single" w:color="auto" w:sz="12"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65" w:type="pct"/>
                  <w:vMerge w:val="continue"/>
                  <w:tcBorders>
                    <w:left w:val="single" w:color="auto" w:sz="12" w:space="0"/>
                    <w:right w:val="single" w:color="auto" w:sz="6"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color w:val="auto"/>
                    </w:rPr>
                  </w:pPr>
                </w:p>
              </w:tc>
              <w:tc>
                <w:tcPr>
                  <w:tcW w:w="665" w:type="pct"/>
                  <w:vMerge w:val="continue"/>
                  <w:tcBorders>
                    <w:left w:val="single" w:color="auto" w:sz="6" w:space="0"/>
                    <w:right w:val="single" w:color="auto" w:sz="6"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color w:val="auto"/>
                    </w:rPr>
                  </w:pPr>
                </w:p>
              </w:tc>
              <w:tc>
                <w:tcPr>
                  <w:tcW w:w="559" w:type="pct"/>
                  <w:tcBorders>
                    <w:top w:val="single" w:color="auto" w:sz="6" w:space="0"/>
                    <w:left w:val="single" w:color="auto" w:sz="6" w:space="0"/>
                    <w:right w:val="single" w:color="auto" w:sz="4"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污染物排放管控</w:t>
                  </w:r>
                </w:p>
              </w:tc>
              <w:tc>
                <w:tcPr>
                  <w:tcW w:w="2317" w:type="pct"/>
                  <w:tcBorders>
                    <w:top w:val="single" w:color="auto" w:sz="6" w:space="0"/>
                    <w:left w:val="single" w:color="auto" w:sz="6"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1.新建涉 VOCs </w:t>
                  </w:r>
                  <w:r>
                    <w:rPr>
                      <w:rFonts w:hint="eastAsia" w:ascii="Times New Roman" w:hAnsi="Times New Roman" w:eastAsia="宋体" w:cs="Times New Roman"/>
                      <w:color w:val="auto"/>
                      <w:kern w:val="2"/>
                      <w:sz w:val="21"/>
                      <w:szCs w:val="21"/>
                      <w:lang w:val="en-US" w:eastAsia="zh-CN" w:bidi="ar-SA"/>
                    </w:rPr>
                    <w:t xml:space="preserve">项目，应实行 </w:t>
                  </w:r>
                  <w:r>
                    <w:rPr>
                      <w:rFonts w:hint="default" w:ascii="Times New Roman" w:hAnsi="Times New Roman" w:eastAsia="宋体" w:cs="Times New Roman"/>
                      <w:color w:val="auto"/>
                      <w:kern w:val="2"/>
                      <w:sz w:val="21"/>
                      <w:szCs w:val="21"/>
                      <w:lang w:val="en-US" w:eastAsia="zh-CN" w:bidi="ar-SA"/>
                    </w:rPr>
                    <w:t xml:space="preserve">VOCs </w:t>
                  </w:r>
                  <w:r>
                    <w:rPr>
                      <w:rFonts w:hint="eastAsia" w:ascii="Times New Roman" w:hAnsi="Times New Roman" w:eastAsia="宋体" w:cs="Times New Roman"/>
                      <w:color w:val="auto"/>
                      <w:kern w:val="2"/>
                      <w:sz w:val="21"/>
                      <w:szCs w:val="21"/>
                      <w:lang w:val="en-US" w:eastAsia="zh-CN" w:bidi="ar-SA"/>
                    </w:rPr>
                    <w:t>区域内等量替代。</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2.加快区内污水管网的建设工程，确保工业企业的所有废(</w:t>
                  </w:r>
                  <w:r>
                    <w:rPr>
                      <w:rFonts w:hint="eastAsia" w:ascii="Times New Roman" w:hAnsi="Times New Roman" w:eastAsia="宋体" w:cs="Times New Roman"/>
                      <w:color w:val="auto"/>
                      <w:kern w:val="2"/>
                      <w:sz w:val="21"/>
                      <w:szCs w:val="21"/>
                      <w:lang w:val="en-US" w:eastAsia="zh-CN" w:bidi="ar-SA"/>
                    </w:rPr>
                    <w:t>污</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 xml:space="preserve">水都纳管集中处理，鼓励企业中水回用。 </w:t>
                  </w:r>
                </w:p>
              </w:tc>
              <w:tc>
                <w:tcPr>
                  <w:tcW w:w="792" w:type="pct"/>
                  <w:tcBorders>
                    <w:top w:val="single" w:color="auto" w:sz="6" w:space="0"/>
                    <w:left w:val="single" w:color="auto" w:sz="6" w:space="0"/>
                    <w:bottom w:val="single" w:color="auto" w:sz="12" w:space="0"/>
                    <w:right w:val="single" w:color="auto" w:sz="12"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65" w:type="pct"/>
                  <w:vMerge w:val="continue"/>
                  <w:tcBorders>
                    <w:left w:val="single" w:color="auto" w:sz="12" w:space="0"/>
                    <w:right w:val="single" w:color="auto" w:sz="6"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color w:val="auto"/>
                    </w:rPr>
                  </w:pPr>
                </w:p>
              </w:tc>
              <w:tc>
                <w:tcPr>
                  <w:tcW w:w="665" w:type="pct"/>
                  <w:vMerge w:val="continue"/>
                  <w:tcBorders>
                    <w:left w:val="single" w:color="auto" w:sz="6" w:space="0"/>
                    <w:right w:val="single" w:color="auto" w:sz="6"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color w:val="auto"/>
                    </w:rPr>
                  </w:pPr>
                </w:p>
              </w:tc>
              <w:tc>
                <w:tcPr>
                  <w:tcW w:w="559" w:type="pct"/>
                  <w:tcBorders>
                    <w:top w:val="single" w:color="auto" w:sz="6" w:space="0"/>
                    <w:left w:val="single" w:color="auto" w:sz="6" w:space="0"/>
                    <w:right w:val="single" w:color="auto" w:sz="4"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default" w:eastAsia="宋体"/>
                      <w:color w:val="auto"/>
                      <w:lang w:val="en-US" w:eastAsia="zh-CN"/>
                    </w:rPr>
                  </w:pPr>
                  <w:r>
                    <w:rPr>
                      <w:rFonts w:hint="eastAsia"/>
                      <w:color w:val="auto"/>
                      <w:lang w:val="en-US" w:eastAsia="zh-CN"/>
                    </w:rPr>
                    <w:t>环境风险防控</w:t>
                  </w:r>
                </w:p>
              </w:tc>
              <w:tc>
                <w:tcPr>
                  <w:tcW w:w="2317" w:type="pct"/>
                  <w:tcBorders>
                    <w:top w:val="single" w:color="auto" w:sz="6" w:space="0"/>
                    <w:left w:val="single" w:color="auto" w:sz="6"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建立健全环境风险防控体系，制定环境风险应急预案，建立完善有效的环境风险防控设施和有效的拦截、降污、导流等措施，防止泄漏物和事故废水污染地表水、地下水和土壤环境。 </w:t>
                  </w:r>
                </w:p>
              </w:tc>
              <w:tc>
                <w:tcPr>
                  <w:tcW w:w="792" w:type="pct"/>
                  <w:tcBorders>
                    <w:top w:val="single" w:color="auto" w:sz="6" w:space="0"/>
                    <w:left w:val="single" w:color="auto" w:sz="6" w:space="0"/>
                    <w:bottom w:val="single" w:color="auto" w:sz="12" w:space="0"/>
                    <w:right w:val="single" w:color="auto" w:sz="12" w:space="0"/>
                  </w:tcBorders>
                  <w:noWrap w:val="0"/>
                  <w:vAlign w:val="center"/>
                </w:tcPr>
                <w:p>
                  <w:pPr>
                    <w:pStyle w:val="15"/>
                    <w:keepNext w:val="0"/>
                    <w:keepLines w:val="0"/>
                    <w:pageBreakBefore w:val="0"/>
                    <w:kinsoku/>
                    <w:wordWrap/>
                    <w:overflowPunct/>
                    <w:topLinePunct w:val="0"/>
                    <w:autoSpaceDE/>
                    <w:autoSpaceDN/>
                    <w:bidi w:val="0"/>
                    <w:adjustRightInd/>
                    <w:snapToGrid/>
                    <w:textAlignment w:val="auto"/>
                    <w:rPr>
                      <w:rFonts w:hint="eastAsia" w:eastAsia="宋体"/>
                      <w:color w:val="auto"/>
                      <w:lang w:val="en-US" w:eastAsia="zh-CN"/>
                    </w:rPr>
                  </w:pPr>
                  <w:r>
                    <w:rPr>
                      <w:rFonts w:hint="eastAsia"/>
                      <w:color w:val="auto"/>
                      <w:lang w:val="en-US" w:eastAsia="zh-CN"/>
                    </w:rPr>
                    <w:t>符合</w:t>
                  </w:r>
                </w:p>
              </w:tc>
            </w:tr>
          </w:tbl>
          <w:p>
            <w:pPr>
              <w:pStyle w:val="17"/>
              <w:rPr>
                <w:color w:val="auto"/>
              </w:rPr>
            </w:pPr>
            <w:r>
              <w:rPr>
                <w:color w:val="auto"/>
              </w:rPr>
              <w:t>1.2选址合理性分析</w:t>
            </w:r>
          </w:p>
          <w:p>
            <w:pPr>
              <w:adjustRightInd w:val="0"/>
              <w:snapToGrid w:val="0"/>
              <w:ind w:firstLine="480"/>
              <w:rPr>
                <w:rFonts w:hint="default"/>
                <w:color w:val="auto"/>
                <w:lang w:val="en-US" w:eastAsia="zh-CN"/>
              </w:rPr>
            </w:pPr>
            <w:r>
              <w:rPr>
                <w:color w:val="auto"/>
                <w:szCs w:val="24"/>
              </w:rPr>
              <w:t>本项目位于</w:t>
            </w:r>
            <w:r>
              <w:rPr>
                <w:rFonts w:hint="eastAsia"/>
                <w:color w:val="auto"/>
                <w:sz w:val="24"/>
                <w:szCs w:val="24"/>
                <w:lang w:val="en-US" w:eastAsia="zh-CN"/>
              </w:rPr>
              <w:t>福鼎市双岳片区百叶岚山东侧</w:t>
            </w:r>
            <w:r>
              <w:rPr>
                <w:color w:val="auto"/>
                <w:szCs w:val="24"/>
              </w:rPr>
              <w:t>，</w:t>
            </w:r>
            <w:r>
              <w:rPr>
                <w:rFonts w:hint="eastAsia"/>
                <w:color w:val="auto"/>
                <w:szCs w:val="24"/>
                <w:lang w:val="en-US" w:eastAsia="zh-CN"/>
              </w:rPr>
              <w:t>根据《中共福鼎市委山前街道工作委员会（扩大）会议纪要》会议议定：“福鼎市百胜片区22-25#地块场地平整剩余砂石土资源处置权由福建省文誉建设工程有限公司于2021年4月22日拍卖中标，现受爆破原因和场地呈阶梯状，工作面无法展开，根据福鼎市人民政府专题会议纪要[22021]68号文件精神和该公司提请报告，经请市相关领导，并协调市工业园区管委会，为切实做好该地块剩余砂石土场地平整工作，加快工程进度，同意在双岳片区百叶岚山东侧地块约20亩土地作为该公司临时堆料场及部分砂石加工点。”于2023年1月20日取得福鼎市自然资源局出具的《福鼎市自然资源局关于双岳项目区百叶岚山东侧地块作为临时堆料和加工点的复函》（见附件6）。综上，项目用地手续合法。</w:t>
            </w:r>
          </w:p>
          <w:p>
            <w:pPr>
              <w:adjustRightInd w:val="0"/>
              <w:snapToGrid w:val="0"/>
              <w:ind w:firstLine="0" w:firstLineChars="0"/>
              <w:jc w:val="left"/>
              <w:outlineLvl w:val="2"/>
              <w:rPr>
                <w:rFonts w:eastAsia="黑体"/>
                <w:color w:val="auto"/>
                <w:sz w:val="28"/>
                <w:szCs w:val="28"/>
              </w:rPr>
            </w:pPr>
            <w:r>
              <w:rPr>
                <w:rFonts w:eastAsia="黑体"/>
                <w:color w:val="auto"/>
                <w:sz w:val="28"/>
                <w:szCs w:val="28"/>
              </w:rPr>
              <w:t>1.3产业政策符合性</w:t>
            </w:r>
          </w:p>
          <w:p>
            <w:pPr>
              <w:ind w:firstLine="480"/>
              <w:rPr>
                <w:rStyle w:val="19"/>
                <w:rFonts w:ascii="Times New Roman" w:hAnsi="Times New Roman" w:cs="Times New Roman"/>
                <w:color w:val="auto"/>
              </w:rPr>
            </w:pPr>
            <w:r>
              <w:rPr>
                <w:rStyle w:val="19"/>
                <w:rFonts w:ascii="Times New Roman" w:hAnsi="Times New Roman" w:cs="Times New Roman"/>
                <w:color w:val="auto"/>
              </w:rPr>
              <w:t>本项目为</w:t>
            </w:r>
            <w:r>
              <w:rPr>
                <w:rFonts w:hint="eastAsia" w:ascii="Times New Roman" w:hAnsi="Times New Roman"/>
                <w:color w:val="auto"/>
                <w:lang w:val="en-US" w:eastAsia="zh-CN"/>
              </w:rPr>
              <w:t>百胜片区22-25号地块场地平整剩余石料</w:t>
            </w:r>
            <w:r>
              <w:rPr>
                <w:rFonts w:ascii="Times New Roman" w:hAnsi="Times New Roman"/>
                <w:color w:val="auto"/>
                <w:szCs w:val="24"/>
              </w:rPr>
              <w:t>加工</w:t>
            </w:r>
            <w:r>
              <w:rPr>
                <w:rFonts w:hint="eastAsia"/>
                <w:color w:val="auto"/>
                <w:szCs w:val="24"/>
                <w:lang w:val="en-US" w:eastAsia="zh-CN"/>
              </w:rPr>
              <w:t>扩建</w:t>
            </w:r>
            <w:r>
              <w:rPr>
                <w:rFonts w:ascii="Times New Roman" w:hAnsi="Times New Roman"/>
                <w:color w:val="auto"/>
                <w:szCs w:val="24"/>
              </w:rPr>
              <w:t>项目</w:t>
            </w:r>
            <w:r>
              <w:rPr>
                <w:rStyle w:val="19"/>
                <w:rFonts w:ascii="Times New Roman" w:hAnsi="Times New Roman" w:cs="Times New Roman"/>
                <w:color w:val="auto"/>
              </w:rPr>
              <w:t>，为百胜片区22-25号地块场地平整的配套项目（为场地平整处置多余的渣石资源）</w:t>
            </w:r>
            <w:r>
              <w:rPr>
                <w:color w:val="auto"/>
              </w:rPr>
              <w:t>，</w:t>
            </w:r>
            <w:r>
              <w:rPr>
                <w:rStyle w:val="19"/>
                <w:rFonts w:ascii="Times New Roman" w:hAnsi="Times New Roman" w:cs="Times New Roman"/>
                <w:color w:val="auto"/>
              </w:rPr>
              <w:t>属于《产业结构调整指导目录（2019年）》中鼓励类“四十三、环境保护与资源节约综合利用中的“尾矿、废渣等资源综合利用及配套装备制造”，项目符合国家产业政策要求。</w:t>
            </w:r>
          </w:p>
          <w:p>
            <w:pPr>
              <w:ind w:firstLine="480"/>
              <w:rPr>
                <w:color w:val="auto"/>
                <w:szCs w:val="24"/>
              </w:rPr>
            </w:pPr>
            <w:r>
              <w:rPr>
                <w:color w:val="auto"/>
              </w:rPr>
              <w:t>项目已取得</w:t>
            </w:r>
            <w:r>
              <w:rPr>
                <w:color w:val="auto"/>
                <w:szCs w:val="24"/>
              </w:rPr>
              <w:t>福鼎市发展和改革局</w:t>
            </w:r>
            <w:r>
              <w:rPr>
                <w:color w:val="auto"/>
              </w:rPr>
              <w:t>的备案表（备案号：</w:t>
            </w:r>
            <w:r>
              <w:rPr>
                <w:color w:val="auto"/>
                <w:szCs w:val="24"/>
              </w:rPr>
              <w:t>闽发改备[202</w:t>
            </w:r>
            <w:r>
              <w:rPr>
                <w:rFonts w:hint="eastAsia"/>
                <w:color w:val="auto"/>
                <w:szCs w:val="24"/>
                <w:lang w:val="en-US" w:eastAsia="zh-CN"/>
              </w:rPr>
              <w:t>2</w:t>
            </w:r>
            <w:r>
              <w:rPr>
                <w:color w:val="auto"/>
                <w:szCs w:val="24"/>
              </w:rPr>
              <w:t>]J0300</w:t>
            </w:r>
            <w:r>
              <w:rPr>
                <w:rFonts w:hint="eastAsia"/>
                <w:color w:val="auto"/>
                <w:szCs w:val="24"/>
                <w:lang w:val="en-US" w:eastAsia="zh-CN"/>
              </w:rPr>
              <w:t>71</w:t>
            </w:r>
            <w:r>
              <w:rPr>
                <w:color w:val="auto"/>
                <w:szCs w:val="24"/>
              </w:rPr>
              <w:t>号</w:t>
            </w:r>
            <w:r>
              <w:rPr>
                <w:color w:val="auto"/>
              </w:rPr>
              <w:t>）。项目符合地方产业政策要求。</w:t>
            </w:r>
          </w:p>
        </w:tc>
      </w:tr>
    </w:tbl>
    <w:p>
      <w:pPr>
        <w:ind w:firstLine="600"/>
        <w:outlineLvl w:val="0"/>
        <w:rPr>
          <w:rFonts w:eastAsia="黑体"/>
          <w:color w:val="auto"/>
          <w:sz w:val="30"/>
        </w:rPr>
        <w:sectPr>
          <w:footerReference r:id="rId7" w:type="default"/>
          <w:pgSz w:w="11906" w:h="16838"/>
          <w:pgMar w:top="1440" w:right="1797" w:bottom="1440" w:left="1797"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4"/>
        <w:rPr>
          <w:snapToGrid w:val="0"/>
          <w:color w:val="auto"/>
        </w:rPr>
      </w:pPr>
      <w:r>
        <w:rPr>
          <w:snapToGrid w:val="0"/>
          <w:color w:val="auto"/>
        </w:rPr>
        <w:t>二、建设项目工程分析</w:t>
      </w:r>
    </w:p>
    <w:tbl>
      <w:tblPr>
        <w:tblStyle w:val="1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4" w:type="pct"/>
            <w:noWrap w:val="0"/>
            <w:vAlign w:val="center"/>
          </w:tcPr>
          <w:p>
            <w:pPr>
              <w:pStyle w:val="15"/>
              <w:rPr>
                <w:color w:val="auto"/>
                <w:sz w:val="24"/>
                <w:szCs w:val="24"/>
              </w:rPr>
            </w:pPr>
            <w:r>
              <w:rPr>
                <w:color w:val="auto"/>
                <w:sz w:val="24"/>
                <w:szCs w:val="24"/>
              </w:rPr>
              <w:t>建设</w:t>
            </w:r>
          </w:p>
          <w:p>
            <w:pPr>
              <w:pStyle w:val="15"/>
              <w:rPr>
                <w:color w:val="auto"/>
                <w:sz w:val="24"/>
                <w:szCs w:val="24"/>
              </w:rPr>
            </w:pPr>
            <w:r>
              <w:rPr>
                <w:color w:val="auto"/>
                <w:sz w:val="24"/>
                <w:szCs w:val="24"/>
              </w:rPr>
              <w:t>内容</w:t>
            </w:r>
          </w:p>
        </w:tc>
        <w:tc>
          <w:tcPr>
            <w:tcW w:w="4765" w:type="pct"/>
            <w:noWrap w:val="0"/>
            <w:vAlign w:val="top"/>
          </w:tcPr>
          <w:p>
            <w:pPr>
              <w:pStyle w:val="20"/>
              <w:rPr>
                <w:color w:val="auto"/>
              </w:rPr>
            </w:pPr>
            <w:r>
              <w:rPr>
                <w:color w:val="auto"/>
              </w:rPr>
              <w:t>2.1项目基本情况</w:t>
            </w:r>
          </w:p>
          <w:p>
            <w:pPr>
              <w:pStyle w:val="17"/>
              <w:rPr>
                <w:color w:val="auto"/>
              </w:rPr>
            </w:pPr>
            <w:r>
              <w:rPr>
                <w:color w:val="auto"/>
              </w:rPr>
              <w:t>2.1.1项目由来</w:t>
            </w:r>
          </w:p>
          <w:p>
            <w:pPr>
              <w:keepNext w:val="0"/>
              <w:keepLines w:val="0"/>
              <w:widowControl/>
              <w:suppressLineNumbers w:val="0"/>
              <w:jc w:val="both"/>
              <w:rPr>
                <w:rFonts w:hint="default"/>
                <w:color w:val="auto"/>
                <w:lang w:val="en-US" w:eastAsia="zh-CN"/>
              </w:rPr>
            </w:pPr>
            <w:r>
              <w:rPr>
                <w:rFonts w:ascii="Times New Roman" w:hAnsi="Times New Roman"/>
                <w:color w:val="auto"/>
              </w:rPr>
              <w:t>根据《福鼎市百胜片区22-25号地块场地平整剩余砂石土资源处置权出让合同》，福鼎市百胜片区22-25号地块已经由福建省人民政府闽政地[2009]313号、闽政地[2010]108号等文批准农用地转用和土地征收，福建省文誉建设工程有限公司原法定代表人王圣海通过拍卖取得了福鼎市百胜片区22-25号地块场地平整剩余砂石土资源处置权（详见附件4）。福鼎市自然资源局于2021年8月20日出具了</w:t>
            </w:r>
            <w:r>
              <w:rPr>
                <w:rFonts w:ascii="Times New Roman" w:hAnsi="Times New Roman"/>
                <w:color w:val="auto"/>
                <w:szCs w:val="24"/>
              </w:rPr>
              <w:t>《福鼎市自然资源局关于百胜片区22-25号地块场地平整剩余砂石土资源处置项目弃渣场临时用地的批复》（鼎自然资临</w:t>
            </w:r>
            <w:r>
              <w:rPr>
                <w:rFonts w:ascii="Times New Roman" w:hAnsi="Times New Roman"/>
                <w:color w:val="auto"/>
              </w:rPr>
              <w:t>[2021]第032号）。</w:t>
            </w:r>
            <w:r>
              <w:rPr>
                <w:rFonts w:hint="eastAsia"/>
                <w:color w:val="auto"/>
                <w:lang w:val="en-US" w:eastAsia="zh-CN"/>
              </w:rPr>
              <w:t>建设单位于2021年9月委托福州壹澜环保科技有限公司编</w:t>
            </w:r>
            <w:r>
              <w:rPr>
                <w:rFonts w:hint="eastAsia" w:ascii="Times New Roman" w:hAnsi="Times New Roman"/>
                <w:color w:val="auto"/>
                <w:lang w:val="en-US" w:eastAsia="zh-CN"/>
              </w:rPr>
              <w:t xml:space="preserve">制完成《福建省文誉建设工程有限公司百胜片区 </w:t>
            </w:r>
            <w:r>
              <w:rPr>
                <w:rFonts w:hint="default" w:ascii="Times New Roman" w:hAnsi="Times New Roman"/>
                <w:color w:val="auto"/>
                <w:lang w:val="en-US" w:eastAsia="zh-CN"/>
              </w:rPr>
              <w:t xml:space="preserve">22-25 </w:t>
            </w:r>
            <w:r>
              <w:rPr>
                <w:rFonts w:hint="eastAsia" w:ascii="Times New Roman" w:hAnsi="Times New Roman"/>
                <w:color w:val="auto"/>
                <w:lang w:val="en-US" w:eastAsia="zh-CN"/>
              </w:rPr>
              <w:t>号地块场地平整剩余石料加工项目环境影响评价报告表</w:t>
            </w:r>
            <w:r>
              <w:rPr>
                <w:rFonts w:hint="eastAsia"/>
                <w:color w:val="auto"/>
                <w:lang w:val="en-US" w:eastAsia="zh-CN"/>
              </w:rPr>
              <w:t>》，于2022年1月6日取得《</w:t>
            </w:r>
            <w:r>
              <w:rPr>
                <w:rFonts w:hint="eastAsia" w:ascii="宋体" w:hAnsi="宋体" w:eastAsia="宋体" w:cs="宋体"/>
                <w:color w:val="auto"/>
                <w:kern w:val="0"/>
                <w:sz w:val="24"/>
                <w:szCs w:val="24"/>
                <w:lang w:val="en-US" w:eastAsia="zh-CN" w:bidi="ar"/>
              </w:rPr>
              <w:t xml:space="preserve">宁德市福鼎生态环境局关于百胜片区 </w:t>
            </w:r>
            <w:r>
              <w:rPr>
                <w:rFonts w:hint="default" w:ascii="Times New Roman" w:hAnsi="Times New Roman" w:eastAsia="宋体" w:cs="Times New Roman"/>
                <w:color w:val="auto"/>
                <w:kern w:val="0"/>
                <w:sz w:val="24"/>
                <w:szCs w:val="24"/>
                <w:lang w:val="en-US" w:eastAsia="zh-CN" w:bidi="ar"/>
              </w:rPr>
              <w:t xml:space="preserve">22-25 </w:t>
            </w:r>
            <w:r>
              <w:rPr>
                <w:rFonts w:hint="eastAsia" w:ascii="宋体" w:hAnsi="宋体" w:eastAsia="宋体" w:cs="宋体"/>
                <w:color w:val="auto"/>
                <w:kern w:val="0"/>
                <w:sz w:val="24"/>
                <w:szCs w:val="24"/>
                <w:lang w:val="en-US" w:eastAsia="zh-CN" w:bidi="ar"/>
              </w:rPr>
              <w:t>号地块场地平整剩余石料加工项目环境影响报告表的批复》</w:t>
            </w:r>
            <w:r>
              <w:rPr>
                <w:rFonts w:hint="eastAsia" w:ascii="Times New Roman" w:hAnsi="Times New Roman"/>
                <w:color w:val="auto"/>
                <w:lang w:val="en-US" w:eastAsia="zh-CN"/>
              </w:rPr>
              <w:t>（宁鼎环评[2022]1号）</w:t>
            </w:r>
            <w:r>
              <w:rPr>
                <w:rFonts w:hint="eastAsia"/>
                <w:color w:val="auto"/>
                <w:lang w:val="en-US" w:eastAsia="zh-CN"/>
              </w:rPr>
              <w:t>，</w:t>
            </w:r>
            <w:r>
              <w:rPr>
                <w:rFonts w:hint="eastAsia" w:ascii="Times New Roman" w:hAnsi="Times New Roman"/>
                <w:color w:val="auto"/>
                <w:lang w:val="en-US" w:eastAsia="zh-CN"/>
              </w:rPr>
              <w:t>该</w:t>
            </w:r>
            <w:r>
              <w:rPr>
                <w:rFonts w:hint="eastAsia"/>
                <w:color w:val="auto"/>
                <w:lang w:val="en-US" w:eastAsia="zh-CN"/>
              </w:rPr>
              <w:t>项目于2021年7月开工建设；于2022年7月委托福建晟立检测技术有限公司完成竣工环境保护验收。</w:t>
            </w:r>
          </w:p>
          <w:p>
            <w:pPr>
              <w:bidi w:val="0"/>
              <w:rPr>
                <w:rFonts w:hint="default" w:eastAsia="宋体"/>
                <w:color w:val="auto"/>
                <w:szCs w:val="24"/>
                <w:lang w:val="en-US" w:eastAsia="zh-CN"/>
              </w:rPr>
            </w:pPr>
            <w:r>
              <w:rPr>
                <w:rFonts w:hint="eastAsia"/>
                <w:color w:val="auto"/>
                <w:szCs w:val="24"/>
                <w:lang w:val="en-US" w:eastAsia="zh-CN"/>
              </w:rPr>
              <w:t>现受爆破原因和场地呈阶梯状，原地块工作面无法正常展开，根据《中共福鼎市委山前街道工作委员会（扩大）会议纪要》会议议定，为切实做好该地块剩余砂石土场地平整工作，加快工程进度，山前街道机关综合办公室同意将双岳片区百叶岚山东侧地块约20亩土地作为福建省文誉建设工程有限公司的临时堆料场及部分砂石加工点，用于处置原地块砂石，处置规模为年产20万吨砂。</w:t>
            </w:r>
          </w:p>
          <w:p>
            <w:pPr>
              <w:bidi w:val="0"/>
              <w:rPr>
                <w:color w:val="auto"/>
              </w:rPr>
            </w:pPr>
            <w:r>
              <w:rPr>
                <w:color w:val="auto"/>
              </w:rPr>
              <w:t>根据《中华人民共和国环境影响评价法》、《建设项目环境保护管理条例》、《建设项目环境影响评价分类管理名录（2021年版）》，本项目属于“二十七、非金属矿物制品业30，60耐火材料制品制造308；石墨及其他非金属矿物制品制造309中其他”，需编制环境影响报告表。</w:t>
            </w:r>
          </w:p>
          <w:p>
            <w:pPr>
              <w:pStyle w:val="2"/>
              <w:rPr>
                <w:color w:val="auto"/>
              </w:rPr>
            </w:pPr>
          </w:p>
          <w:p>
            <w:pPr>
              <w:pStyle w:val="34"/>
              <w:bidi w:val="0"/>
              <w:rPr>
                <w:color w:val="auto"/>
              </w:rPr>
            </w:pPr>
            <w:r>
              <w:rPr>
                <w:rFonts w:hint="eastAsia"/>
                <w:color w:val="auto"/>
              </w:rPr>
              <w:t>表</w:t>
            </w:r>
            <w:r>
              <w:rPr>
                <w:color w:val="auto"/>
              </w:rPr>
              <w:t>2</w:t>
            </w:r>
            <w:r>
              <w:rPr>
                <w:rFonts w:hint="eastAsia"/>
                <w:color w:val="auto"/>
              </w:rPr>
              <w:t>.1</w:t>
            </w:r>
            <w:r>
              <w:rPr>
                <w:color w:val="auto"/>
              </w:rPr>
              <w:t xml:space="preserve">-1 </w:t>
            </w:r>
            <w:r>
              <w:rPr>
                <w:rFonts w:hint="eastAsia"/>
                <w:color w:val="auto"/>
              </w:rPr>
              <w:t>《建设项目环境影响评价分类管理名录》（</w:t>
            </w:r>
            <w:r>
              <w:rPr>
                <w:color w:val="auto"/>
              </w:rPr>
              <w:t>2021</w:t>
            </w:r>
            <w:r>
              <w:rPr>
                <w:rFonts w:hint="eastAsia"/>
                <w:color w:val="auto"/>
              </w:rPr>
              <w:t>年版）摘录</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922"/>
              <w:gridCol w:w="2527"/>
              <w:gridCol w:w="2470"/>
              <w:gridCol w:w="90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229" w:type="pct"/>
                  <w:tcBorders>
                    <w:top w:val="single" w:color="auto" w:sz="12" w:space="0"/>
                    <w:bottom w:val="single" w:color="auto" w:sz="8" w:space="0"/>
                    <w:tl2br w:val="single" w:color="auto" w:sz="4" w:space="0"/>
                  </w:tcBorders>
                  <w:shd w:val="clear" w:color="auto" w:fill="auto"/>
                  <w:noWrap w:val="0"/>
                  <w:vAlign w:val="center"/>
                </w:tcPr>
                <w:p>
                  <w:pPr>
                    <w:pStyle w:val="35"/>
                    <w:jc w:val="right"/>
                    <w:rPr>
                      <w:rFonts w:eastAsia="宋体"/>
                      <w:color w:val="auto"/>
                    </w:rPr>
                  </w:pPr>
                  <w:r>
                    <w:rPr>
                      <w:rFonts w:eastAsia="宋体"/>
                      <w:color w:val="auto"/>
                    </w:rPr>
                    <w:t>环评类别</w:t>
                  </w:r>
                </w:p>
                <w:p>
                  <w:pPr>
                    <w:pStyle w:val="35"/>
                    <w:jc w:val="left"/>
                    <w:rPr>
                      <w:rFonts w:eastAsia="宋体"/>
                      <w:color w:val="auto"/>
                    </w:rPr>
                  </w:pPr>
                  <w:r>
                    <w:rPr>
                      <w:rFonts w:eastAsia="宋体"/>
                      <w:color w:val="auto"/>
                    </w:rPr>
                    <w:t>项目类别</w:t>
                  </w:r>
                </w:p>
              </w:tc>
              <w:tc>
                <w:tcPr>
                  <w:tcW w:w="1616" w:type="pct"/>
                  <w:shd w:val="clear" w:color="auto" w:fill="auto"/>
                  <w:noWrap w:val="0"/>
                  <w:vAlign w:val="center"/>
                </w:tcPr>
                <w:p>
                  <w:pPr>
                    <w:pStyle w:val="35"/>
                    <w:rPr>
                      <w:rFonts w:eastAsia="宋体"/>
                      <w:color w:val="auto"/>
                    </w:rPr>
                  </w:pPr>
                  <w:r>
                    <w:rPr>
                      <w:rFonts w:eastAsia="宋体"/>
                      <w:color w:val="auto"/>
                    </w:rPr>
                    <w:t>报告书</w:t>
                  </w:r>
                </w:p>
              </w:tc>
              <w:tc>
                <w:tcPr>
                  <w:tcW w:w="1579" w:type="pct"/>
                  <w:shd w:val="clear" w:color="auto" w:fill="A4A4A4" w:themeFill="background1" w:themeFillShade="A5"/>
                  <w:noWrap w:val="0"/>
                  <w:vAlign w:val="center"/>
                </w:tcPr>
                <w:p>
                  <w:pPr>
                    <w:pStyle w:val="35"/>
                    <w:rPr>
                      <w:rFonts w:eastAsia="宋体"/>
                      <w:color w:val="auto"/>
                    </w:rPr>
                  </w:pPr>
                  <w:r>
                    <w:rPr>
                      <w:rFonts w:eastAsia="宋体"/>
                      <w:color w:val="auto"/>
                    </w:rPr>
                    <w:t>报告表</w:t>
                  </w:r>
                </w:p>
              </w:tc>
              <w:tc>
                <w:tcPr>
                  <w:tcW w:w="574" w:type="pct"/>
                  <w:noWrap w:val="0"/>
                  <w:vAlign w:val="center"/>
                </w:tcPr>
                <w:p>
                  <w:pPr>
                    <w:pStyle w:val="35"/>
                    <w:rPr>
                      <w:rFonts w:eastAsia="宋体"/>
                      <w:color w:val="auto"/>
                    </w:rPr>
                  </w:pPr>
                  <w:r>
                    <w:rPr>
                      <w:rFonts w:eastAsia="宋体"/>
                      <w:color w:val="auto"/>
                    </w:rPr>
                    <w:t>登记表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5000" w:type="pct"/>
                  <w:gridSpan w:val="4"/>
                  <w:noWrap w:val="0"/>
                  <w:vAlign w:val="center"/>
                </w:tcPr>
                <w:p>
                  <w:pPr>
                    <w:pStyle w:val="35"/>
                    <w:jc w:val="both"/>
                    <w:rPr>
                      <w:rFonts w:hint="default" w:eastAsia="宋体"/>
                      <w:color w:val="auto"/>
                      <w:lang w:val="en-US" w:eastAsia="zh-CN"/>
                    </w:rPr>
                  </w:pPr>
                  <w:r>
                    <w:rPr>
                      <w:rFonts w:hint="eastAsia" w:eastAsia="宋体"/>
                      <w:color w:val="auto"/>
                      <w:lang w:val="en-US" w:eastAsia="zh-CN"/>
                    </w:rPr>
                    <w:t>二</w:t>
                  </w:r>
                  <w:r>
                    <w:rPr>
                      <w:rFonts w:hint="eastAsia" w:eastAsia="宋体"/>
                      <w:color w:val="auto"/>
                    </w:rPr>
                    <w:t>十七、</w:t>
                  </w:r>
                  <w:r>
                    <w:rPr>
                      <w:rFonts w:hint="eastAsia" w:eastAsia="宋体"/>
                      <w:color w:val="auto"/>
                      <w:lang w:val="en-US" w:eastAsia="zh-CN"/>
                    </w:rPr>
                    <w:t>非金属矿物制品业30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1229" w:type="pct"/>
                  <w:shd w:val="clear" w:color="auto" w:fill="auto"/>
                  <w:noWrap w:val="0"/>
                  <w:vAlign w:val="center"/>
                </w:tcPr>
                <w:p>
                  <w:pPr>
                    <w:pStyle w:val="35"/>
                    <w:rPr>
                      <w:rFonts w:hint="default" w:eastAsia="宋体"/>
                      <w:color w:val="auto"/>
                      <w:lang w:val="en-US" w:eastAsia="zh-CN"/>
                    </w:rPr>
                  </w:pPr>
                  <w:r>
                    <w:rPr>
                      <w:rFonts w:hint="eastAsia" w:eastAsia="宋体"/>
                      <w:color w:val="auto"/>
                      <w:lang w:val="en-US" w:eastAsia="zh-CN"/>
                    </w:rPr>
                    <w:t>60.耐火材料制品制造308；石墨及其他非金属矿物制品制造309</w:t>
                  </w:r>
                </w:p>
              </w:tc>
              <w:tc>
                <w:tcPr>
                  <w:tcW w:w="1616" w:type="pct"/>
                  <w:shd w:val="clear" w:color="auto" w:fill="auto"/>
                  <w:noWrap w:val="0"/>
                  <w:vAlign w:val="center"/>
                </w:tcPr>
                <w:p>
                  <w:pPr>
                    <w:pStyle w:val="35"/>
                    <w:rPr>
                      <w:rFonts w:hint="default" w:eastAsia="宋体"/>
                      <w:color w:val="auto"/>
                      <w:lang w:val="en-US" w:eastAsia="zh-CN"/>
                    </w:rPr>
                  </w:pPr>
                  <w:r>
                    <w:rPr>
                      <w:rFonts w:hint="eastAsia" w:eastAsia="宋体"/>
                      <w:color w:val="auto"/>
                      <w:lang w:val="en-US" w:eastAsia="zh-CN"/>
                    </w:rPr>
                    <w:t>石棉制品；含焙烧的石墨、碳素制品</w:t>
                  </w:r>
                </w:p>
              </w:tc>
              <w:tc>
                <w:tcPr>
                  <w:tcW w:w="1579" w:type="pct"/>
                  <w:shd w:val="clear" w:color="auto" w:fill="A4A4A4" w:themeFill="background1" w:themeFillShade="A5"/>
                  <w:noWrap w:val="0"/>
                  <w:vAlign w:val="center"/>
                </w:tcPr>
                <w:p>
                  <w:pPr>
                    <w:pStyle w:val="35"/>
                    <w:jc w:val="center"/>
                    <w:rPr>
                      <w:rFonts w:hint="eastAsia" w:eastAsia="宋体"/>
                      <w:color w:val="auto"/>
                      <w:lang w:eastAsia="zh-CN"/>
                    </w:rPr>
                  </w:pPr>
                  <w:r>
                    <w:rPr>
                      <w:rFonts w:hint="eastAsia" w:eastAsia="宋体"/>
                      <w:color w:val="auto"/>
                      <w:shd w:val="clear" w:color="FFFFFF"/>
                      <w:lang w:val="en-US" w:eastAsia="zh-CN"/>
                    </w:rPr>
                    <w:t>其他</w:t>
                  </w:r>
                </w:p>
              </w:tc>
              <w:tc>
                <w:tcPr>
                  <w:tcW w:w="574" w:type="pct"/>
                  <w:noWrap w:val="0"/>
                  <w:vAlign w:val="center"/>
                </w:tcPr>
                <w:p>
                  <w:pPr>
                    <w:pStyle w:val="35"/>
                    <w:rPr>
                      <w:rFonts w:hint="eastAsia" w:eastAsia="宋体"/>
                      <w:color w:val="auto"/>
                    </w:rPr>
                  </w:pPr>
                  <w:r>
                    <w:rPr>
                      <w:rFonts w:hint="eastAsia" w:eastAsia="宋体"/>
                      <w:color w:val="auto"/>
                    </w:rPr>
                    <w:t>/</w:t>
                  </w:r>
                </w:p>
              </w:tc>
            </w:tr>
          </w:tbl>
          <w:p>
            <w:pPr>
              <w:bidi w:val="0"/>
              <w:rPr>
                <w:color w:val="auto"/>
              </w:rPr>
            </w:pPr>
            <w:r>
              <w:rPr>
                <w:color w:val="auto"/>
              </w:rPr>
              <w:t>因此，</w:t>
            </w:r>
            <w:r>
              <w:rPr>
                <w:rFonts w:ascii="Times New Roman" w:hAnsi="Times New Roman"/>
                <w:color w:val="auto"/>
              </w:rPr>
              <w:t>福建省文誉建设工程有限公司</w:t>
            </w:r>
            <w:r>
              <w:rPr>
                <w:color w:val="auto"/>
              </w:rPr>
              <w:t>委托本司编制</w:t>
            </w:r>
            <w:r>
              <w:rPr>
                <w:rFonts w:hint="eastAsia"/>
                <w:color w:val="auto"/>
                <w:lang w:eastAsia="zh-CN"/>
              </w:rPr>
              <w:t>《</w:t>
            </w:r>
            <w:r>
              <w:rPr>
                <w:rFonts w:hint="eastAsia"/>
                <w:color w:val="auto"/>
                <w:lang w:val="en-US" w:eastAsia="zh-CN"/>
              </w:rPr>
              <w:t>百胜片区22-25号地块场地平整剩余石料加工扩建</w:t>
            </w:r>
            <w:r>
              <w:rPr>
                <w:color w:val="auto"/>
              </w:rPr>
              <w:t>项目环境影响报告表》，环评单位接受委托后立即组织有关技术人员进行了现场踏勘，并根据建设单位提供的基本资料以及相关法律法规、导则等材料，编制了该项目环境影响报告表，供建设单位报宁德市福鼎生态环境局审批。</w:t>
            </w:r>
          </w:p>
          <w:p>
            <w:pPr>
              <w:pStyle w:val="17"/>
              <w:rPr>
                <w:color w:val="auto"/>
              </w:rPr>
            </w:pPr>
            <w:r>
              <w:rPr>
                <w:color w:val="auto"/>
              </w:rPr>
              <w:t>2.1.2项目概况</w:t>
            </w:r>
          </w:p>
          <w:p>
            <w:pPr>
              <w:bidi w:val="0"/>
              <w:rPr>
                <w:color w:val="auto"/>
              </w:rPr>
            </w:pPr>
            <w:r>
              <w:rPr>
                <w:color w:val="auto"/>
              </w:rPr>
              <w:t>（1）项目名称</w:t>
            </w:r>
            <w:r>
              <w:rPr>
                <w:rFonts w:hint="eastAsia"/>
                <w:color w:val="auto"/>
                <w:lang w:eastAsia="zh-CN"/>
              </w:rPr>
              <w:t>：</w:t>
            </w:r>
            <w:r>
              <w:rPr>
                <w:rFonts w:hint="eastAsia"/>
                <w:color w:val="auto"/>
                <w:lang w:val="en-US" w:eastAsia="zh-CN"/>
              </w:rPr>
              <w:t>百胜片区22-25号地块场地平整剩余石料加工扩建</w:t>
            </w:r>
            <w:r>
              <w:rPr>
                <w:color w:val="auto"/>
              </w:rPr>
              <w:t>项目</w:t>
            </w:r>
          </w:p>
          <w:p>
            <w:pPr>
              <w:bidi w:val="0"/>
              <w:rPr>
                <w:color w:val="auto"/>
              </w:rPr>
            </w:pPr>
            <w:r>
              <w:rPr>
                <w:color w:val="auto"/>
              </w:rPr>
              <w:t>（2）建设性质：</w:t>
            </w:r>
            <w:r>
              <w:rPr>
                <w:rFonts w:hint="eastAsia"/>
                <w:color w:val="auto"/>
                <w:lang w:val="en-US" w:eastAsia="zh-CN"/>
              </w:rPr>
              <w:t>扩</w:t>
            </w:r>
            <w:r>
              <w:rPr>
                <w:color w:val="auto"/>
              </w:rPr>
              <w:t>建</w:t>
            </w:r>
          </w:p>
          <w:p>
            <w:pPr>
              <w:bidi w:val="0"/>
              <w:rPr>
                <w:color w:val="auto"/>
              </w:rPr>
            </w:pPr>
            <w:r>
              <w:rPr>
                <w:color w:val="auto"/>
              </w:rPr>
              <w:t>（3）建设单位：</w:t>
            </w:r>
            <w:r>
              <w:rPr>
                <w:rFonts w:hint="eastAsia"/>
                <w:color w:val="auto"/>
                <w:szCs w:val="24"/>
                <w:lang w:val="en-US" w:eastAsia="zh-CN"/>
              </w:rPr>
              <w:t>福建省文誉建设工程有限公司</w:t>
            </w:r>
          </w:p>
          <w:p>
            <w:pPr>
              <w:bidi w:val="0"/>
              <w:rPr>
                <w:rFonts w:hint="default"/>
                <w:color w:val="auto"/>
                <w:lang w:val="en-US" w:eastAsia="zh-CN"/>
              </w:rPr>
            </w:pPr>
            <w:r>
              <w:rPr>
                <w:color w:val="auto"/>
              </w:rPr>
              <w:t>（4）建设地点：</w:t>
            </w:r>
            <w:r>
              <w:rPr>
                <w:rFonts w:hint="eastAsia"/>
                <w:color w:val="auto"/>
                <w:lang w:val="en-US" w:eastAsia="zh-CN"/>
              </w:rPr>
              <w:t>福建省宁德市福鼎市双岳片区百叶岚山</w:t>
            </w:r>
          </w:p>
          <w:p>
            <w:pPr>
              <w:bidi w:val="0"/>
              <w:rPr>
                <w:color w:val="auto"/>
              </w:rPr>
            </w:pPr>
            <w:r>
              <w:rPr>
                <w:color w:val="auto"/>
              </w:rPr>
              <w:t>（5）投资额：总投资</w:t>
            </w:r>
            <w:r>
              <w:rPr>
                <w:rFonts w:hint="eastAsia"/>
                <w:color w:val="auto"/>
                <w:lang w:val="en-US" w:eastAsia="zh-CN"/>
              </w:rPr>
              <w:t>600</w:t>
            </w:r>
            <w:r>
              <w:rPr>
                <w:color w:val="auto"/>
              </w:rPr>
              <w:t>万元，环保投资</w:t>
            </w:r>
            <w:r>
              <w:rPr>
                <w:rFonts w:hint="eastAsia"/>
                <w:color w:val="auto"/>
                <w:lang w:val="en-US" w:eastAsia="zh-CN"/>
              </w:rPr>
              <w:t>180</w:t>
            </w:r>
            <w:r>
              <w:rPr>
                <w:color w:val="auto"/>
              </w:rPr>
              <w:t>万元</w:t>
            </w:r>
          </w:p>
          <w:p>
            <w:pPr>
              <w:bidi w:val="0"/>
              <w:rPr>
                <w:rFonts w:hint="default"/>
                <w:color w:val="auto"/>
                <w:lang w:val="en-US" w:eastAsia="zh-CN"/>
              </w:rPr>
            </w:pPr>
            <w:r>
              <w:rPr>
                <w:color w:val="auto"/>
              </w:rPr>
              <w:t>（6）面</w:t>
            </w:r>
            <w:r>
              <w:rPr>
                <w:rFonts w:hint="eastAsia"/>
                <w:color w:val="auto"/>
                <w:lang w:val="en-US" w:eastAsia="zh-CN"/>
              </w:rPr>
              <w:t xml:space="preserve">  </w:t>
            </w:r>
            <w:r>
              <w:rPr>
                <w:color w:val="auto"/>
              </w:rPr>
              <w:t>积：</w:t>
            </w:r>
            <w:r>
              <w:rPr>
                <w:rFonts w:hint="eastAsia"/>
                <w:color w:val="auto"/>
                <w:vertAlign w:val="baseline"/>
                <w:lang w:val="en-US" w:eastAsia="zh-CN"/>
              </w:rPr>
              <w:t>渣石加工场地</w:t>
            </w:r>
            <w:r>
              <w:rPr>
                <w:rFonts w:hint="eastAsia"/>
                <w:color w:val="auto"/>
                <w:lang w:val="en-US" w:eastAsia="zh-CN"/>
              </w:rPr>
              <w:t>占地面积：10328m</w:t>
            </w:r>
            <w:r>
              <w:rPr>
                <w:rFonts w:hint="eastAsia"/>
                <w:color w:val="auto"/>
                <w:vertAlign w:val="superscript"/>
                <w:lang w:val="en-US" w:eastAsia="zh-CN"/>
              </w:rPr>
              <w:t>2</w:t>
            </w:r>
            <w:r>
              <w:rPr>
                <w:rFonts w:hint="eastAsia"/>
                <w:color w:val="auto"/>
                <w:lang w:val="en-US" w:eastAsia="zh-CN"/>
              </w:rPr>
              <w:t>；建筑面积：3000m</w:t>
            </w:r>
            <w:r>
              <w:rPr>
                <w:rFonts w:hint="eastAsia"/>
                <w:color w:val="auto"/>
                <w:vertAlign w:val="superscript"/>
                <w:lang w:val="en-US" w:eastAsia="zh-CN"/>
              </w:rPr>
              <w:t>2</w:t>
            </w:r>
          </w:p>
          <w:p>
            <w:pPr>
              <w:bidi w:val="0"/>
              <w:rPr>
                <w:rFonts w:hint="eastAsia" w:eastAsia="宋体"/>
                <w:color w:val="auto"/>
                <w:lang w:val="en-US" w:eastAsia="zh-CN"/>
              </w:rPr>
            </w:pPr>
            <w:r>
              <w:rPr>
                <w:color w:val="auto"/>
              </w:rPr>
              <w:t>（7）建设规模：年产砂</w:t>
            </w:r>
            <w:r>
              <w:rPr>
                <w:rFonts w:hint="eastAsia"/>
                <w:color w:val="auto"/>
                <w:lang w:val="en-US" w:eastAsia="zh-CN"/>
              </w:rPr>
              <w:t>20</w:t>
            </w:r>
            <w:r>
              <w:rPr>
                <w:color w:val="auto"/>
              </w:rPr>
              <w:t>万</w:t>
            </w:r>
            <w:r>
              <w:rPr>
                <w:rFonts w:hint="eastAsia"/>
                <w:color w:val="auto"/>
                <w:lang w:val="en-US" w:eastAsia="zh-CN"/>
              </w:rPr>
              <w:t>吨</w:t>
            </w:r>
          </w:p>
          <w:p>
            <w:pPr>
              <w:bidi w:val="0"/>
              <w:rPr>
                <w:rFonts w:hint="default" w:eastAsia="宋体"/>
                <w:color w:val="auto"/>
                <w:lang w:val="en-US" w:eastAsia="zh-CN"/>
              </w:rPr>
            </w:pPr>
            <w:r>
              <w:rPr>
                <w:color w:val="auto"/>
              </w:rPr>
              <w:t>（</w:t>
            </w:r>
            <w:r>
              <w:rPr>
                <w:rFonts w:hint="eastAsia"/>
                <w:color w:val="auto"/>
                <w:lang w:val="en-US" w:eastAsia="zh-CN"/>
              </w:rPr>
              <w:t>8</w:t>
            </w:r>
            <w:r>
              <w:rPr>
                <w:color w:val="auto"/>
              </w:rPr>
              <w:t>）职工人数：</w:t>
            </w:r>
            <w:r>
              <w:rPr>
                <w:rFonts w:hint="eastAsia"/>
                <w:color w:val="auto"/>
                <w:lang w:val="en-US" w:eastAsia="zh-CN"/>
              </w:rPr>
              <w:t>2人住厂，8人不住厂</w:t>
            </w:r>
          </w:p>
          <w:p>
            <w:pPr>
              <w:bidi w:val="0"/>
              <w:rPr>
                <w:color w:val="auto"/>
              </w:rPr>
            </w:pPr>
            <w:r>
              <w:rPr>
                <w:color w:val="auto"/>
              </w:rPr>
              <w:t>（</w:t>
            </w:r>
            <w:r>
              <w:rPr>
                <w:rFonts w:hint="eastAsia"/>
                <w:color w:val="auto"/>
                <w:lang w:val="en-US" w:eastAsia="zh-CN"/>
              </w:rPr>
              <w:t>9</w:t>
            </w:r>
            <w:r>
              <w:rPr>
                <w:color w:val="auto"/>
              </w:rPr>
              <w:t>）工作制度：年工作日3</w:t>
            </w:r>
            <w:r>
              <w:rPr>
                <w:rFonts w:hint="eastAsia"/>
                <w:color w:val="auto"/>
                <w:lang w:val="en-US" w:eastAsia="zh-CN"/>
              </w:rPr>
              <w:t>00</w:t>
            </w:r>
            <w:r>
              <w:rPr>
                <w:color w:val="auto"/>
              </w:rPr>
              <w:t>天</w:t>
            </w:r>
            <w:r>
              <w:rPr>
                <w:rFonts w:hint="eastAsia"/>
                <w:color w:val="auto"/>
                <w:lang w:eastAsia="zh-CN"/>
              </w:rPr>
              <w:t>，</w:t>
            </w:r>
            <w:r>
              <w:rPr>
                <w:rFonts w:hint="eastAsia"/>
                <w:color w:val="auto"/>
                <w:lang w:val="en-US" w:eastAsia="zh-CN"/>
              </w:rPr>
              <w:t>1班制，</w:t>
            </w:r>
            <w:r>
              <w:rPr>
                <w:color w:val="auto"/>
              </w:rPr>
              <w:t>每天工作1</w:t>
            </w:r>
            <w:r>
              <w:rPr>
                <w:rFonts w:hint="eastAsia"/>
                <w:color w:val="auto"/>
                <w:lang w:val="en-US" w:eastAsia="zh-CN"/>
              </w:rPr>
              <w:t>0</w:t>
            </w:r>
            <w:r>
              <w:rPr>
                <w:color w:val="auto"/>
              </w:rPr>
              <w:t>小时</w:t>
            </w:r>
          </w:p>
          <w:p>
            <w:pPr>
              <w:pStyle w:val="20"/>
              <w:rPr>
                <w:color w:val="auto"/>
              </w:rPr>
            </w:pPr>
            <w:r>
              <w:rPr>
                <w:color w:val="auto"/>
              </w:rPr>
              <w:t>2.2项目主要工程内容</w:t>
            </w:r>
          </w:p>
          <w:p>
            <w:pPr>
              <w:ind w:firstLine="480"/>
              <w:rPr>
                <w:color w:val="auto"/>
              </w:rPr>
            </w:pPr>
            <w:r>
              <w:rPr>
                <w:color w:val="auto"/>
              </w:rPr>
              <w:t>项目主要工程组成详见表2.2-1所示。</w:t>
            </w:r>
          </w:p>
          <w:p>
            <w:pPr>
              <w:pStyle w:val="13"/>
              <w:rPr>
                <w:color w:val="auto"/>
              </w:rPr>
            </w:pPr>
            <w:r>
              <w:rPr>
                <w:color w:val="auto"/>
              </w:rPr>
              <w:t>表2.2-1  项目工程组成一览表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3"/>
              <w:gridCol w:w="616"/>
              <w:gridCol w:w="1188"/>
              <w:gridCol w:w="5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677" w:type="dxa"/>
                  <w:gridSpan w:val="3"/>
                  <w:noWrap w:val="0"/>
                  <w:vAlign w:val="center"/>
                </w:tcPr>
                <w:p>
                  <w:pPr>
                    <w:pStyle w:val="15"/>
                    <w:ind w:firstLine="0" w:firstLineChars="0"/>
                    <w:rPr>
                      <w:color w:val="auto"/>
                    </w:rPr>
                  </w:pPr>
                  <w:r>
                    <w:rPr>
                      <w:color w:val="auto"/>
                    </w:rPr>
                    <w:t>项目名称</w:t>
                  </w:r>
                </w:p>
              </w:tc>
              <w:tc>
                <w:tcPr>
                  <w:tcW w:w="5143" w:type="dxa"/>
                  <w:noWrap w:val="0"/>
                  <w:vAlign w:val="center"/>
                </w:tcPr>
                <w:p>
                  <w:pPr>
                    <w:pStyle w:val="15"/>
                    <w:ind w:firstLine="0" w:firstLineChars="0"/>
                    <w:rPr>
                      <w:color w:val="auto"/>
                    </w:rPr>
                  </w:pPr>
                  <w:r>
                    <w:rPr>
                      <w:color w:val="auto"/>
                    </w:rPr>
                    <w:t>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restart"/>
                  <w:noWrap w:val="0"/>
                  <w:vAlign w:val="center"/>
                </w:tcPr>
                <w:p>
                  <w:pPr>
                    <w:pStyle w:val="15"/>
                    <w:ind w:firstLine="0" w:firstLineChars="0"/>
                    <w:rPr>
                      <w:color w:val="auto"/>
                    </w:rPr>
                  </w:pPr>
                  <w:r>
                    <w:rPr>
                      <w:color w:val="auto"/>
                    </w:rPr>
                    <w:t>主体工程</w:t>
                  </w:r>
                </w:p>
              </w:tc>
              <w:tc>
                <w:tcPr>
                  <w:tcW w:w="616" w:type="dxa"/>
                  <w:noWrap w:val="0"/>
                  <w:vAlign w:val="center"/>
                </w:tcPr>
                <w:p>
                  <w:pPr>
                    <w:pStyle w:val="15"/>
                    <w:ind w:firstLine="0" w:firstLineChars="0"/>
                    <w:rPr>
                      <w:rFonts w:hint="default"/>
                      <w:color w:val="auto"/>
                      <w:lang w:val="en-US" w:eastAsia="zh-CN"/>
                    </w:rPr>
                  </w:pPr>
                  <w:r>
                    <w:rPr>
                      <w:color w:val="auto"/>
                    </w:rPr>
                    <w:t>1</w:t>
                  </w:r>
                </w:p>
              </w:tc>
              <w:tc>
                <w:tcPr>
                  <w:tcW w:w="1188" w:type="dxa"/>
                  <w:noWrap w:val="0"/>
                  <w:vAlign w:val="center"/>
                </w:tcPr>
                <w:p>
                  <w:pPr>
                    <w:pStyle w:val="15"/>
                    <w:ind w:firstLine="0" w:firstLineChars="0"/>
                    <w:rPr>
                      <w:color w:val="auto"/>
                    </w:rPr>
                  </w:pPr>
                  <w:r>
                    <w:rPr>
                      <w:color w:val="auto"/>
                    </w:rPr>
                    <w:t>生产车间</w:t>
                  </w:r>
                </w:p>
              </w:tc>
              <w:tc>
                <w:tcPr>
                  <w:tcW w:w="5143" w:type="dxa"/>
                  <w:noWrap w:val="0"/>
                  <w:vAlign w:val="center"/>
                </w:tcPr>
                <w:p>
                  <w:pPr>
                    <w:pStyle w:val="15"/>
                    <w:ind w:firstLine="0" w:firstLineChars="0"/>
                    <w:rPr>
                      <w:rFonts w:hint="default"/>
                      <w:color w:val="auto"/>
                      <w:lang w:val="en-US" w:eastAsia="zh-CN"/>
                    </w:rPr>
                  </w:pPr>
                  <w:r>
                    <w:rPr>
                      <w:color w:val="auto"/>
                    </w:rPr>
                    <w:t>在生产车间（建筑面积</w:t>
                  </w:r>
                  <w:r>
                    <w:rPr>
                      <w:rFonts w:hint="eastAsia"/>
                      <w:color w:val="auto"/>
                      <w:lang w:val="en-US" w:eastAsia="zh-CN"/>
                    </w:rPr>
                    <w:t>3000m</w:t>
                  </w:r>
                  <w:r>
                    <w:rPr>
                      <w:rFonts w:hint="eastAsia"/>
                      <w:color w:val="auto"/>
                      <w:vertAlign w:val="superscript"/>
                      <w:lang w:val="en-US" w:eastAsia="zh-CN"/>
                    </w:rPr>
                    <w:t>2</w:t>
                  </w:r>
                  <w:r>
                    <w:rPr>
                      <w:color w:val="auto"/>
                    </w:rPr>
                    <w:t>）内布置破碎和制砂生产线。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5"/>
                    <w:ind w:firstLine="0" w:firstLineChars="0"/>
                    <w:rPr>
                      <w:color w:val="auto"/>
                    </w:rPr>
                  </w:pPr>
                </w:p>
              </w:tc>
              <w:tc>
                <w:tcPr>
                  <w:tcW w:w="616" w:type="dxa"/>
                  <w:noWrap w:val="0"/>
                  <w:vAlign w:val="center"/>
                </w:tcPr>
                <w:p>
                  <w:pPr>
                    <w:pStyle w:val="15"/>
                    <w:ind w:firstLine="0" w:firstLineChars="0"/>
                    <w:rPr>
                      <w:rFonts w:hint="eastAsia" w:eastAsia="宋体"/>
                      <w:color w:val="auto"/>
                      <w:lang w:val="en-US" w:eastAsia="zh-CN"/>
                    </w:rPr>
                  </w:pPr>
                  <w:r>
                    <w:rPr>
                      <w:color w:val="auto"/>
                    </w:rPr>
                    <w:t>2</w:t>
                  </w:r>
                </w:p>
              </w:tc>
              <w:tc>
                <w:tcPr>
                  <w:tcW w:w="1188" w:type="dxa"/>
                  <w:noWrap w:val="0"/>
                  <w:vAlign w:val="center"/>
                </w:tcPr>
                <w:p>
                  <w:pPr>
                    <w:pStyle w:val="15"/>
                    <w:ind w:firstLine="0" w:firstLineChars="0"/>
                    <w:rPr>
                      <w:rFonts w:hint="default" w:eastAsia="宋体"/>
                      <w:color w:val="auto"/>
                      <w:lang w:val="en-US" w:eastAsia="zh-CN"/>
                    </w:rPr>
                  </w:pPr>
                  <w:r>
                    <w:rPr>
                      <w:color w:val="auto"/>
                    </w:rPr>
                    <w:t>仓储</w:t>
                  </w:r>
                </w:p>
              </w:tc>
              <w:tc>
                <w:tcPr>
                  <w:tcW w:w="5143" w:type="dxa"/>
                  <w:noWrap w:val="0"/>
                  <w:vAlign w:val="center"/>
                </w:tcPr>
                <w:p>
                  <w:pPr>
                    <w:pStyle w:val="15"/>
                    <w:ind w:firstLine="0" w:firstLineChars="0"/>
                    <w:rPr>
                      <w:color w:val="auto"/>
                    </w:rPr>
                  </w:pPr>
                  <w:r>
                    <w:rPr>
                      <w:color w:val="auto"/>
                    </w:rPr>
                    <w:t>项目在场地</w:t>
                  </w:r>
                  <w:r>
                    <w:rPr>
                      <w:rFonts w:hint="eastAsia"/>
                      <w:color w:val="auto"/>
                      <w:lang w:val="en-US" w:eastAsia="zh-CN"/>
                    </w:rPr>
                    <w:t>东北</w:t>
                  </w:r>
                  <w:r>
                    <w:rPr>
                      <w:color w:val="auto"/>
                    </w:rPr>
                    <w:t>侧设置成品堆场，在振动筛落料口设置雾化喷头降尘。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restart"/>
                  <w:noWrap w:val="0"/>
                  <w:vAlign w:val="center"/>
                </w:tcPr>
                <w:p>
                  <w:pPr>
                    <w:pStyle w:val="15"/>
                    <w:ind w:firstLine="0" w:firstLineChars="0"/>
                    <w:rPr>
                      <w:color w:val="auto"/>
                    </w:rPr>
                  </w:pPr>
                  <w:r>
                    <w:rPr>
                      <w:color w:val="auto"/>
                    </w:rPr>
                    <w:t>公用工程</w:t>
                  </w:r>
                </w:p>
              </w:tc>
              <w:tc>
                <w:tcPr>
                  <w:tcW w:w="616" w:type="dxa"/>
                  <w:noWrap w:val="0"/>
                  <w:vAlign w:val="center"/>
                </w:tcPr>
                <w:p>
                  <w:pPr>
                    <w:pStyle w:val="15"/>
                    <w:ind w:firstLine="0" w:firstLineChars="0"/>
                    <w:rPr>
                      <w:rFonts w:hint="eastAsia" w:eastAsia="宋体"/>
                      <w:color w:val="auto"/>
                      <w:lang w:val="en-US" w:eastAsia="zh-CN"/>
                    </w:rPr>
                  </w:pPr>
                  <w:r>
                    <w:rPr>
                      <w:color w:val="auto"/>
                    </w:rPr>
                    <w:t>1</w:t>
                  </w:r>
                </w:p>
              </w:tc>
              <w:tc>
                <w:tcPr>
                  <w:tcW w:w="1188" w:type="dxa"/>
                  <w:noWrap w:val="0"/>
                  <w:vAlign w:val="center"/>
                </w:tcPr>
                <w:p>
                  <w:pPr>
                    <w:pStyle w:val="15"/>
                    <w:ind w:firstLine="0" w:firstLineChars="0"/>
                    <w:rPr>
                      <w:rFonts w:hint="default" w:eastAsia="宋体"/>
                      <w:color w:val="auto"/>
                      <w:lang w:val="en-US" w:eastAsia="zh-CN"/>
                    </w:rPr>
                  </w:pPr>
                  <w:r>
                    <w:rPr>
                      <w:color w:val="auto"/>
                    </w:rPr>
                    <w:t>给水系统</w:t>
                  </w:r>
                </w:p>
              </w:tc>
              <w:tc>
                <w:tcPr>
                  <w:tcW w:w="5143" w:type="dxa"/>
                  <w:noWrap w:val="0"/>
                  <w:vAlign w:val="center"/>
                </w:tcPr>
                <w:p>
                  <w:pPr>
                    <w:pStyle w:val="15"/>
                    <w:ind w:firstLine="0" w:firstLineChars="0"/>
                    <w:rPr>
                      <w:rFonts w:hint="eastAsia" w:eastAsia="宋体"/>
                      <w:color w:val="auto"/>
                      <w:lang w:val="en-US" w:eastAsia="zh-CN"/>
                    </w:rPr>
                  </w:pPr>
                  <w:r>
                    <w:rPr>
                      <w:color w:val="auto"/>
                    </w:rPr>
                    <w:t>市政供水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5"/>
                    <w:ind w:firstLine="0" w:firstLineChars="0"/>
                    <w:rPr>
                      <w:color w:val="auto"/>
                    </w:rPr>
                  </w:pPr>
                </w:p>
              </w:tc>
              <w:tc>
                <w:tcPr>
                  <w:tcW w:w="616" w:type="dxa"/>
                  <w:noWrap w:val="0"/>
                  <w:vAlign w:val="center"/>
                </w:tcPr>
                <w:p>
                  <w:pPr>
                    <w:pStyle w:val="15"/>
                    <w:ind w:firstLine="0" w:firstLineChars="0"/>
                    <w:rPr>
                      <w:color w:val="auto"/>
                    </w:rPr>
                  </w:pPr>
                  <w:r>
                    <w:rPr>
                      <w:color w:val="auto"/>
                    </w:rPr>
                    <w:t>2</w:t>
                  </w:r>
                </w:p>
              </w:tc>
              <w:tc>
                <w:tcPr>
                  <w:tcW w:w="1188" w:type="dxa"/>
                  <w:noWrap w:val="0"/>
                  <w:vAlign w:val="center"/>
                </w:tcPr>
                <w:p>
                  <w:pPr>
                    <w:pStyle w:val="15"/>
                    <w:ind w:firstLine="0" w:firstLineChars="0"/>
                    <w:rPr>
                      <w:color w:val="auto"/>
                    </w:rPr>
                  </w:pPr>
                  <w:r>
                    <w:rPr>
                      <w:color w:val="auto"/>
                    </w:rPr>
                    <w:t>排水系统</w:t>
                  </w:r>
                </w:p>
              </w:tc>
              <w:tc>
                <w:tcPr>
                  <w:tcW w:w="5143" w:type="dxa"/>
                  <w:noWrap w:val="0"/>
                  <w:vAlign w:val="center"/>
                </w:tcPr>
                <w:p>
                  <w:pPr>
                    <w:pStyle w:val="15"/>
                    <w:ind w:firstLine="0" w:firstLineChars="0"/>
                    <w:rPr>
                      <w:color w:val="auto"/>
                    </w:rPr>
                  </w:pPr>
                  <w:r>
                    <w:rPr>
                      <w:color w:val="auto"/>
                    </w:rPr>
                    <w:t>雨污分流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5"/>
                    <w:ind w:firstLine="0" w:firstLineChars="0"/>
                    <w:rPr>
                      <w:color w:val="auto"/>
                    </w:rPr>
                  </w:pPr>
                </w:p>
              </w:tc>
              <w:tc>
                <w:tcPr>
                  <w:tcW w:w="616" w:type="dxa"/>
                  <w:noWrap w:val="0"/>
                  <w:vAlign w:val="center"/>
                </w:tcPr>
                <w:p>
                  <w:pPr>
                    <w:pStyle w:val="15"/>
                    <w:ind w:firstLine="0" w:firstLineChars="0"/>
                    <w:rPr>
                      <w:color w:val="auto"/>
                    </w:rPr>
                  </w:pPr>
                  <w:r>
                    <w:rPr>
                      <w:color w:val="auto"/>
                    </w:rPr>
                    <w:t>3</w:t>
                  </w:r>
                </w:p>
              </w:tc>
              <w:tc>
                <w:tcPr>
                  <w:tcW w:w="1188" w:type="dxa"/>
                  <w:noWrap w:val="0"/>
                  <w:vAlign w:val="center"/>
                </w:tcPr>
                <w:p>
                  <w:pPr>
                    <w:pStyle w:val="15"/>
                    <w:ind w:firstLine="0" w:firstLineChars="0"/>
                    <w:rPr>
                      <w:color w:val="auto"/>
                    </w:rPr>
                  </w:pPr>
                  <w:r>
                    <w:rPr>
                      <w:color w:val="auto"/>
                    </w:rPr>
                    <w:t>供电系统</w:t>
                  </w:r>
                </w:p>
              </w:tc>
              <w:tc>
                <w:tcPr>
                  <w:tcW w:w="5143" w:type="dxa"/>
                  <w:noWrap w:val="0"/>
                  <w:vAlign w:val="center"/>
                </w:tcPr>
                <w:p>
                  <w:pPr>
                    <w:pStyle w:val="15"/>
                    <w:ind w:firstLine="0" w:firstLineChars="0"/>
                    <w:rPr>
                      <w:color w:val="auto"/>
                    </w:rPr>
                  </w:pPr>
                  <w:r>
                    <w:rPr>
                      <w:color w:val="auto"/>
                    </w:rPr>
                    <w:t>市政供电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restart"/>
                  <w:noWrap w:val="0"/>
                  <w:vAlign w:val="center"/>
                </w:tcPr>
                <w:p>
                  <w:pPr>
                    <w:pStyle w:val="15"/>
                    <w:ind w:firstLine="0" w:firstLineChars="0"/>
                    <w:rPr>
                      <w:color w:val="auto"/>
                    </w:rPr>
                  </w:pPr>
                  <w:r>
                    <w:rPr>
                      <w:color w:val="auto"/>
                    </w:rPr>
                    <w:t>环保工程</w:t>
                  </w:r>
                </w:p>
              </w:tc>
              <w:tc>
                <w:tcPr>
                  <w:tcW w:w="616" w:type="dxa"/>
                  <w:noWrap w:val="0"/>
                  <w:vAlign w:val="center"/>
                </w:tcPr>
                <w:p>
                  <w:pPr>
                    <w:pStyle w:val="15"/>
                    <w:ind w:firstLine="0" w:firstLineChars="0"/>
                    <w:rPr>
                      <w:color w:val="auto"/>
                    </w:rPr>
                  </w:pPr>
                  <w:r>
                    <w:rPr>
                      <w:color w:val="auto"/>
                    </w:rPr>
                    <w:t>1</w:t>
                  </w:r>
                </w:p>
              </w:tc>
              <w:tc>
                <w:tcPr>
                  <w:tcW w:w="1188" w:type="dxa"/>
                  <w:noWrap w:val="0"/>
                  <w:vAlign w:val="center"/>
                </w:tcPr>
                <w:p>
                  <w:pPr>
                    <w:pStyle w:val="15"/>
                    <w:ind w:firstLine="0" w:firstLineChars="0"/>
                    <w:rPr>
                      <w:color w:val="auto"/>
                    </w:rPr>
                  </w:pPr>
                  <w:r>
                    <w:rPr>
                      <w:color w:val="auto"/>
                    </w:rPr>
                    <w:t>废水处理</w:t>
                  </w:r>
                </w:p>
              </w:tc>
              <w:tc>
                <w:tcPr>
                  <w:tcW w:w="5143" w:type="dxa"/>
                  <w:noWrap w:val="0"/>
                  <w:vAlign w:val="center"/>
                </w:tcPr>
                <w:p>
                  <w:pPr>
                    <w:pStyle w:val="15"/>
                    <w:jc w:val="both"/>
                    <w:rPr>
                      <w:color w:val="auto"/>
                    </w:rPr>
                  </w:pPr>
                  <w:r>
                    <w:rPr>
                      <w:color w:val="auto"/>
                    </w:rPr>
                    <w:t>1、生活污水：经化粪池处理后利用槽罐车定期抽吸后运送至福鼎市第一污水处理厂集中处理；</w:t>
                  </w:r>
                </w:p>
                <w:p>
                  <w:pPr>
                    <w:pStyle w:val="15"/>
                    <w:ind w:firstLine="0" w:firstLineChars="0"/>
                    <w:jc w:val="both"/>
                    <w:rPr>
                      <w:color w:val="auto"/>
                    </w:rPr>
                  </w:pPr>
                  <w:r>
                    <w:rPr>
                      <w:color w:val="auto"/>
                    </w:rPr>
                    <w:t>2、生产废水：经振动筛下方的废水收集池收集后排入二级沉淀池处理后回用生产，不外排；初期雨水经初期雨水沉淀池沉淀处理后回用生产，不外排；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5"/>
                    <w:ind w:firstLine="0" w:firstLineChars="0"/>
                    <w:rPr>
                      <w:rFonts w:hint="default" w:eastAsia="宋体"/>
                      <w:color w:val="auto"/>
                      <w:lang w:val="en-US" w:eastAsia="zh-CN"/>
                    </w:rPr>
                  </w:pPr>
                </w:p>
              </w:tc>
              <w:tc>
                <w:tcPr>
                  <w:tcW w:w="616" w:type="dxa"/>
                  <w:noWrap w:val="0"/>
                  <w:vAlign w:val="center"/>
                </w:tcPr>
                <w:p>
                  <w:pPr>
                    <w:pStyle w:val="15"/>
                    <w:ind w:firstLine="0" w:firstLineChars="0"/>
                    <w:rPr>
                      <w:rFonts w:hint="eastAsia" w:eastAsia="宋体"/>
                      <w:color w:val="auto"/>
                      <w:lang w:val="en-US" w:eastAsia="zh-CN"/>
                    </w:rPr>
                  </w:pPr>
                  <w:r>
                    <w:rPr>
                      <w:color w:val="auto"/>
                    </w:rPr>
                    <w:t>2</w:t>
                  </w:r>
                </w:p>
              </w:tc>
              <w:tc>
                <w:tcPr>
                  <w:tcW w:w="1188" w:type="dxa"/>
                  <w:noWrap w:val="0"/>
                  <w:vAlign w:val="center"/>
                </w:tcPr>
                <w:p>
                  <w:pPr>
                    <w:pStyle w:val="15"/>
                    <w:ind w:firstLine="0" w:firstLineChars="0"/>
                    <w:rPr>
                      <w:color w:val="auto"/>
                    </w:rPr>
                  </w:pPr>
                  <w:r>
                    <w:rPr>
                      <w:color w:val="auto"/>
                    </w:rPr>
                    <w:t>废气处理</w:t>
                  </w:r>
                </w:p>
              </w:tc>
              <w:tc>
                <w:tcPr>
                  <w:tcW w:w="5143" w:type="dxa"/>
                  <w:noWrap w:val="0"/>
                  <w:vAlign w:val="center"/>
                </w:tcPr>
                <w:p>
                  <w:pPr>
                    <w:pStyle w:val="15"/>
                    <w:jc w:val="both"/>
                    <w:rPr>
                      <w:color w:val="auto"/>
                    </w:rPr>
                  </w:pPr>
                  <w:r>
                    <w:rPr>
                      <w:color w:val="auto"/>
                    </w:rPr>
                    <w:t>1、破碎筛分生产线和制砂生产线位于车间内，在破碎、筛分和制砂设备产尘口上方设置喷淋装置；</w:t>
                  </w:r>
                </w:p>
                <w:p>
                  <w:pPr>
                    <w:pStyle w:val="15"/>
                    <w:jc w:val="both"/>
                    <w:rPr>
                      <w:color w:val="auto"/>
                    </w:rPr>
                  </w:pPr>
                  <w:r>
                    <w:rPr>
                      <w:color w:val="auto"/>
                    </w:rPr>
                    <w:t xml:space="preserve">2、生产场地硬化、洒水车每天定时对项目厂区、项目原料运输道路及项目区周边涉及住宅区的道路进行洒水降尘； </w:t>
                  </w:r>
                </w:p>
                <w:p>
                  <w:pPr>
                    <w:pStyle w:val="15"/>
                    <w:jc w:val="both"/>
                    <w:rPr>
                      <w:color w:val="auto"/>
                    </w:rPr>
                  </w:pPr>
                  <w:r>
                    <w:rPr>
                      <w:color w:val="auto"/>
                    </w:rPr>
                    <w:t>3、原料装卸位于生产车间内，在设备装卸口安装喷头降尘；</w:t>
                  </w:r>
                </w:p>
                <w:p>
                  <w:pPr>
                    <w:pStyle w:val="15"/>
                    <w:jc w:val="both"/>
                    <w:rPr>
                      <w:color w:val="auto"/>
                    </w:rPr>
                  </w:pPr>
                  <w:r>
                    <w:rPr>
                      <w:color w:val="auto"/>
                    </w:rPr>
                    <w:t>4、输送带卸料口安装喷头降尘。</w:t>
                  </w:r>
                </w:p>
                <w:p>
                  <w:pPr>
                    <w:pStyle w:val="15"/>
                    <w:ind w:firstLine="0" w:firstLineChars="0"/>
                    <w:jc w:val="both"/>
                    <w:rPr>
                      <w:color w:val="auto"/>
                    </w:rPr>
                  </w:pPr>
                  <w:r>
                    <w:rPr>
                      <w:color w:val="auto"/>
                    </w:rPr>
                    <w:t>5、厂区原料运输口和厂区成品运输出入口分别设置洗车池，清洁运输车辆轮胎，降低运输扬尘。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5"/>
                    <w:ind w:firstLine="0" w:firstLineChars="0"/>
                    <w:rPr>
                      <w:rFonts w:hint="eastAsia"/>
                      <w:color w:val="auto"/>
                      <w:lang w:val="en-US" w:eastAsia="zh-CN"/>
                    </w:rPr>
                  </w:pPr>
                </w:p>
              </w:tc>
              <w:tc>
                <w:tcPr>
                  <w:tcW w:w="616" w:type="dxa"/>
                  <w:noWrap w:val="0"/>
                  <w:vAlign w:val="center"/>
                </w:tcPr>
                <w:p>
                  <w:pPr>
                    <w:pStyle w:val="15"/>
                    <w:ind w:firstLine="0" w:firstLineChars="0"/>
                    <w:rPr>
                      <w:rFonts w:hint="default"/>
                      <w:color w:val="auto"/>
                      <w:lang w:val="en-US" w:eastAsia="zh-CN"/>
                    </w:rPr>
                  </w:pPr>
                  <w:r>
                    <w:rPr>
                      <w:color w:val="auto"/>
                    </w:rPr>
                    <w:t>3</w:t>
                  </w:r>
                </w:p>
              </w:tc>
              <w:tc>
                <w:tcPr>
                  <w:tcW w:w="1188" w:type="dxa"/>
                  <w:noWrap w:val="0"/>
                  <w:vAlign w:val="center"/>
                </w:tcPr>
                <w:p>
                  <w:pPr>
                    <w:pStyle w:val="15"/>
                    <w:ind w:firstLine="0" w:firstLineChars="0"/>
                    <w:rPr>
                      <w:color w:val="auto"/>
                    </w:rPr>
                  </w:pPr>
                  <w:r>
                    <w:rPr>
                      <w:color w:val="auto"/>
                    </w:rPr>
                    <w:t>减振、防噪措施</w:t>
                  </w:r>
                </w:p>
              </w:tc>
              <w:tc>
                <w:tcPr>
                  <w:tcW w:w="5143" w:type="dxa"/>
                  <w:noWrap w:val="0"/>
                  <w:vAlign w:val="center"/>
                </w:tcPr>
                <w:p>
                  <w:pPr>
                    <w:pStyle w:val="15"/>
                    <w:ind w:firstLine="0" w:firstLineChars="0"/>
                    <w:rPr>
                      <w:color w:val="auto"/>
                    </w:rPr>
                  </w:pPr>
                  <w:r>
                    <w:rPr>
                      <w:color w:val="auto"/>
                    </w:rPr>
                    <w:t>优先选用低噪声级的设备，并对高噪声设备采用减振、降噪等措施。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73" w:type="dxa"/>
                  <w:vMerge w:val="continue"/>
                  <w:noWrap w:val="0"/>
                  <w:vAlign w:val="center"/>
                </w:tcPr>
                <w:p>
                  <w:pPr>
                    <w:pStyle w:val="15"/>
                    <w:ind w:firstLine="0" w:firstLineChars="0"/>
                    <w:rPr>
                      <w:color w:val="auto"/>
                    </w:rPr>
                  </w:pPr>
                </w:p>
              </w:tc>
              <w:tc>
                <w:tcPr>
                  <w:tcW w:w="616" w:type="dxa"/>
                  <w:noWrap w:val="0"/>
                  <w:vAlign w:val="center"/>
                </w:tcPr>
                <w:p>
                  <w:pPr>
                    <w:pStyle w:val="15"/>
                    <w:ind w:firstLine="0" w:firstLineChars="0"/>
                    <w:rPr>
                      <w:rFonts w:hint="eastAsia" w:eastAsia="宋体"/>
                      <w:color w:val="auto"/>
                      <w:lang w:val="en-US" w:eastAsia="zh-CN"/>
                    </w:rPr>
                  </w:pPr>
                  <w:r>
                    <w:rPr>
                      <w:color w:val="auto"/>
                    </w:rPr>
                    <w:t>4</w:t>
                  </w:r>
                </w:p>
              </w:tc>
              <w:tc>
                <w:tcPr>
                  <w:tcW w:w="1188" w:type="dxa"/>
                  <w:noWrap w:val="0"/>
                  <w:vAlign w:val="center"/>
                </w:tcPr>
                <w:p>
                  <w:pPr>
                    <w:pStyle w:val="15"/>
                    <w:ind w:firstLine="0" w:firstLineChars="0"/>
                    <w:rPr>
                      <w:color w:val="auto"/>
                    </w:rPr>
                  </w:pPr>
                  <w:r>
                    <w:rPr>
                      <w:color w:val="auto"/>
                    </w:rPr>
                    <w:t>固废处理</w:t>
                  </w:r>
                </w:p>
              </w:tc>
              <w:tc>
                <w:tcPr>
                  <w:tcW w:w="5143" w:type="dxa"/>
                  <w:noWrap w:val="0"/>
                  <w:vAlign w:val="center"/>
                </w:tcPr>
                <w:p>
                  <w:pPr>
                    <w:pStyle w:val="15"/>
                    <w:jc w:val="both"/>
                    <w:rPr>
                      <w:color w:val="auto"/>
                    </w:rPr>
                  </w:pPr>
                  <w:r>
                    <w:rPr>
                      <w:color w:val="auto"/>
                    </w:rPr>
                    <w:t>1、生活垃圾委托环卫定期清运；</w:t>
                  </w:r>
                </w:p>
                <w:p>
                  <w:pPr>
                    <w:pStyle w:val="15"/>
                    <w:jc w:val="both"/>
                    <w:rPr>
                      <w:color w:val="auto"/>
                    </w:rPr>
                  </w:pPr>
                  <w:r>
                    <w:rPr>
                      <w:color w:val="auto"/>
                    </w:rPr>
                    <w:t>2、沉淀池污泥经压滤机脱水处理后暂存污泥间，委托福鼎市利民城市建筑垃圾处理有限公司处置，用于制砖。</w:t>
                  </w:r>
                </w:p>
                <w:p>
                  <w:pPr>
                    <w:pStyle w:val="15"/>
                    <w:jc w:val="both"/>
                    <w:rPr>
                      <w:color w:val="auto"/>
                    </w:rPr>
                  </w:pPr>
                  <w:r>
                    <w:rPr>
                      <w:color w:val="auto"/>
                    </w:rPr>
                    <w:t>3、收集车间和厂区地面砂粉，委托福鼎市利民城市建筑垃圾处理有限公司处置，用于制砖。</w:t>
                  </w:r>
                </w:p>
                <w:p>
                  <w:pPr>
                    <w:pStyle w:val="15"/>
                    <w:ind w:firstLine="0" w:firstLineChars="0"/>
                    <w:jc w:val="both"/>
                    <w:rPr>
                      <w:color w:val="auto"/>
                    </w:rPr>
                  </w:pPr>
                  <w:r>
                    <w:rPr>
                      <w:color w:val="auto"/>
                    </w:rPr>
                    <w:t>4、废机油暂存于危废间，委托有资质单位处置。</w:t>
                  </w:r>
                </w:p>
              </w:tc>
            </w:tr>
          </w:tbl>
          <w:p>
            <w:pPr>
              <w:pStyle w:val="20"/>
              <w:rPr>
                <w:color w:val="auto"/>
                <w:highlight w:val="none"/>
              </w:rPr>
            </w:pPr>
            <w:r>
              <w:rPr>
                <w:color w:val="auto"/>
                <w:highlight w:val="none"/>
              </w:rPr>
              <w:t>2.</w:t>
            </w:r>
            <w:r>
              <w:rPr>
                <w:rFonts w:hint="eastAsia"/>
                <w:color w:val="auto"/>
                <w:highlight w:val="none"/>
                <w:lang w:val="en-US" w:eastAsia="zh-CN"/>
              </w:rPr>
              <w:t>3</w:t>
            </w:r>
            <w:r>
              <w:rPr>
                <w:color w:val="auto"/>
                <w:highlight w:val="none"/>
              </w:rPr>
              <w:t>项目产品方案和原辅材料及能源消耗</w:t>
            </w:r>
          </w:p>
          <w:p>
            <w:pPr>
              <w:pStyle w:val="18"/>
              <w:ind w:firstLine="480"/>
              <w:rPr>
                <w:rFonts w:ascii="Times New Roman" w:hAnsi="Times New Roman" w:cs="Times New Roman"/>
                <w:color w:val="auto"/>
              </w:rPr>
            </w:pPr>
            <w:r>
              <w:rPr>
                <w:rFonts w:ascii="Times New Roman" w:hAnsi="Times New Roman" w:cs="Times New Roman"/>
                <w:color w:val="auto"/>
              </w:rPr>
              <w:t>（1）项目原材料和产品方案</w:t>
            </w:r>
          </w:p>
          <w:p>
            <w:pPr>
              <w:ind w:firstLine="480"/>
              <w:rPr>
                <w:color w:val="auto"/>
              </w:rPr>
            </w:pPr>
            <w:r>
              <w:rPr>
                <w:color w:val="auto"/>
              </w:rPr>
              <w:t>项目原材料和产品方案见表2.</w:t>
            </w:r>
            <w:r>
              <w:rPr>
                <w:rFonts w:hint="eastAsia"/>
                <w:color w:val="auto"/>
                <w:lang w:val="en-US" w:eastAsia="zh-CN"/>
              </w:rPr>
              <w:t>3</w:t>
            </w:r>
            <w:r>
              <w:rPr>
                <w:color w:val="auto"/>
              </w:rPr>
              <w:t>-1。</w:t>
            </w:r>
          </w:p>
          <w:p>
            <w:pPr>
              <w:pStyle w:val="13"/>
              <w:rPr>
                <w:color w:val="auto"/>
              </w:rPr>
            </w:pPr>
            <w:r>
              <w:rPr>
                <w:color w:val="auto"/>
              </w:rPr>
              <w:t>表2.</w:t>
            </w:r>
            <w:r>
              <w:rPr>
                <w:rFonts w:hint="eastAsia"/>
                <w:color w:val="auto"/>
                <w:lang w:val="en-US" w:eastAsia="zh-CN"/>
              </w:rPr>
              <w:t>3</w:t>
            </w:r>
            <w:r>
              <w:rPr>
                <w:color w:val="auto"/>
              </w:rPr>
              <w:t>-1项目原辅材料和产品方案</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297"/>
              <w:gridCol w:w="1278"/>
              <w:gridCol w:w="1341"/>
              <w:gridCol w:w="1444"/>
              <w:gridCol w:w="1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50" w:type="pct"/>
                  <w:noWrap w:val="0"/>
                  <w:vAlign w:val="center"/>
                </w:tcPr>
                <w:p>
                  <w:pPr>
                    <w:widowControl/>
                    <w:spacing w:line="240" w:lineRule="auto"/>
                    <w:ind w:firstLine="0" w:firstLineChars="0"/>
                    <w:jc w:val="center"/>
                    <w:rPr>
                      <w:color w:val="auto"/>
                      <w:kern w:val="0"/>
                      <w:sz w:val="21"/>
                    </w:rPr>
                  </w:pPr>
                  <w:r>
                    <w:rPr>
                      <w:color w:val="auto"/>
                      <w:kern w:val="0"/>
                      <w:sz w:val="21"/>
                    </w:rPr>
                    <w:t>序号</w:t>
                  </w:r>
                </w:p>
              </w:tc>
              <w:tc>
                <w:tcPr>
                  <w:tcW w:w="829" w:type="pct"/>
                  <w:noWrap w:val="0"/>
                  <w:vAlign w:val="center"/>
                </w:tcPr>
                <w:p>
                  <w:pPr>
                    <w:widowControl/>
                    <w:spacing w:line="240" w:lineRule="auto"/>
                    <w:ind w:firstLine="0" w:firstLineChars="0"/>
                    <w:jc w:val="center"/>
                    <w:rPr>
                      <w:color w:val="auto"/>
                      <w:kern w:val="0"/>
                      <w:sz w:val="21"/>
                    </w:rPr>
                  </w:pPr>
                  <w:r>
                    <w:rPr>
                      <w:color w:val="auto"/>
                      <w:kern w:val="0"/>
                      <w:sz w:val="21"/>
                    </w:rPr>
                    <w:t>原料</w:t>
                  </w:r>
                </w:p>
              </w:tc>
              <w:tc>
                <w:tcPr>
                  <w:tcW w:w="817" w:type="pct"/>
                  <w:noWrap w:val="0"/>
                  <w:vAlign w:val="center"/>
                </w:tcPr>
                <w:p>
                  <w:pPr>
                    <w:widowControl/>
                    <w:spacing w:line="240" w:lineRule="auto"/>
                    <w:ind w:firstLine="0" w:firstLineChars="0"/>
                    <w:jc w:val="center"/>
                    <w:rPr>
                      <w:color w:val="auto"/>
                      <w:kern w:val="0"/>
                      <w:sz w:val="21"/>
                    </w:rPr>
                  </w:pPr>
                  <w:r>
                    <w:rPr>
                      <w:color w:val="auto"/>
                      <w:kern w:val="0"/>
                      <w:sz w:val="21"/>
                    </w:rPr>
                    <w:t>用量（万t/a）</w:t>
                  </w:r>
                </w:p>
              </w:tc>
              <w:tc>
                <w:tcPr>
                  <w:tcW w:w="857" w:type="pct"/>
                  <w:noWrap w:val="0"/>
                  <w:vAlign w:val="center"/>
                </w:tcPr>
                <w:p>
                  <w:pPr>
                    <w:widowControl/>
                    <w:spacing w:line="240" w:lineRule="auto"/>
                    <w:ind w:firstLine="0" w:firstLineChars="0"/>
                    <w:jc w:val="center"/>
                    <w:rPr>
                      <w:color w:val="auto"/>
                      <w:kern w:val="0"/>
                      <w:sz w:val="21"/>
                    </w:rPr>
                  </w:pPr>
                  <w:r>
                    <w:rPr>
                      <w:color w:val="auto"/>
                      <w:kern w:val="0"/>
                      <w:sz w:val="21"/>
                    </w:rPr>
                    <w:t>名称</w:t>
                  </w:r>
                </w:p>
              </w:tc>
              <w:tc>
                <w:tcPr>
                  <w:tcW w:w="923" w:type="pct"/>
                  <w:noWrap w:val="0"/>
                  <w:vAlign w:val="center"/>
                </w:tcPr>
                <w:p>
                  <w:pPr>
                    <w:widowControl/>
                    <w:spacing w:line="240" w:lineRule="auto"/>
                    <w:ind w:firstLine="0" w:firstLineChars="0"/>
                    <w:jc w:val="center"/>
                    <w:rPr>
                      <w:color w:val="auto"/>
                      <w:kern w:val="0"/>
                      <w:sz w:val="21"/>
                    </w:rPr>
                  </w:pPr>
                  <w:r>
                    <w:rPr>
                      <w:color w:val="auto"/>
                      <w:kern w:val="0"/>
                      <w:sz w:val="21"/>
                    </w:rPr>
                    <w:t>产量（万m³/a）</w:t>
                  </w:r>
                </w:p>
              </w:tc>
              <w:tc>
                <w:tcPr>
                  <w:tcW w:w="923" w:type="pct"/>
                  <w:noWrap w:val="0"/>
                  <w:vAlign w:val="center"/>
                </w:tcPr>
                <w:p>
                  <w:pPr>
                    <w:widowControl/>
                    <w:spacing w:line="240" w:lineRule="auto"/>
                    <w:ind w:firstLine="0" w:firstLineChars="0"/>
                    <w:jc w:val="center"/>
                    <w:rPr>
                      <w:color w:val="auto"/>
                      <w:kern w:val="0"/>
                      <w:sz w:val="21"/>
                    </w:rPr>
                  </w:pPr>
                  <w:r>
                    <w:rPr>
                      <w:color w:val="auto"/>
                      <w:kern w:val="0"/>
                      <w:sz w:val="21"/>
                    </w:rPr>
                    <w:t>产量（万t/a）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50" w:type="pct"/>
                  <w:noWrap w:val="0"/>
                  <w:vAlign w:val="center"/>
                </w:tcPr>
                <w:p>
                  <w:pPr>
                    <w:widowControl/>
                    <w:spacing w:line="240" w:lineRule="auto"/>
                    <w:ind w:firstLine="0" w:firstLineChars="0"/>
                    <w:jc w:val="center"/>
                    <w:rPr>
                      <w:color w:val="auto"/>
                      <w:kern w:val="0"/>
                      <w:sz w:val="21"/>
                    </w:rPr>
                  </w:pPr>
                  <w:r>
                    <w:rPr>
                      <w:color w:val="auto"/>
                      <w:kern w:val="0"/>
                      <w:sz w:val="21"/>
                    </w:rPr>
                    <w:t>1</w:t>
                  </w:r>
                </w:p>
              </w:tc>
              <w:tc>
                <w:tcPr>
                  <w:tcW w:w="829" w:type="pct"/>
                  <w:noWrap w:val="0"/>
                  <w:vAlign w:val="center"/>
                </w:tcPr>
                <w:p>
                  <w:pPr>
                    <w:widowControl/>
                    <w:spacing w:line="240" w:lineRule="auto"/>
                    <w:ind w:firstLine="0" w:firstLineChars="0"/>
                    <w:jc w:val="center"/>
                    <w:rPr>
                      <w:rFonts w:hint="default"/>
                      <w:color w:val="auto"/>
                      <w:kern w:val="0"/>
                      <w:sz w:val="21"/>
                      <w:lang w:val="en-US" w:eastAsia="zh-CN"/>
                    </w:rPr>
                  </w:pPr>
                  <w:r>
                    <w:rPr>
                      <w:color w:val="auto"/>
                      <w:kern w:val="0"/>
                      <w:sz w:val="21"/>
                    </w:rPr>
                    <w:t>建筑用凝灰岩矿</w:t>
                  </w:r>
                </w:p>
              </w:tc>
              <w:tc>
                <w:tcPr>
                  <w:tcW w:w="817" w:type="pct"/>
                  <w:noWrap w:val="0"/>
                  <w:vAlign w:val="center"/>
                </w:tcPr>
                <w:p>
                  <w:pPr>
                    <w:widowControl/>
                    <w:spacing w:line="240" w:lineRule="auto"/>
                    <w:ind w:firstLine="0" w:firstLineChars="0"/>
                    <w:jc w:val="center"/>
                    <w:rPr>
                      <w:rFonts w:hint="default"/>
                      <w:color w:val="auto"/>
                      <w:kern w:val="0"/>
                      <w:sz w:val="21"/>
                      <w:lang w:val="en-US" w:eastAsia="zh-CN"/>
                    </w:rPr>
                  </w:pPr>
                  <w:r>
                    <w:rPr>
                      <w:rFonts w:hint="eastAsia"/>
                      <w:color w:val="auto"/>
                      <w:kern w:val="0"/>
                      <w:sz w:val="21"/>
                      <w:lang w:val="en-US" w:eastAsia="zh-CN"/>
                    </w:rPr>
                    <w:t>34.58</w:t>
                  </w:r>
                </w:p>
              </w:tc>
              <w:tc>
                <w:tcPr>
                  <w:tcW w:w="857" w:type="pct"/>
                  <w:noWrap w:val="0"/>
                  <w:vAlign w:val="center"/>
                </w:tcPr>
                <w:p>
                  <w:pPr>
                    <w:widowControl/>
                    <w:spacing w:line="240" w:lineRule="auto"/>
                    <w:ind w:firstLine="0" w:firstLineChars="0"/>
                    <w:jc w:val="center"/>
                    <w:rPr>
                      <w:color w:val="auto"/>
                      <w:kern w:val="0"/>
                      <w:sz w:val="21"/>
                    </w:rPr>
                  </w:pPr>
                  <w:r>
                    <w:rPr>
                      <w:color w:val="auto"/>
                      <w:kern w:val="0"/>
                      <w:sz w:val="21"/>
                    </w:rPr>
                    <w:t>砂（0-</w:t>
                  </w:r>
                  <w:r>
                    <w:rPr>
                      <w:rFonts w:hint="eastAsia"/>
                      <w:color w:val="auto"/>
                      <w:kern w:val="0"/>
                      <w:sz w:val="21"/>
                      <w:lang w:val="en-US" w:eastAsia="zh-CN"/>
                    </w:rPr>
                    <w:t>5</w:t>
                  </w:r>
                  <w:r>
                    <w:rPr>
                      <w:color w:val="auto"/>
                      <w:kern w:val="0"/>
                      <w:sz w:val="21"/>
                    </w:rPr>
                    <w:t>mm）</w:t>
                  </w:r>
                </w:p>
              </w:tc>
              <w:tc>
                <w:tcPr>
                  <w:tcW w:w="923" w:type="pct"/>
                  <w:noWrap w:val="0"/>
                  <w:vAlign w:val="center"/>
                </w:tcPr>
                <w:p>
                  <w:pPr>
                    <w:widowControl/>
                    <w:spacing w:line="240" w:lineRule="auto"/>
                    <w:ind w:firstLine="0" w:firstLineChars="0"/>
                    <w:jc w:val="center"/>
                    <w:rPr>
                      <w:rFonts w:hint="default" w:eastAsia="宋体"/>
                      <w:color w:val="auto"/>
                      <w:kern w:val="0"/>
                      <w:sz w:val="21"/>
                      <w:lang w:val="en-US" w:eastAsia="zh-CN"/>
                    </w:rPr>
                  </w:pPr>
                  <w:r>
                    <w:rPr>
                      <w:rFonts w:hint="eastAsia"/>
                      <w:color w:val="auto"/>
                      <w:kern w:val="0"/>
                      <w:sz w:val="21"/>
                      <w:lang w:val="en-US" w:eastAsia="zh-CN"/>
                    </w:rPr>
                    <w:t>13.33</w:t>
                  </w:r>
                </w:p>
              </w:tc>
              <w:tc>
                <w:tcPr>
                  <w:tcW w:w="923" w:type="pct"/>
                  <w:noWrap w:val="0"/>
                  <w:vAlign w:val="center"/>
                </w:tcPr>
                <w:p>
                  <w:pPr>
                    <w:widowControl/>
                    <w:spacing w:line="240" w:lineRule="auto"/>
                    <w:ind w:firstLine="0" w:firstLineChars="0"/>
                    <w:jc w:val="center"/>
                    <w:rPr>
                      <w:rFonts w:hint="default" w:eastAsia="宋体"/>
                      <w:color w:val="auto"/>
                      <w:kern w:val="0"/>
                      <w:sz w:val="21"/>
                      <w:lang w:val="en-US" w:eastAsia="zh-CN"/>
                    </w:rPr>
                  </w:pPr>
                  <w:r>
                    <w:rPr>
                      <w:rFonts w:hint="eastAsia"/>
                      <w:color w:val="auto"/>
                      <w:kern w:val="0"/>
                      <w:sz w:val="21"/>
                      <w:lang w:val="en-US" w:eastAsia="zh-CN"/>
                    </w:rPr>
                    <w:t>20</w:t>
                  </w:r>
                </w:p>
              </w:tc>
            </w:tr>
          </w:tbl>
          <w:p>
            <w:pPr>
              <w:pStyle w:val="16"/>
              <w:ind w:firstLine="480"/>
              <w:rPr>
                <w:rFonts w:hint="default" w:ascii="Times New Roman" w:hAnsi="Times New Roman"/>
                <w:color w:val="auto"/>
                <w:lang w:val="en-US" w:eastAsia="zh-CN"/>
              </w:rPr>
            </w:pPr>
            <w:r>
              <w:rPr>
                <w:rFonts w:hint="eastAsia" w:ascii="Times New Roman" w:hAnsi="Times New Roman"/>
                <w:color w:val="auto"/>
                <w:lang w:val="en-US" w:eastAsia="zh-CN"/>
              </w:rPr>
              <w:t>本项目为新增临时堆料加工点，处置规模为年产20万吨砂石，</w:t>
            </w:r>
            <w:r>
              <w:rPr>
                <w:rFonts w:ascii="Times New Roman" w:hAnsi="Times New Roman"/>
                <w:color w:val="auto"/>
              </w:rPr>
              <w:t>项目原材料为企业拍卖取得的宁德市福鼎市百胜片区22-25号地块场地平整剩余砂石（处置权出让合同见附件4）。</w:t>
            </w:r>
            <w:r>
              <w:rPr>
                <w:rFonts w:hint="eastAsia" w:ascii="Times New Roman" w:hAnsi="Times New Roman"/>
                <w:color w:val="auto"/>
                <w:lang w:val="en-US" w:eastAsia="zh-CN"/>
              </w:rPr>
              <w:t>根据建设单位提供的资料，</w:t>
            </w:r>
            <w:r>
              <w:rPr>
                <w:rFonts w:hint="eastAsia" w:ascii="Times New Roman" w:hAnsi="Times New Roman"/>
                <w:color w:val="auto"/>
                <w:highlight w:val="none"/>
                <w:lang w:val="en-US" w:eastAsia="zh-CN"/>
              </w:rPr>
              <w:t>项目区渣石的密度约为2.6g/cm</w:t>
            </w:r>
            <w:r>
              <w:rPr>
                <w:rFonts w:hint="eastAsia" w:ascii="Times New Roman" w:hAnsi="Times New Roman"/>
                <w:color w:val="auto"/>
                <w:highlight w:val="none"/>
                <w:vertAlign w:val="superscript"/>
                <w:lang w:val="en-US" w:eastAsia="zh-CN"/>
              </w:rPr>
              <w:t>3</w:t>
            </w:r>
            <w:r>
              <w:rPr>
                <w:rFonts w:hint="eastAsia" w:ascii="Times New Roman" w:hAnsi="Times New Roman"/>
                <w:color w:val="auto"/>
                <w:highlight w:val="none"/>
                <w:lang w:val="en-US" w:eastAsia="zh-CN"/>
              </w:rPr>
              <w:t>，每立方渣石可制成品砂约1.5吨，本项目区总</w:t>
            </w:r>
            <w:r>
              <w:rPr>
                <w:rFonts w:hint="eastAsia" w:ascii="Times New Roman" w:hAnsi="Times New Roman"/>
                <w:color w:val="auto"/>
                <w:lang w:val="en-US" w:eastAsia="zh-CN"/>
              </w:rPr>
              <w:t>建筑用凝灰岩矿原料约34.58万吨，产量砂约为20万吨。</w:t>
            </w:r>
          </w:p>
          <w:p>
            <w:pPr>
              <w:pStyle w:val="16"/>
              <w:ind w:firstLine="480"/>
              <w:rPr>
                <w:rFonts w:ascii="Times New Roman" w:hAnsi="Times New Roman"/>
                <w:color w:val="auto"/>
              </w:rPr>
            </w:pPr>
            <w:r>
              <w:rPr>
                <w:rFonts w:ascii="Times New Roman" w:hAnsi="Times New Roman"/>
                <w:color w:val="auto"/>
              </w:rPr>
              <w:t>福鼎市百胜片区22-25号地块场地平整由企业委托福建奂然建设工程有限公司福鼎分公司进行，平整后剩余的砂石土使用运输车辆直接由平整场地运至本项目厂区内在颚式破碎机出口卸料，故本项目厂区内不设原料堆场。</w:t>
            </w:r>
          </w:p>
          <w:p>
            <w:pPr>
              <w:pStyle w:val="13"/>
              <w:jc w:val="center"/>
              <w:rPr>
                <w:rFonts w:hint="default"/>
                <w:color w:val="auto"/>
                <w:lang w:val="en-US" w:eastAsia="zh-CN"/>
              </w:rPr>
            </w:pPr>
            <w:r>
              <w:rPr>
                <w:rFonts w:hint="default"/>
                <w:color w:val="auto"/>
                <w:lang w:val="en-US" w:eastAsia="zh-CN"/>
              </w:rPr>
              <w:object>
                <v:shape id="_x0000_i1025" o:spt="75" type="#_x0000_t75" style="height:284.15pt;width:288.8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pPr>
              <w:pStyle w:val="13"/>
              <w:rPr>
                <w:color w:val="auto"/>
              </w:rPr>
            </w:pPr>
            <w:r>
              <w:rPr>
                <w:color w:val="auto"/>
              </w:rPr>
              <w:t>图2.</w:t>
            </w:r>
            <w:r>
              <w:rPr>
                <w:rFonts w:hint="eastAsia"/>
                <w:color w:val="auto"/>
                <w:lang w:val="en-US" w:eastAsia="zh-CN"/>
              </w:rPr>
              <w:t>4</w:t>
            </w:r>
            <w:r>
              <w:rPr>
                <w:color w:val="auto"/>
              </w:rPr>
              <w:t>-1物料平衡（t/a）</w:t>
            </w:r>
          </w:p>
          <w:p>
            <w:pPr>
              <w:pStyle w:val="16"/>
              <w:ind w:firstLine="480"/>
              <w:rPr>
                <w:rFonts w:ascii="Times New Roman" w:hAnsi="Times New Roman"/>
                <w:color w:val="auto"/>
                <w:kern w:val="2"/>
                <w:szCs w:val="24"/>
              </w:rPr>
            </w:pPr>
            <w:r>
              <w:rPr>
                <w:rFonts w:ascii="Times New Roman" w:hAnsi="Times New Roman"/>
                <w:color w:val="auto"/>
              </w:rPr>
              <w:t>（2）能源消耗</w:t>
            </w:r>
          </w:p>
          <w:p>
            <w:pPr>
              <w:pStyle w:val="16"/>
              <w:ind w:firstLine="480"/>
              <w:rPr>
                <w:rFonts w:ascii="Times New Roman" w:hAnsi="Times New Roman"/>
                <w:color w:val="auto"/>
              </w:rPr>
            </w:pPr>
            <w:r>
              <w:rPr>
                <w:rFonts w:ascii="Times New Roman" w:hAnsi="Times New Roman"/>
                <w:color w:val="auto"/>
              </w:rPr>
              <w:t>本项目主要原辅材料及能源消耗详见表2.</w:t>
            </w:r>
            <w:r>
              <w:rPr>
                <w:rFonts w:hint="eastAsia" w:ascii="Times New Roman" w:hAnsi="Times New Roman"/>
                <w:color w:val="auto"/>
                <w:lang w:val="en-US" w:eastAsia="zh-CN"/>
              </w:rPr>
              <w:t>3</w:t>
            </w:r>
            <w:r>
              <w:rPr>
                <w:rFonts w:ascii="Times New Roman" w:hAnsi="Times New Roman"/>
                <w:color w:val="auto"/>
              </w:rPr>
              <w:t>-2。</w:t>
            </w:r>
          </w:p>
          <w:p>
            <w:pPr>
              <w:pStyle w:val="13"/>
              <w:rPr>
                <w:color w:val="auto"/>
              </w:rPr>
            </w:pPr>
            <w:r>
              <w:rPr>
                <w:color w:val="auto"/>
              </w:rPr>
              <w:t>表2.</w:t>
            </w:r>
            <w:r>
              <w:rPr>
                <w:rFonts w:hint="eastAsia"/>
                <w:color w:val="auto"/>
                <w:lang w:val="en-US" w:eastAsia="zh-CN"/>
              </w:rPr>
              <w:t>3</w:t>
            </w:r>
            <w:r>
              <w:rPr>
                <w:color w:val="auto"/>
              </w:rPr>
              <w:t>-2项目能源消耗情况一览表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6"/>
              <w:gridCol w:w="1964"/>
              <w:gridCol w:w="2167"/>
              <w:gridCol w:w="2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706" w:type="dxa"/>
                  <w:noWrap/>
                  <w:vAlign w:val="center"/>
                </w:tcPr>
                <w:p>
                  <w:pPr>
                    <w:pStyle w:val="15"/>
                    <w:rPr>
                      <w:color w:val="auto"/>
                    </w:rPr>
                  </w:pPr>
                  <w:r>
                    <w:rPr>
                      <w:color w:val="auto"/>
                    </w:rPr>
                    <w:t>序号</w:t>
                  </w:r>
                </w:p>
              </w:tc>
              <w:tc>
                <w:tcPr>
                  <w:tcW w:w="1964" w:type="dxa"/>
                  <w:noWrap w:val="0"/>
                  <w:vAlign w:val="center"/>
                </w:tcPr>
                <w:p>
                  <w:pPr>
                    <w:pStyle w:val="15"/>
                    <w:rPr>
                      <w:color w:val="auto"/>
                    </w:rPr>
                  </w:pPr>
                  <w:r>
                    <w:rPr>
                      <w:color w:val="auto"/>
                    </w:rPr>
                    <w:t>能源</w:t>
                  </w:r>
                </w:p>
              </w:tc>
              <w:tc>
                <w:tcPr>
                  <w:tcW w:w="2167" w:type="dxa"/>
                  <w:noWrap/>
                  <w:vAlign w:val="center"/>
                </w:tcPr>
                <w:p>
                  <w:pPr>
                    <w:pStyle w:val="15"/>
                    <w:rPr>
                      <w:color w:val="auto"/>
                    </w:rPr>
                  </w:pPr>
                  <w:r>
                    <w:rPr>
                      <w:color w:val="auto"/>
                    </w:rPr>
                    <w:t>用量</w:t>
                  </w:r>
                </w:p>
              </w:tc>
              <w:tc>
                <w:tcPr>
                  <w:tcW w:w="2983" w:type="dxa"/>
                  <w:noWrap/>
                  <w:vAlign w:val="center"/>
                </w:tcPr>
                <w:p>
                  <w:pPr>
                    <w:pStyle w:val="15"/>
                    <w:rPr>
                      <w:color w:val="auto"/>
                    </w:rPr>
                  </w:pPr>
                  <w:r>
                    <w:rPr>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706" w:type="dxa"/>
                  <w:noWrap/>
                  <w:vAlign w:val="center"/>
                </w:tcPr>
                <w:p>
                  <w:pPr>
                    <w:pStyle w:val="15"/>
                    <w:rPr>
                      <w:color w:val="auto"/>
                    </w:rPr>
                  </w:pPr>
                  <w:r>
                    <w:rPr>
                      <w:color w:val="auto"/>
                    </w:rPr>
                    <w:t>1</w:t>
                  </w:r>
                </w:p>
              </w:tc>
              <w:tc>
                <w:tcPr>
                  <w:tcW w:w="1964" w:type="dxa"/>
                  <w:noWrap w:val="0"/>
                  <w:vAlign w:val="center"/>
                </w:tcPr>
                <w:p>
                  <w:pPr>
                    <w:pStyle w:val="15"/>
                    <w:rPr>
                      <w:color w:val="auto"/>
                    </w:rPr>
                  </w:pPr>
                  <w:r>
                    <w:rPr>
                      <w:color w:val="auto"/>
                    </w:rPr>
                    <w:t>水</w:t>
                  </w:r>
                </w:p>
              </w:tc>
              <w:tc>
                <w:tcPr>
                  <w:tcW w:w="2167" w:type="dxa"/>
                  <w:noWrap/>
                  <w:vAlign w:val="center"/>
                </w:tcPr>
                <w:p>
                  <w:pPr>
                    <w:pStyle w:val="15"/>
                    <w:rPr>
                      <w:color w:val="auto"/>
                      <w:highlight w:val="none"/>
                    </w:rPr>
                  </w:pPr>
                  <w:r>
                    <w:rPr>
                      <w:rFonts w:hint="eastAsia"/>
                      <w:color w:val="auto"/>
                      <w:highlight w:val="none"/>
                      <w:lang w:val="en-US" w:eastAsia="zh-CN"/>
                    </w:rPr>
                    <w:t>20556</w:t>
                  </w:r>
                  <w:r>
                    <w:rPr>
                      <w:color w:val="auto"/>
                      <w:highlight w:val="none"/>
                    </w:rPr>
                    <w:t>t/a</w:t>
                  </w:r>
                </w:p>
              </w:tc>
              <w:tc>
                <w:tcPr>
                  <w:tcW w:w="2983" w:type="dxa"/>
                  <w:noWrap/>
                  <w:vAlign w:val="center"/>
                </w:tcPr>
                <w:p>
                  <w:pPr>
                    <w:pStyle w:val="15"/>
                    <w:rPr>
                      <w:rFonts w:hint="default" w:eastAsia="宋体"/>
                      <w:color w:val="auto"/>
                      <w:lang w:val="en-US" w:eastAsia="zh-CN"/>
                    </w:rPr>
                  </w:pPr>
                  <w:r>
                    <w:rPr>
                      <w:rFonts w:hint="eastAsia"/>
                      <w:color w:val="auto"/>
                      <w:lang w:val="en-US" w:eastAsia="zh-CN"/>
                    </w:rPr>
                    <w:t>接自来水管网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 w:hRule="atLeast"/>
                <w:jc w:val="center"/>
              </w:trPr>
              <w:tc>
                <w:tcPr>
                  <w:tcW w:w="706" w:type="dxa"/>
                  <w:noWrap/>
                  <w:vAlign w:val="center"/>
                </w:tcPr>
                <w:p>
                  <w:pPr>
                    <w:pStyle w:val="15"/>
                    <w:rPr>
                      <w:color w:val="auto"/>
                    </w:rPr>
                  </w:pPr>
                  <w:r>
                    <w:rPr>
                      <w:color w:val="auto"/>
                    </w:rPr>
                    <w:t>2</w:t>
                  </w:r>
                </w:p>
              </w:tc>
              <w:tc>
                <w:tcPr>
                  <w:tcW w:w="1964" w:type="dxa"/>
                  <w:noWrap w:val="0"/>
                  <w:vAlign w:val="center"/>
                </w:tcPr>
                <w:p>
                  <w:pPr>
                    <w:pStyle w:val="15"/>
                    <w:rPr>
                      <w:color w:val="auto"/>
                    </w:rPr>
                  </w:pPr>
                  <w:r>
                    <w:rPr>
                      <w:color w:val="auto"/>
                    </w:rPr>
                    <w:t>电</w:t>
                  </w:r>
                </w:p>
              </w:tc>
              <w:tc>
                <w:tcPr>
                  <w:tcW w:w="2167" w:type="dxa"/>
                  <w:noWrap/>
                  <w:vAlign w:val="center"/>
                </w:tcPr>
                <w:p>
                  <w:pPr>
                    <w:pStyle w:val="15"/>
                    <w:rPr>
                      <w:color w:val="auto"/>
                    </w:rPr>
                  </w:pPr>
                  <w:r>
                    <w:rPr>
                      <w:rFonts w:hint="eastAsia"/>
                      <w:color w:val="auto"/>
                      <w:lang w:val="en-US" w:eastAsia="zh-CN"/>
                    </w:rPr>
                    <w:t>200万</w:t>
                  </w:r>
                  <w:r>
                    <w:rPr>
                      <w:color w:val="auto"/>
                    </w:rPr>
                    <w:t>kwh/a</w:t>
                  </w:r>
                </w:p>
              </w:tc>
              <w:tc>
                <w:tcPr>
                  <w:tcW w:w="2983" w:type="dxa"/>
                  <w:noWrap/>
                  <w:vAlign w:val="center"/>
                </w:tcPr>
                <w:p>
                  <w:pPr>
                    <w:pStyle w:val="15"/>
                    <w:rPr>
                      <w:color w:val="auto"/>
                    </w:rPr>
                  </w:pPr>
                  <w:r>
                    <w:rPr>
                      <w:color w:val="auto"/>
                    </w:rPr>
                    <w:t>市政供电</w:t>
                  </w:r>
                </w:p>
              </w:tc>
            </w:tr>
          </w:tbl>
          <w:p>
            <w:pPr>
              <w:pStyle w:val="20"/>
              <w:rPr>
                <w:color w:val="auto"/>
              </w:rPr>
            </w:pPr>
            <w:r>
              <w:rPr>
                <w:color w:val="auto"/>
              </w:rPr>
              <w:t>2.</w:t>
            </w:r>
            <w:r>
              <w:rPr>
                <w:rFonts w:hint="eastAsia"/>
                <w:color w:val="auto"/>
                <w:lang w:val="en-US" w:eastAsia="zh-CN"/>
              </w:rPr>
              <w:t>4</w:t>
            </w:r>
            <w:r>
              <w:rPr>
                <w:color w:val="auto"/>
              </w:rPr>
              <w:t>项目主要生产设备</w:t>
            </w:r>
          </w:p>
          <w:p>
            <w:pPr>
              <w:ind w:firstLine="480"/>
              <w:rPr>
                <w:color w:val="auto"/>
              </w:rPr>
            </w:pPr>
            <w:r>
              <w:rPr>
                <w:color w:val="auto"/>
              </w:rPr>
              <w:t>项目主要生产设备见下表2.</w:t>
            </w:r>
            <w:r>
              <w:rPr>
                <w:rFonts w:hint="eastAsia"/>
                <w:color w:val="auto"/>
                <w:lang w:val="en-US" w:eastAsia="zh-CN"/>
              </w:rPr>
              <w:t>4</w:t>
            </w:r>
            <w:r>
              <w:rPr>
                <w:color w:val="auto"/>
              </w:rPr>
              <w:t>-1。</w:t>
            </w:r>
          </w:p>
          <w:p>
            <w:pPr>
              <w:pStyle w:val="13"/>
              <w:rPr>
                <w:color w:val="auto"/>
              </w:rPr>
            </w:pPr>
            <w:r>
              <w:rPr>
                <w:color w:val="auto"/>
              </w:rPr>
              <w:t>表2.</w:t>
            </w:r>
            <w:r>
              <w:rPr>
                <w:rFonts w:hint="eastAsia"/>
                <w:color w:val="auto"/>
                <w:lang w:val="en-US" w:eastAsia="zh-CN"/>
              </w:rPr>
              <w:t>4</w:t>
            </w:r>
            <w:r>
              <w:rPr>
                <w:color w:val="auto"/>
              </w:rPr>
              <w:t>-1项目主要设备一览表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60"/>
              <w:gridCol w:w="1306"/>
              <w:gridCol w:w="2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序号</w:t>
                  </w:r>
                </w:p>
              </w:tc>
              <w:tc>
                <w:tcPr>
                  <w:tcW w:w="1764" w:type="pct"/>
                  <w:noWrap w:val="0"/>
                  <w:vAlign w:val="center"/>
                </w:tcPr>
                <w:p>
                  <w:pPr>
                    <w:pStyle w:val="15"/>
                    <w:rPr>
                      <w:color w:val="auto"/>
                    </w:rPr>
                  </w:pPr>
                  <w:r>
                    <w:rPr>
                      <w:color w:val="auto"/>
                    </w:rPr>
                    <w:t>设备名称</w:t>
                  </w:r>
                </w:p>
              </w:tc>
              <w:tc>
                <w:tcPr>
                  <w:tcW w:w="835" w:type="pct"/>
                  <w:noWrap w:val="0"/>
                  <w:vAlign w:val="center"/>
                </w:tcPr>
                <w:p>
                  <w:pPr>
                    <w:pStyle w:val="15"/>
                    <w:rPr>
                      <w:color w:val="auto"/>
                    </w:rPr>
                  </w:pPr>
                  <w:r>
                    <w:rPr>
                      <w:color w:val="auto"/>
                    </w:rPr>
                    <w:t>数量</w:t>
                  </w:r>
                </w:p>
              </w:tc>
              <w:tc>
                <w:tcPr>
                  <w:tcW w:w="1884" w:type="pct"/>
                  <w:noWrap w:val="0"/>
                  <w:vAlign w:val="center"/>
                </w:tcPr>
                <w:p>
                  <w:pPr>
                    <w:pStyle w:val="15"/>
                    <w:rPr>
                      <w:rFonts w:hint="default" w:eastAsia="宋体"/>
                      <w:color w:val="auto"/>
                      <w:lang w:val="en-US" w:eastAsia="zh-CN"/>
                    </w:rPr>
                  </w:pPr>
                  <w:r>
                    <w:rPr>
                      <w:rFonts w:hint="eastAsia"/>
                      <w:color w:val="auto"/>
                      <w:lang w:val="en-US" w:eastAsia="zh-CN"/>
                    </w:rPr>
                    <w:t>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1</w:t>
                  </w:r>
                </w:p>
              </w:tc>
              <w:tc>
                <w:tcPr>
                  <w:tcW w:w="1764" w:type="pct"/>
                  <w:noWrap w:val="0"/>
                  <w:vAlign w:val="center"/>
                </w:tcPr>
                <w:p>
                  <w:pPr>
                    <w:pStyle w:val="15"/>
                    <w:rPr>
                      <w:rFonts w:hint="default" w:eastAsia="宋体"/>
                      <w:color w:val="auto"/>
                      <w:lang w:val="en-US" w:eastAsia="zh-CN"/>
                    </w:rPr>
                  </w:pPr>
                  <w:r>
                    <w:rPr>
                      <w:rFonts w:hint="eastAsia"/>
                      <w:color w:val="auto"/>
                      <w:lang w:val="en-US" w:eastAsia="zh-CN"/>
                    </w:rPr>
                    <w:t>棒条喂料机</w:t>
                  </w:r>
                </w:p>
              </w:tc>
              <w:tc>
                <w:tcPr>
                  <w:tcW w:w="835" w:type="pct"/>
                  <w:noWrap w:val="0"/>
                  <w:vAlign w:val="center"/>
                </w:tcPr>
                <w:p>
                  <w:pPr>
                    <w:pStyle w:val="15"/>
                    <w:ind w:firstLine="0" w:firstLineChars="0"/>
                    <w:rPr>
                      <w:rFonts w:hint="eastAsia" w:eastAsia="宋体"/>
                      <w:color w:val="auto"/>
                      <w:lang w:val="en-US" w:eastAsia="zh-CN"/>
                    </w:rPr>
                  </w:pPr>
                  <w:r>
                    <w:rPr>
                      <w:rFonts w:hint="eastAsia"/>
                      <w:color w:val="auto"/>
                      <w:lang w:val="en-US" w:eastAsia="zh-CN"/>
                    </w:rPr>
                    <w:t>1</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ZW1300×6000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2</w:t>
                  </w:r>
                </w:p>
              </w:tc>
              <w:tc>
                <w:tcPr>
                  <w:tcW w:w="1764" w:type="pct"/>
                  <w:noWrap w:val="0"/>
                  <w:vAlign w:val="center"/>
                </w:tcPr>
                <w:p>
                  <w:pPr>
                    <w:pStyle w:val="15"/>
                    <w:rPr>
                      <w:rFonts w:hint="default" w:eastAsia="宋体"/>
                      <w:color w:val="auto"/>
                      <w:lang w:val="en-US" w:eastAsia="zh-CN"/>
                    </w:rPr>
                  </w:pPr>
                  <w:r>
                    <w:rPr>
                      <w:rFonts w:hint="eastAsia"/>
                      <w:color w:val="auto"/>
                      <w:lang w:val="en-US" w:eastAsia="zh-CN"/>
                    </w:rPr>
                    <w:t>鄂式破碎机</w:t>
                  </w:r>
                </w:p>
              </w:tc>
              <w:tc>
                <w:tcPr>
                  <w:tcW w:w="835" w:type="pct"/>
                  <w:noWrap w:val="0"/>
                  <w:vAlign w:val="center"/>
                </w:tcPr>
                <w:p>
                  <w:pPr>
                    <w:pStyle w:val="15"/>
                    <w:ind w:firstLine="0" w:firstLineChars="0"/>
                    <w:rPr>
                      <w:rFonts w:hint="eastAsia" w:eastAsia="宋体"/>
                      <w:color w:val="auto"/>
                      <w:lang w:val="en-US" w:eastAsia="zh-CN"/>
                    </w:rPr>
                  </w:pPr>
                  <w:r>
                    <w:rPr>
                      <w:rFonts w:hint="eastAsia"/>
                      <w:color w:val="auto"/>
                      <w:lang w:val="en-US" w:eastAsia="zh-CN"/>
                    </w:rPr>
                    <w:t>1</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PE900×1200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3</w:t>
                  </w:r>
                </w:p>
              </w:tc>
              <w:tc>
                <w:tcPr>
                  <w:tcW w:w="1764" w:type="pct"/>
                  <w:noWrap w:val="0"/>
                  <w:vAlign w:val="center"/>
                </w:tcPr>
                <w:p>
                  <w:pPr>
                    <w:pStyle w:val="15"/>
                    <w:rPr>
                      <w:rFonts w:hint="eastAsia" w:eastAsia="宋体"/>
                      <w:color w:val="auto"/>
                      <w:lang w:val="en-US" w:eastAsia="zh-CN"/>
                    </w:rPr>
                  </w:pPr>
                  <w:r>
                    <w:rPr>
                      <w:rFonts w:hint="eastAsia"/>
                      <w:color w:val="auto"/>
                      <w:lang w:val="en-US" w:eastAsia="zh-CN"/>
                    </w:rPr>
                    <w:t>圆锥机</w:t>
                  </w:r>
                </w:p>
              </w:tc>
              <w:tc>
                <w:tcPr>
                  <w:tcW w:w="835" w:type="pct"/>
                  <w:noWrap w:val="0"/>
                  <w:vAlign w:val="center"/>
                </w:tcPr>
                <w:p>
                  <w:pPr>
                    <w:pStyle w:val="15"/>
                    <w:ind w:firstLine="0" w:firstLineChars="0"/>
                    <w:rPr>
                      <w:rFonts w:hint="eastAsia" w:eastAsia="宋体"/>
                      <w:color w:val="auto"/>
                      <w:lang w:val="en-US" w:eastAsia="zh-CN"/>
                    </w:rPr>
                  </w:pPr>
                  <w:r>
                    <w:rPr>
                      <w:rFonts w:hint="eastAsia"/>
                      <w:color w:val="auto"/>
                      <w:lang w:val="en-US" w:eastAsia="zh-CN"/>
                    </w:rPr>
                    <w:t>1</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MPH1650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4</w:t>
                  </w:r>
                </w:p>
              </w:tc>
              <w:tc>
                <w:tcPr>
                  <w:tcW w:w="1764" w:type="pct"/>
                  <w:noWrap w:val="0"/>
                  <w:vAlign w:val="center"/>
                </w:tcPr>
                <w:p>
                  <w:pPr>
                    <w:pStyle w:val="15"/>
                    <w:rPr>
                      <w:rFonts w:hint="eastAsia" w:eastAsia="宋体"/>
                      <w:color w:val="auto"/>
                      <w:lang w:val="en-US" w:eastAsia="zh-CN"/>
                    </w:rPr>
                  </w:pPr>
                  <w:r>
                    <w:rPr>
                      <w:rFonts w:hint="eastAsia"/>
                      <w:color w:val="auto"/>
                      <w:lang w:val="en-US" w:eastAsia="zh-CN"/>
                    </w:rPr>
                    <w:t>圆锥机</w:t>
                  </w:r>
                </w:p>
              </w:tc>
              <w:tc>
                <w:tcPr>
                  <w:tcW w:w="835" w:type="pct"/>
                  <w:noWrap w:val="0"/>
                  <w:vAlign w:val="center"/>
                </w:tcPr>
                <w:p>
                  <w:pPr>
                    <w:pStyle w:val="15"/>
                    <w:ind w:firstLine="0" w:firstLineChars="0"/>
                    <w:rPr>
                      <w:rFonts w:hint="eastAsia" w:eastAsia="宋体"/>
                      <w:color w:val="auto"/>
                      <w:lang w:val="en-US" w:eastAsia="zh-CN"/>
                    </w:rPr>
                  </w:pPr>
                  <w:r>
                    <w:rPr>
                      <w:rFonts w:hint="eastAsia"/>
                      <w:color w:val="auto"/>
                      <w:lang w:val="en-US" w:eastAsia="zh-CN"/>
                    </w:rPr>
                    <w:t>2</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MPH1400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5</w:t>
                  </w:r>
                </w:p>
              </w:tc>
              <w:tc>
                <w:tcPr>
                  <w:tcW w:w="1764" w:type="pct"/>
                  <w:noWrap w:val="0"/>
                  <w:vAlign w:val="center"/>
                </w:tcPr>
                <w:p>
                  <w:pPr>
                    <w:pStyle w:val="15"/>
                    <w:rPr>
                      <w:rFonts w:hint="default" w:eastAsia="宋体"/>
                      <w:color w:val="auto"/>
                      <w:lang w:val="en-US" w:eastAsia="zh-CN"/>
                    </w:rPr>
                  </w:pPr>
                  <w:r>
                    <w:rPr>
                      <w:rFonts w:hint="eastAsia"/>
                      <w:color w:val="auto"/>
                      <w:lang w:val="en-US" w:eastAsia="zh-CN"/>
                    </w:rPr>
                    <w:t>振动喂料机</w:t>
                  </w:r>
                </w:p>
              </w:tc>
              <w:tc>
                <w:tcPr>
                  <w:tcW w:w="835" w:type="pct"/>
                  <w:noWrap w:val="0"/>
                  <w:vAlign w:val="center"/>
                </w:tcPr>
                <w:p>
                  <w:pPr>
                    <w:pStyle w:val="15"/>
                    <w:ind w:firstLine="0" w:firstLineChars="0"/>
                    <w:rPr>
                      <w:rFonts w:hint="eastAsia" w:eastAsia="宋体"/>
                      <w:color w:val="auto"/>
                      <w:lang w:val="en-US" w:eastAsia="zh-CN"/>
                    </w:rPr>
                  </w:pPr>
                  <w:r>
                    <w:rPr>
                      <w:rFonts w:hint="eastAsia"/>
                      <w:color w:val="auto"/>
                      <w:lang w:val="en-US" w:eastAsia="zh-CN"/>
                    </w:rPr>
                    <w:t>3</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ZW1520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6</w:t>
                  </w:r>
                </w:p>
              </w:tc>
              <w:tc>
                <w:tcPr>
                  <w:tcW w:w="1764" w:type="pct"/>
                  <w:noWrap w:val="0"/>
                  <w:vAlign w:val="center"/>
                </w:tcPr>
                <w:p>
                  <w:pPr>
                    <w:pStyle w:val="15"/>
                    <w:jc w:val="center"/>
                    <w:rPr>
                      <w:rFonts w:hint="default" w:eastAsia="宋体"/>
                      <w:color w:val="auto"/>
                      <w:lang w:val="en-US" w:eastAsia="zh-CN"/>
                    </w:rPr>
                  </w:pPr>
                  <w:r>
                    <w:rPr>
                      <w:rFonts w:hint="eastAsia"/>
                      <w:color w:val="auto"/>
                      <w:lang w:val="en-US" w:eastAsia="zh-CN"/>
                    </w:rPr>
                    <w:t>振动筛</w:t>
                  </w:r>
                </w:p>
              </w:tc>
              <w:tc>
                <w:tcPr>
                  <w:tcW w:w="835"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5</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2YK3072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7</w:t>
                  </w:r>
                </w:p>
              </w:tc>
              <w:tc>
                <w:tcPr>
                  <w:tcW w:w="1764" w:type="pct"/>
                  <w:noWrap w:val="0"/>
                  <w:vAlign w:val="center"/>
                </w:tcPr>
                <w:p>
                  <w:pPr>
                    <w:pStyle w:val="15"/>
                    <w:rPr>
                      <w:rFonts w:hint="default" w:eastAsia="宋体"/>
                      <w:color w:val="auto"/>
                      <w:lang w:val="en-US" w:eastAsia="zh-CN"/>
                    </w:rPr>
                  </w:pPr>
                  <w:r>
                    <w:rPr>
                      <w:rFonts w:hint="eastAsia"/>
                      <w:color w:val="auto"/>
                      <w:lang w:val="en-US" w:eastAsia="zh-CN"/>
                    </w:rPr>
                    <w:t>高压对辊机</w:t>
                  </w:r>
                </w:p>
              </w:tc>
              <w:tc>
                <w:tcPr>
                  <w:tcW w:w="835" w:type="pct"/>
                  <w:noWrap w:val="0"/>
                  <w:vAlign w:val="center"/>
                </w:tcPr>
                <w:p>
                  <w:pPr>
                    <w:pStyle w:val="15"/>
                    <w:ind w:firstLine="0" w:firstLineChars="0"/>
                    <w:rPr>
                      <w:rFonts w:hint="eastAsia" w:eastAsia="宋体"/>
                      <w:color w:val="auto"/>
                      <w:lang w:val="en-US" w:eastAsia="zh-CN"/>
                    </w:rPr>
                  </w:pPr>
                  <w:r>
                    <w:rPr>
                      <w:rFonts w:hint="eastAsia"/>
                      <w:color w:val="auto"/>
                      <w:lang w:val="en-US" w:eastAsia="zh-CN"/>
                    </w:rPr>
                    <w:t>2</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MD200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8</w:t>
                  </w:r>
                </w:p>
              </w:tc>
              <w:tc>
                <w:tcPr>
                  <w:tcW w:w="1764" w:type="pct"/>
                  <w:noWrap w:val="0"/>
                  <w:vAlign w:val="center"/>
                </w:tcPr>
                <w:p>
                  <w:pPr>
                    <w:pStyle w:val="15"/>
                    <w:rPr>
                      <w:rFonts w:hint="default" w:eastAsia="宋体"/>
                      <w:color w:val="auto"/>
                      <w:lang w:val="en-US" w:eastAsia="zh-CN"/>
                    </w:rPr>
                  </w:pPr>
                  <w:r>
                    <w:rPr>
                      <w:rFonts w:hint="eastAsia"/>
                      <w:color w:val="auto"/>
                      <w:lang w:val="en-US" w:eastAsia="zh-CN"/>
                    </w:rPr>
                    <w:t>洗砂机</w:t>
                  </w:r>
                </w:p>
              </w:tc>
              <w:tc>
                <w:tcPr>
                  <w:tcW w:w="835"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3</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XSD5020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9</w:t>
                  </w:r>
                </w:p>
              </w:tc>
              <w:tc>
                <w:tcPr>
                  <w:tcW w:w="1764" w:type="pct"/>
                  <w:noWrap w:val="0"/>
                  <w:vAlign w:val="center"/>
                </w:tcPr>
                <w:p>
                  <w:pPr>
                    <w:pStyle w:val="15"/>
                    <w:rPr>
                      <w:rFonts w:hint="default" w:eastAsia="宋体"/>
                      <w:color w:val="auto"/>
                      <w:lang w:val="en-US" w:eastAsia="zh-CN"/>
                    </w:rPr>
                  </w:pPr>
                  <w:r>
                    <w:rPr>
                      <w:rFonts w:hint="eastAsia"/>
                      <w:color w:val="auto"/>
                      <w:lang w:val="en-US" w:eastAsia="zh-CN"/>
                    </w:rPr>
                    <w:t>洗砂脱水一体机</w:t>
                  </w:r>
                </w:p>
              </w:tc>
              <w:tc>
                <w:tcPr>
                  <w:tcW w:w="835"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2</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1YP2450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color w:val="auto"/>
                    </w:rPr>
                  </w:pPr>
                  <w:r>
                    <w:rPr>
                      <w:color w:val="auto"/>
                    </w:rPr>
                    <w:t>10</w:t>
                  </w:r>
                </w:p>
              </w:tc>
              <w:tc>
                <w:tcPr>
                  <w:tcW w:w="1764" w:type="pct"/>
                  <w:noWrap w:val="0"/>
                  <w:vAlign w:val="center"/>
                </w:tcPr>
                <w:p>
                  <w:pPr>
                    <w:pStyle w:val="15"/>
                    <w:ind w:firstLine="0" w:firstLineChars="0"/>
                    <w:rPr>
                      <w:color w:val="auto"/>
                    </w:rPr>
                  </w:pPr>
                  <w:r>
                    <w:rPr>
                      <w:rFonts w:hint="eastAsia"/>
                      <w:color w:val="auto"/>
                      <w:lang w:val="en-US" w:eastAsia="zh-CN"/>
                    </w:rPr>
                    <w:t>洗砂机</w:t>
                  </w:r>
                </w:p>
              </w:tc>
              <w:tc>
                <w:tcPr>
                  <w:tcW w:w="835"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4</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XSD4535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rFonts w:hint="eastAsia" w:eastAsia="宋体"/>
                      <w:color w:val="auto"/>
                      <w:lang w:val="en-US" w:eastAsia="zh-CN"/>
                    </w:rPr>
                  </w:pPr>
                  <w:r>
                    <w:rPr>
                      <w:color w:val="auto"/>
                    </w:rPr>
                    <w:t>1</w:t>
                  </w:r>
                  <w:r>
                    <w:rPr>
                      <w:rFonts w:hint="eastAsia"/>
                      <w:color w:val="auto"/>
                      <w:lang w:val="en-US" w:eastAsia="zh-CN"/>
                    </w:rPr>
                    <w:t>1</w:t>
                  </w:r>
                </w:p>
              </w:tc>
              <w:tc>
                <w:tcPr>
                  <w:tcW w:w="1764" w:type="pct"/>
                  <w:noWrap w:val="0"/>
                  <w:vAlign w:val="center"/>
                </w:tcPr>
                <w:p>
                  <w:pPr>
                    <w:pStyle w:val="15"/>
                    <w:ind w:firstLine="0" w:firstLineChars="0"/>
                    <w:rPr>
                      <w:color w:val="auto"/>
                    </w:rPr>
                  </w:pPr>
                  <w:r>
                    <w:rPr>
                      <w:rFonts w:hint="eastAsia"/>
                      <w:color w:val="auto"/>
                      <w:lang w:val="en-US" w:eastAsia="zh-CN"/>
                    </w:rPr>
                    <w:t>洗砂脱水一体机</w:t>
                  </w:r>
                </w:p>
              </w:tc>
              <w:tc>
                <w:tcPr>
                  <w:tcW w:w="835"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1</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1YP2050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rFonts w:hint="eastAsia" w:eastAsia="宋体"/>
                      <w:color w:val="auto"/>
                      <w:lang w:val="en-US" w:eastAsia="zh-CN"/>
                    </w:rPr>
                  </w:pPr>
                  <w:r>
                    <w:rPr>
                      <w:color w:val="auto"/>
                    </w:rPr>
                    <w:t>1</w:t>
                  </w:r>
                  <w:r>
                    <w:rPr>
                      <w:rFonts w:hint="eastAsia"/>
                      <w:color w:val="auto"/>
                      <w:lang w:val="en-US" w:eastAsia="zh-CN"/>
                    </w:rPr>
                    <w:t>2</w:t>
                  </w:r>
                </w:p>
              </w:tc>
              <w:tc>
                <w:tcPr>
                  <w:tcW w:w="1764" w:type="pct"/>
                  <w:noWrap w:val="0"/>
                  <w:vAlign w:val="center"/>
                </w:tcPr>
                <w:p>
                  <w:pPr>
                    <w:pStyle w:val="15"/>
                    <w:rPr>
                      <w:rFonts w:hint="default" w:eastAsia="宋体"/>
                      <w:color w:val="auto"/>
                      <w:lang w:val="en-US" w:eastAsia="zh-CN"/>
                    </w:rPr>
                  </w:pPr>
                  <w:r>
                    <w:rPr>
                      <w:rFonts w:hint="eastAsia"/>
                      <w:color w:val="auto"/>
                      <w:lang w:val="en-US" w:eastAsia="zh-CN"/>
                    </w:rPr>
                    <w:t>板框压泥机</w:t>
                  </w:r>
                </w:p>
              </w:tc>
              <w:tc>
                <w:tcPr>
                  <w:tcW w:w="835"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4</w:t>
                  </w:r>
                </w:p>
              </w:tc>
              <w:tc>
                <w:tcPr>
                  <w:tcW w:w="1884"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ZB-500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5" w:type="pct"/>
                  <w:noWrap w:val="0"/>
                  <w:vAlign w:val="center"/>
                </w:tcPr>
                <w:p>
                  <w:pPr>
                    <w:pStyle w:val="15"/>
                    <w:rPr>
                      <w:rFonts w:hint="default" w:eastAsia="宋体"/>
                      <w:color w:val="auto"/>
                      <w:lang w:val="en-US" w:eastAsia="zh-CN"/>
                    </w:rPr>
                  </w:pPr>
                  <w:r>
                    <w:rPr>
                      <w:rFonts w:hint="eastAsia"/>
                      <w:color w:val="auto"/>
                      <w:lang w:val="en-US" w:eastAsia="zh-CN"/>
                    </w:rPr>
                    <w:t>13</w:t>
                  </w:r>
                </w:p>
              </w:tc>
              <w:tc>
                <w:tcPr>
                  <w:tcW w:w="1764" w:type="pct"/>
                  <w:noWrap w:val="0"/>
                  <w:vAlign w:val="center"/>
                </w:tcPr>
                <w:p>
                  <w:pPr>
                    <w:pStyle w:val="15"/>
                    <w:rPr>
                      <w:rFonts w:hint="default"/>
                      <w:color w:val="auto"/>
                      <w:lang w:val="en-US" w:eastAsia="zh-CN"/>
                    </w:rPr>
                  </w:pPr>
                  <w:r>
                    <w:rPr>
                      <w:rFonts w:hint="eastAsia"/>
                      <w:color w:val="auto"/>
                      <w:lang w:val="en-US" w:eastAsia="zh-CN"/>
                    </w:rPr>
                    <w:t>输送机</w:t>
                  </w:r>
                </w:p>
              </w:tc>
              <w:tc>
                <w:tcPr>
                  <w:tcW w:w="835" w:type="pct"/>
                  <w:noWrap w:val="0"/>
                  <w:vAlign w:val="center"/>
                </w:tcPr>
                <w:p>
                  <w:pPr>
                    <w:pStyle w:val="15"/>
                    <w:ind w:firstLine="0" w:firstLineChars="0"/>
                    <w:rPr>
                      <w:rFonts w:hint="default" w:eastAsia="宋体"/>
                      <w:color w:val="auto"/>
                      <w:lang w:val="en-US" w:eastAsia="zh-CN"/>
                    </w:rPr>
                  </w:pPr>
                  <w:r>
                    <w:rPr>
                      <w:rFonts w:hint="eastAsia"/>
                      <w:color w:val="auto"/>
                      <w:lang w:val="en-US" w:eastAsia="zh-CN"/>
                    </w:rPr>
                    <w:t>17</w:t>
                  </w:r>
                </w:p>
              </w:tc>
              <w:tc>
                <w:tcPr>
                  <w:tcW w:w="1884" w:type="pct"/>
                  <w:noWrap w:val="0"/>
                  <w:vAlign w:val="center"/>
                </w:tcPr>
                <w:p>
                  <w:pPr>
                    <w:pStyle w:val="15"/>
                    <w:ind w:firstLine="0" w:firstLineChars="0"/>
                    <w:rPr>
                      <w:rFonts w:hint="default"/>
                      <w:color w:val="auto"/>
                      <w:lang w:val="en-US" w:eastAsia="zh-CN"/>
                    </w:rPr>
                  </w:pPr>
                  <w:r>
                    <w:rPr>
                      <w:rFonts w:hint="eastAsia"/>
                      <w:color w:val="auto"/>
                      <w:lang w:val="en-US" w:eastAsia="zh-CN"/>
                    </w:rPr>
                    <w:t>/</w:t>
                  </w:r>
                </w:p>
              </w:tc>
            </w:tr>
          </w:tbl>
          <w:p>
            <w:pPr>
              <w:pStyle w:val="16"/>
              <w:ind w:firstLine="480"/>
              <w:rPr>
                <w:rFonts w:ascii="Times New Roman" w:hAnsi="Times New Roman"/>
                <w:color w:val="auto"/>
              </w:rPr>
            </w:pPr>
            <w:r>
              <w:rPr>
                <w:rFonts w:ascii="Times New Roman" w:hAnsi="Times New Roman"/>
                <w:color w:val="auto"/>
              </w:rPr>
              <w:t>根据建设单位提供资料，项目每天可处理砂石</w:t>
            </w:r>
            <w:r>
              <w:rPr>
                <w:rFonts w:hint="eastAsia" w:ascii="Times New Roman" w:hAnsi="Times New Roman"/>
                <w:color w:val="auto"/>
                <w:lang w:val="en-US" w:eastAsia="zh-CN"/>
              </w:rPr>
              <w:t>30000</w:t>
            </w:r>
            <w:r>
              <w:rPr>
                <w:rFonts w:ascii="Times New Roman" w:hAnsi="Times New Roman"/>
                <w:color w:val="auto"/>
                <w:highlight w:val="none"/>
              </w:rPr>
              <w:t>吨，场地平整剩余砂石资源量</w:t>
            </w:r>
            <w:r>
              <w:rPr>
                <w:rFonts w:hint="eastAsia" w:ascii="Times New Roman" w:hAnsi="Times New Roman"/>
                <w:color w:val="auto"/>
                <w:highlight w:val="none"/>
                <w:lang w:val="en-US" w:eastAsia="zh-CN"/>
              </w:rPr>
              <w:t>34.58</w:t>
            </w:r>
            <w:r>
              <w:rPr>
                <w:rFonts w:ascii="Times New Roman" w:hAnsi="Times New Roman"/>
                <w:color w:val="auto"/>
                <w:highlight w:val="none"/>
              </w:rPr>
              <w:t>万吨，处理完剩余砂石资源量约须</w:t>
            </w:r>
            <w:r>
              <w:rPr>
                <w:rFonts w:hint="eastAsia" w:ascii="Times New Roman" w:hAnsi="Times New Roman"/>
                <w:color w:val="auto"/>
                <w:highlight w:val="none"/>
                <w:lang w:val="en-US" w:eastAsia="zh-CN"/>
              </w:rPr>
              <w:t>116</w:t>
            </w:r>
            <w:r>
              <w:rPr>
                <w:rFonts w:ascii="Times New Roman" w:hAnsi="Times New Roman"/>
                <w:color w:val="auto"/>
              </w:rPr>
              <w:t>天，</w:t>
            </w:r>
            <w:r>
              <w:rPr>
                <w:rFonts w:hint="eastAsia" w:ascii="Times New Roman" w:hAnsi="Times New Roman"/>
                <w:color w:val="auto"/>
                <w:lang w:eastAsia="zh-CN"/>
              </w:rPr>
              <w:t>距离合同期限剩余</w:t>
            </w:r>
            <w:r>
              <w:rPr>
                <w:rFonts w:hint="eastAsia" w:ascii="Times New Roman" w:hAnsi="Times New Roman"/>
                <w:color w:val="auto"/>
                <w:lang w:val="en-US" w:eastAsia="zh-CN"/>
              </w:rPr>
              <w:t>150天，</w:t>
            </w:r>
            <w:r>
              <w:rPr>
                <w:rFonts w:ascii="Times New Roman" w:hAnsi="Times New Roman"/>
                <w:color w:val="auto"/>
              </w:rPr>
              <w:t>项目配备的设备产能可满足处置权出让合同要求的</w:t>
            </w:r>
            <w:r>
              <w:rPr>
                <w:rFonts w:hint="eastAsia" w:ascii="Times New Roman" w:hAnsi="Times New Roman"/>
                <w:color w:val="auto"/>
                <w:lang w:val="en-US" w:eastAsia="zh-CN"/>
              </w:rPr>
              <w:t>时间</w:t>
            </w:r>
            <w:r>
              <w:rPr>
                <w:rFonts w:ascii="Times New Roman" w:hAnsi="Times New Roman"/>
                <w:color w:val="auto"/>
              </w:rPr>
              <w:t>内完成。</w:t>
            </w:r>
          </w:p>
          <w:p>
            <w:pPr>
              <w:pStyle w:val="20"/>
              <w:rPr>
                <w:color w:val="auto"/>
              </w:rPr>
            </w:pPr>
            <w:r>
              <w:rPr>
                <w:color w:val="auto"/>
              </w:rPr>
              <w:t>2.</w:t>
            </w:r>
            <w:r>
              <w:rPr>
                <w:rFonts w:hint="eastAsia"/>
                <w:color w:val="auto"/>
                <w:lang w:val="en-US" w:eastAsia="zh-CN"/>
              </w:rPr>
              <w:t>5</w:t>
            </w:r>
            <w:r>
              <w:rPr>
                <w:color w:val="auto"/>
              </w:rPr>
              <w:t>厂区平面布置</w:t>
            </w:r>
          </w:p>
          <w:p>
            <w:pPr>
              <w:pStyle w:val="16"/>
              <w:ind w:firstLine="480"/>
              <w:rPr>
                <w:rFonts w:hint="default" w:ascii="Times New Roman" w:hAnsi="Times New Roman"/>
                <w:color w:val="auto"/>
                <w:lang w:val="en-US" w:eastAsia="zh-CN"/>
              </w:rPr>
            </w:pPr>
            <w:r>
              <w:rPr>
                <w:rFonts w:hint="eastAsia" w:ascii="Times New Roman" w:hAnsi="Times New Roman"/>
                <w:color w:val="auto"/>
                <w:lang w:val="en-US" w:eastAsia="zh-CN"/>
              </w:rPr>
              <w:t>项目区域内，东南侧设置料仓喂料机、圆锥破碎机和振动筛，西侧由南到北依次摆放振动筛、洗砂机、脱水筛、半成品料仓喂料机、振动筛、洗砂机、脱水筛，东北侧设置沉淀罐、板框压泥机以及一处铁料仓，东侧设置一处成品砂堆场。</w:t>
            </w:r>
          </w:p>
          <w:p>
            <w:pPr>
              <w:pStyle w:val="16"/>
              <w:ind w:firstLine="480"/>
              <w:rPr>
                <w:rFonts w:ascii="Times New Roman" w:hAnsi="Times New Roman"/>
                <w:color w:val="auto"/>
              </w:rPr>
            </w:pPr>
            <w:r>
              <w:rPr>
                <w:rFonts w:hint="eastAsia" w:ascii="Times New Roman" w:hAnsi="Times New Roman"/>
                <w:color w:val="auto"/>
                <w:lang w:val="en-US" w:eastAsia="zh-CN"/>
              </w:rPr>
              <w:t>生活污水经化粪池处理后</w:t>
            </w:r>
            <w:r>
              <w:rPr>
                <w:rFonts w:ascii="Times New Roman" w:hAnsi="Times New Roman"/>
                <w:color w:val="auto"/>
              </w:rPr>
              <w:t>利用槽罐车定期抽吸后运送至福鼎市第一污水处理厂集中处理</w:t>
            </w:r>
            <w:r>
              <w:rPr>
                <w:rFonts w:hint="eastAsia" w:ascii="Times New Roman" w:hAnsi="Times New Roman"/>
                <w:color w:val="auto"/>
                <w:lang w:val="en-US" w:eastAsia="zh-CN"/>
              </w:rPr>
              <w:t>；生产废水经振动筛下方的废水收集池收集后由提升泵抽至二级沉淀罐沉淀后循环使用不外排；初期雨水经雨水沟收集至初期雨水沉淀池后由提升泵抽至沉淀罐沉淀后循环使用，不外排。生产废气为</w:t>
            </w:r>
            <w:r>
              <w:rPr>
                <w:rFonts w:ascii="Times New Roman" w:hAnsi="Times New Roman"/>
                <w:color w:val="auto"/>
              </w:rPr>
              <w:t>颗粒物，经环保措施处理后达标排放。从整个平面布局而言，项目排放的废水和废气不会对周边环境产生较大影响。项目平面布置合理，厂区总平面布置图见附图3。</w:t>
            </w:r>
          </w:p>
          <w:p>
            <w:pPr>
              <w:pStyle w:val="16"/>
              <w:ind w:firstLine="480"/>
              <w:rPr>
                <w:rFonts w:ascii="Times New Roman" w:hAnsi="Times New Roman"/>
                <w:color w:val="auto"/>
              </w:rPr>
            </w:pPr>
          </w:p>
          <w:p>
            <w:pPr>
              <w:pStyle w:val="16"/>
              <w:ind w:firstLine="480"/>
              <w:rPr>
                <w:rFonts w:ascii="Times New Roman" w:hAnsi="Times New Roman"/>
                <w:color w:val="auto"/>
              </w:rPr>
            </w:pPr>
          </w:p>
          <w:p>
            <w:pPr>
              <w:pStyle w:val="16"/>
              <w:ind w:firstLine="480"/>
              <w:rPr>
                <w:rFonts w:ascii="Times New Roman" w:hAnsi="Times New Roman"/>
                <w:color w:val="auto"/>
              </w:rPr>
            </w:pPr>
          </w:p>
          <w:p>
            <w:pPr>
              <w:pStyle w:val="16"/>
              <w:ind w:firstLine="48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4" w:type="pct"/>
            <w:noWrap w:val="0"/>
            <w:vAlign w:val="center"/>
          </w:tcPr>
          <w:p>
            <w:pPr>
              <w:pStyle w:val="15"/>
              <w:rPr>
                <w:color w:val="auto"/>
                <w:sz w:val="24"/>
                <w:szCs w:val="24"/>
              </w:rPr>
            </w:pPr>
            <w:r>
              <w:rPr>
                <w:color w:val="auto"/>
                <w:sz w:val="24"/>
                <w:szCs w:val="24"/>
              </w:rPr>
              <w:t>工艺流程和产排污环节</w:t>
            </w:r>
          </w:p>
        </w:tc>
        <w:tc>
          <w:tcPr>
            <w:tcW w:w="4765" w:type="pct"/>
            <w:noWrap w:val="0"/>
            <w:vAlign w:val="top"/>
          </w:tcPr>
          <w:p>
            <w:pPr>
              <w:pStyle w:val="20"/>
            </w:pPr>
            <w:r>
              <w:t>2.</w:t>
            </w:r>
            <w:r>
              <w:rPr>
                <w:rFonts w:hint="eastAsia"/>
                <w:lang w:val="en-US" w:eastAsia="zh-CN"/>
              </w:rPr>
              <w:t>6</w:t>
            </w:r>
            <w:r>
              <w:t>项目生产工艺流程</w:t>
            </w:r>
          </w:p>
          <w:p>
            <w:pPr>
              <w:pStyle w:val="17"/>
            </w:pPr>
            <w:r>
              <w:t>2.</w:t>
            </w:r>
            <w:r>
              <w:rPr>
                <w:rFonts w:hint="eastAsia"/>
                <w:lang w:val="en-US" w:eastAsia="zh-CN"/>
              </w:rPr>
              <w:t>6</w:t>
            </w:r>
            <w:r>
              <w:t>.1工艺流程</w:t>
            </w:r>
          </w:p>
          <w:p>
            <w:pPr>
              <w:pStyle w:val="16"/>
              <w:ind w:firstLine="480"/>
              <w:rPr>
                <w:rFonts w:ascii="Times New Roman" w:hAnsi="Times New Roman"/>
                <w:color w:val="auto"/>
              </w:rPr>
            </w:pPr>
            <w:r>
              <w:rPr>
                <w:rFonts w:ascii="Times New Roman" w:hAnsi="Times New Roman"/>
                <w:color w:val="auto"/>
              </w:rPr>
              <w:t>使用颚式破碎机对石料进行初破。石料经初碎后经传输带进入料仓存放，通过喂料机将料仓中的石料输送至圆锥机进行二级破碎，二级破碎后的石子通过振动筛进行湿法筛分，此过程产生清洗废水，</w:t>
            </w:r>
            <w:r>
              <w:rPr>
                <w:rFonts w:hint="eastAsia" w:ascii="Times New Roman" w:hAnsi="Times New Roman"/>
                <w:color w:val="auto"/>
                <w:lang w:val="en-US" w:eastAsia="zh-CN"/>
              </w:rPr>
              <w:t>将</w:t>
            </w:r>
            <w:r>
              <w:rPr>
                <w:rFonts w:ascii="Times New Roman" w:hAnsi="Times New Roman"/>
                <w:color w:val="auto"/>
              </w:rPr>
              <w:t>石子输送至</w:t>
            </w:r>
            <w:r>
              <w:rPr>
                <w:rFonts w:hint="eastAsia" w:ascii="Times New Roman" w:hAnsi="Times New Roman"/>
                <w:color w:val="auto"/>
                <w:lang w:val="en-US" w:eastAsia="zh-CN"/>
              </w:rPr>
              <w:t>半成品料仓喂料机，</w:t>
            </w:r>
            <w:r>
              <w:rPr>
                <w:rFonts w:ascii="Times New Roman" w:hAnsi="Times New Roman"/>
                <w:color w:val="auto"/>
              </w:rPr>
              <w:t>通过喂料机将料仓中的石料输送至制砂机进行整形，整形成符合砂粒径后输送至振动筛进行湿法筛分，此过程产生清洗废水，清洗后的砂（混带部分清洗废水）输送至双轴脱水细砂回收一体机进行砂水分离，分离出的砂输送至成品堆场，清洗废水收集至沉淀池进行处理后回用。</w:t>
            </w:r>
          </w:p>
          <w:p>
            <w:pPr>
              <w:pStyle w:val="13"/>
              <w:rPr>
                <w:color w:val="auto"/>
              </w:rPr>
            </w:pPr>
          </w:p>
          <w:p>
            <w:pPr>
              <w:pStyle w:val="13"/>
              <w:rPr>
                <w:color w:val="auto"/>
              </w:rPr>
            </w:pPr>
            <w:r>
              <w:rPr>
                <w:color w:val="auto"/>
              </w:rPr>
              <w:object>
                <v:shape id="_x0000_i1026" o:spt="75" type="#_x0000_t75" style="height:142.85pt;width:383.4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6" r:id="rId15">
                  <o:LockedField>false</o:LockedField>
                </o:OLEObject>
              </w:object>
            </w:r>
          </w:p>
          <w:p>
            <w:pPr>
              <w:pStyle w:val="13"/>
              <w:rPr>
                <w:color w:val="auto"/>
              </w:rPr>
            </w:pPr>
            <w:r>
              <w:rPr>
                <w:color w:val="auto"/>
              </w:rPr>
              <w:t>图2.6-1生产工艺流程及产污环节</w:t>
            </w:r>
          </w:p>
          <w:p>
            <w:pPr>
              <w:pStyle w:val="17"/>
            </w:pPr>
            <w:r>
              <w:t>2.6.2产污环节</w:t>
            </w:r>
          </w:p>
          <w:p>
            <w:pPr>
              <w:ind w:firstLine="480"/>
            </w:pPr>
            <w:r>
              <w:t>项目产污环节见表2.6-1。</w:t>
            </w:r>
          </w:p>
          <w:p>
            <w:pPr>
              <w:pStyle w:val="13"/>
              <w:rPr>
                <w:color w:val="auto"/>
              </w:rPr>
            </w:pPr>
            <w:r>
              <w:rPr>
                <w:color w:val="auto"/>
              </w:rPr>
              <w:t>表2.6-1 项目运营期产污环节汇总表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852"/>
              <w:gridCol w:w="1696"/>
              <w:gridCol w:w="1658"/>
              <w:gridCol w:w="36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38" w:hRule="atLeast"/>
              </w:trPr>
              <w:tc>
                <w:tcPr>
                  <w:tcW w:w="545" w:type="pct"/>
                  <w:noWrap w:val="0"/>
                  <w:vAlign w:val="center"/>
                </w:tcPr>
                <w:p>
                  <w:pPr>
                    <w:pStyle w:val="15"/>
                    <w:rPr>
                      <w:color w:val="auto"/>
                    </w:rPr>
                  </w:pPr>
                  <w:r>
                    <w:rPr>
                      <w:color w:val="auto"/>
                    </w:rPr>
                    <w:t>类别</w:t>
                  </w:r>
                </w:p>
              </w:tc>
              <w:tc>
                <w:tcPr>
                  <w:tcW w:w="1084" w:type="pct"/>
                  <w:noWrap w:val="0"/>
                  <w:vAlign w:val="center"/>
                </w:tcPr>
                <w:p>
                  <w:pPr>
                    <w:pStyle w:val="15"/>
                    <w:rPr>
                      <w:color w:val="auto"/>
                    </w:rPr>
                  </w:pPr>
                  <w:r>
                    <w:rPr>
                      <w:color w:val="auto"/>
                    </w:rPr>
                    <w:t>污染源</w:t>
                  </w:r>
                </w:p>
              </w:tc>
              <w:tc>
                <w:tcPr>
                  <w:tcW w:w="1060" w:type="pct"/>
                  <w:noWrap w:val="0"/>
                  <w:vAlign w:val="center"/>
                </w:tcPr>
                <w:p>
                  <w:pPr>
                    <w:pStyle w:val="15"/>
                    <w:rPr>
                      <w:color w:val="auto"/>
                    </w:rPr>
                  </w:pPr>
                  <w:r>
                    <w:rPr>
                      <w:color w:val="auto"/>
                    </w:rPr>
                    <w:t>污染物</w:t>
                  </w:r>
                </w:p>
              </w:tc>
              <w:tc>
                <w:tcPr>
                  <w:tcW w:w="2310" w:type="pct"/>
                  <w:noWrap w:val="0"/>
                  <w:vAlign w:val="center"/>
                </w:tcPr>
                <w:p>
                  <w:pPr>
                    <w:pStyle w:val="15"/>
                    <w:rPr>
                      <w:color w:val="auto"/>
                    </w:rPr>
                  </w:pPr>
                  <w:r>
                    <w:rPr>
                      <w:color w:val="auto"/>
                    </w:rPr>
                    <w:t>工程治理措施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5" w:type="pct"/>
                  <w:vMerge w:val="restart"/>
                  <w:noWrap w:val="0"/>
                  <w:vAlign w:val="center"/>
                </w:tcPr>
                <w:p>
                  <w:pPr>
                    <w:pStyle w:val="15"/>
                    <w:rPr>
                      <w:color w:val="auto"/>
                    </w:rPr>
                  </w:pPr>
                  <w:r>
                    <w:rPr>
                      <w:color w:val="auto"/>
                    </w:rPr>
                    <w:t>废水</w:t>
                  </w:r>
                </w:p>
              </w:tc>
              <w:tc>
                <w:tcPr>
                  <w:tcW w:w="1084" w:type="pct"/>
                  <w:noWrap w:val="0"/>
                  <w:vAlign w:val="center"/>
                </w:tcPr>
                <w:p>
                  <w:pPr>
                    <w:pStyle w:val="15"/>
                    <w:rPr>
                      <w:color w:val="auto"/>
                    </w:rPr>
                  </w:pPr>
                  <w:r>
                    <w:rPr>
                      <w:color w:val="auto"/>
                    </w:rPr>
                    <w:t>职工生活污水</w:t>
                  </w:r>
                </w:p>
              </w:tc>
              <w:tc>
                <w:tcPr>
                  <w:tcW w:w="1060" w:type="pct"/>
                  <w:noWrap w:val="0"/>
                  <w:vAlign w:val="center"/>
                </w:tcPr>
                <w:p>
                  <w:pPr>
                    <w:pStyle w:val="15"/>
                    <w:rPr>
                      <w:color w:val="auto"/>
                    </w:rPr>
                  </w:pPr>
                  <w:r>
                    <w:rPr>
                      <w:color w:val="auto"/>
                    </w:rPr>
                    <w:t>pH、COD、BOD</w:t>
                  </w:r>
                  <w:r>
                    <w:rPr>
                      <w:color w:val="auto"/>
                      <w:vertAlign w:val="subscript"/>
                    </w:rPr>
                    <w:t>5</w:t>
                  </w:r>
                  <w:r>
                    <w:rPr>
                      <w:color w:val="auto"/>
                    </w:rPr>
                    <w:t>、SS、NH</w:t>
                  </w:r>
                  <w:r>
                    <w:rPr>
                      <w:color w:val="auto"/>
                      <w:vertAlign w:val="subscript"/>
                    </w:rPr>
                    <w:t>3</w:t>
                  </w:r>
                  <w:r>
                    <w:rPr>
                      <w:color w:val="auto"/>
                    </w:rPr>
                    <w:t>-N</w:t>
                  </w:r>
                </w:p>
              </w:tc>
              <w:tc>
                <w:tcPr>
                  <w:tcW w:w="2310" w:type="pct"/>
                  <w:noWrap w:val="0"/>
                  <w:vAlign w:val="center"/>
                </w:tcPr>
                <w:p>
                  <w:pPr>
                    <w:pStyle w:val="15"/>
                    <w:rPr>
                      <w:color w:val="auto"/>
                    </w:rPr>
                  </w:pPr>
                  <w:r>
                    <w:rPr>
                      <w:color w:val="auto"/>
                    </w:rPr>
                    <w:t>生活污水经化粪池处理后利用槽罐车定期抽吸后运送至福鼎市第一污水处理厂集中处理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清洗废水</w:t>
                  </w:r>
                </w:p>
              </w:tc>
              <w:tc>
                <w:tcPr>
                  <w:tcW w:w="1060" w:type="pct"/>
                  <w:noWrap w:val="0"/>
                  <w:vAlign w:val="center"/>
                </w:tcPr>
                <w:p>
                  <w:pPr>
                    <w:pStyle w:val="15"/>
                    <w:rPr>
                      <w:color w:val="auto"/>
                    </w:rPr>
                  </w:pPr>
                  <w:r>
                    <w:rPr>
                      <w:color w:val="auto"/>
                    </w:rPr>
                    <w:t>SS</w:t>
                  </w:r>
                </w:p>
              </w:tc>
              <w:tc>
                <w:tcPr>
                  <w:tcW w:w="2310" w:type="pct"/>
                  <w:noWrap w:val="0"/>
                  <w:vAlign w:val="center"/>
                </w:tcPr>
                <w:p>
                  <w:pPr>
                    <w:pStyle w:val="15"/>
                    <w:rPr>
                      <w:color w:val="auto"/>
                    </w:rPr>
                  </w:pPr>
                  <w:r>
                    <w:rPr>
                      <w:color w:val="auto"/>
                    </w:rPr>
                    <w:t>收集至收集池后由提升泵抽至二级沉淀池沉淀后循环使用不外排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初期雨水</w:t>
                  </w:r>
                </w:p>
              </w:tc>
              <w:tc>
                <w:tcPr>
                  <w:tcW w:w="1060" w:type="pct"/>
                  <w:noWrap w:val="0"/>
                  <w:vAlign w:val="center"/>
                </w:tcPr>
                <w:p>
                  <w:pPr>
                    <w:pStyle w:val="15"/>
                    <w:rPr>
                      <w:color w:val="auto"/>
                    </w:rPr>
                  </w:pPr>
                  <w:r>
                    <w:rPr>
                      <w:color w:val="auto"/>
                    </w:rPr>
                    <w:t>SS</w:t>
                  </w:r>
                </w:p>
              </w:tc>
              <w:tc>
                <w:tcPr>
                  <w:tcW w:w="2310" w:type="pct"/>
                  <w:noWrap w:val="0"/>
                  <w:vAlign w:val="center"/>
                </w:tcPr>
                <w:p>
                  <w:pPr>
                    <w:pStyle w:val="15"/>
                    <w:rPr>
                      <w:color w:val="auto"/>
                    </w:rPr>
                  </w:pPr>
                  <w:r>
                    <w:rPr>
                      <w:color w:val="auto"/>
                    </w:rPr>
                    <w:t>初期雨水经雨水沟收集至初期雨水沉淀池处理后由提升泵抽至二级沉淀池沉淀后循环使用不外排。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5" w:type="pct"/>
                  <w:vMerge w:val="restart"/>
                  <w:noWrap w:val="0"/>
                  <w:vAlign w:val="center"/>
                </w:tcPr>
                <w:p>
                  <w:pPr>
                    <w:pStyle w:val="15"/>
                    <w:rPr>
                      <w:color w:val="auto"/>
                    </w:rPr>
                  </w:pPr>
                  <w:r>
                    <w:rPr>
                      <w:color w:val="auto"/>
                    </w:rPr>
                    <w:t>废气</w:t>
                  </w:r>
                </w:p>
              </w:tc>
              <w:tc>
                <w:tcPr>
                  <w:tcW w:w="1084" w:type="pct"/>
                  <w:noWrap w:val="0"/>
                  <w:vAlign w:val="center"/>
                </w:tcPr>
                <w:p>
                  <w:pPr>
                    <w:pStyle w:val="15"/>
                    <w:rPr>
                      <w:color w:val="auto"/>
                    </w:rPr>
                  </w:pPr>
                  <w:r>
                    <w:rPr>
                      <w:color w:val="auto"/>
                    </w:rPr>
                    <w:t>破碎筛分粉尘</w:t>
                  </w:r>
                </w:p>
              </w:tc>
              <w:tc>
                <w:tcPr>
                  <w:tcW w:w="1060" w:type="pct"/>
                  <w:noWrap w:val="0"/>
                  <w:vAlign w:val="center"/>
                </w:tcPr>
                <w:p>
                  <w:pPr>
                    <w:pStyle w:val="15"/>
                    <w:rPr>
                      <w:color w:val="auto"/>
                    </w:rPr>
                  </w:pPr>
                  <w:r>
                    <w:rPr>
                      <w:color w:val="auto"/>
                    </w:rPr>
                    <w:t>颗粒物</w:t>
                  </w:r>
                </w:p>
              </w:tc>
              <w:tc>
                <w:tcPr>
                  <w:tcW w:w="2310" w:type="pct"/>
                  <w:noWrap w:val="0"/>
                  <w:vAlign w:val="center"/>
                </w:tcPr>
                <w:p>
                  <w:pPr>
                    <w:pStyle w:val="15"/>
                    <w:rPr>
                      <w:color w:val="auto"/>
                    </w:rPr>
                  </w:pPr>
                  <w:r>
                    <w:rPr>
                      <w:color w:val="auto"/>
                    </w:rPr>
                    <w:t>破碎筛分生产线和制砂生产线位于车间内，在破碎、筛分和制砂设备产尘口上方设置喷淋装置。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堆场扬尘</w:t>
                  </w:r>
                </w:p>
              </w:tc>
              <w:tc>
                <w:tcPr>
                  <w:tcW w:w="1060" w:type="pct"/>
                  <w:noWrap w:val="0"/>
                  <w:vAlign w:val="center"/>
                </w:tcPr>
                <w:p>
                  <w:pPr>
                    <w:pStyle w:val="15"/>
                    <w:rPr>
                      <w:color w:val="auto"/>
                    </w:rPr>
                  </w:pPr>
                  <w:r>
                    <w:rPr>
                      <w:color w:val="auto"/>
                    </w:rPr>
                    <w:t>颗粒物</w:t>
                  </w:r>
                </w:p>
              </w:tc>
              <w:tc>
                <w:tcPr>
                  <w:tcW w:w="2310" w:type="pct"/>
                  <w:noWrap w:val="0"/>
                  <w:vAlign w:val="center"/>
                </w:tcPr>
                <w:p>
                  <w:pPr>
                    <w:pStyle w:val="15"/>
                    <w:rPr>
                      <w:color w:val="auto"/>
                    </w:rPr>
                  </w:pPr>
                  <w:r>
                    <w:rPr>
                      <w:color w:val="auto"/>
                    </w:rPr>
                    <w:t>输送带卸料口安装喷头降尘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装卸扬尘</w:t>
                  </w:r>
                </w:p>
              </w:tc>
              <w:tc>
                <w:tcPr>
                  <w:tcW w:w="1060" w:type="pct"/>
                  <w:noWrap w:val="0"/>
                  <w:vAlign w:val="center"/>
                </w:tcPr>
                <w:p>
                  <w:pPr>
                    <w:pStyle w:val="15"/>
                    <w:rPr>
                      <w:color w:val="auto"/>
                    </w:rPr>
                  </w:pPr>
                  <w:r>
                    <w:rPr>
                      <w:color w:val="auto"/>
                    </w:rPr>
                    <w:t>颗粒物</w:t>
                  </w:r>
                </w:p>
              </w:tc>
              <w:tc>
                <w:tcPr>
                  <w:tcW w:w="2310" w:type="pct"/>
                  <w:noWrap w:val="0"/>
                  <w:vAlign w:val="center"/>
                </w:tcPr>
                <w:p>
                  <w:pPr>
                    <w:pStyle w:val="15"/>
                    <w:rPr>
                      <w:color w:val="auto"/>
                    </w:rPr>
                  </w:pPr>
                  <w:r>
                    <w:rPr>
                      <w:color w:val="auto"/>
                    </w:rPr>
                    <w:t>原料装卸位于生产车间内，在设备装卸口安装喷头降尘。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运输扬尘</w:t>
                  </w:r>
                </w:p>
              </w:tc>
              <w:tc>
                <w:tcPr>
                  <w:tcW w:w="1060" w:type="pct"/>
                  <w:noWrap w:val="0"/>
                  <w:vAlign w:val="center"/>
                </w:tcPr>
                <w:p>
                  <w:pPr>
                    <w:pStyle w:val="15"/>
                    <w:rPr>
                      <w:color w:val="auto"/>
                    </w:rPr>
                  </w:pPr>
                  <w:r>
                    <w:rPr>
                      <w:color w:val="auto"/>
                    </w:rPr>
                    <w:t>颗粒物</w:t>
                  </w:r>
                </w:p>
              </w:tc>
              <w:tc>
                <w:tcPr>
                  <w:tcW w:w="2310" w:type="pct"/>
                  <w:noWrap w:val="0"/>
                  <w:vAlign w:val="center"/>
                </w:tcPr>
                <w:p>
                  <w:pPr>
                    <w:pStyle w:val="15"/>
                    <w:rPr>
                      <w:color w:val="auto"/>
                    </w:rPr>
                  </w:pPr>
                  <w:r>
                    <w:rPr>
                      <w:color w:val="auto"/>
                    </w:rPr>
                    <w:t>厂区原料运输口和厂区成品运输出入口分别设置洗车池，清洁运输车辆轮胎，降低运输扬尘。</w:t>
                  </w:r>
                </w:p>
                <w:p>
                  <w:pPr>
                    <w:pStyle w:val="15"/>
                    <w:rPr>
                      <w:color w:val="auto"/>
                    </w:rPr>
                  </w:pPr>
                  <w:r>
                    <w:rPr>
                      <w:color w:val="auto"/>
                    </w:rPr>
                    <w:t>设置洒水车，每天对厂区和原料运输路线进行多次洒水降尘。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70" w:hRule="atLeast"/>
              </w:trPr>
              <w:tc>
                <w:tcPr>
                  <w:tcW w:w="545" w:type="pct"/>
                  <w:noWrap w:val="0"/>
                  <w:vAlign w:val="center"/>
                </w:tcPr>
                <w:p>
                  <w:pPr>
                    <w:pStyle w:val="15"/>
                    <w:rPr>
                      <w:color w:val="auto"/>
                    </w:rPr>
                  </w:pPr>
                  <w:r>
                    <w:rPr>
                      <w:color w:val="auto"/>
                    </w:rPr>
                    <w:t>噪声</w:t>
                  </w:r>
                </w:p>
              </w:tc>
              <w:tc>
                <w:tcPr>
                  <w:tcW w:w="1084" w:type="pct"/>
                  <w:noWrap w:val="0"/>
                  <w:vAlign w:val="center"/>
                </w:tcPr>
                <w:p>
                  <w:pPr>
                    <w:pStyle w:val="15"/>
                    <w:rPr>
                      <w:color w:val="auto"/>
                    </w:rPr>
                  </w:pPr>
                  <w:r>
                    <w:rPr>
                      <w:color w:val="auto"/>
                    </w:rPr>
                    <w:t>生产设备</w:t>
                  </w:r>
                </w:p>
              </w:tc>
              <w:tc>
                <w:tcPr>
                  <w:tcW w:w="1060" w:type="pct"/>
                  <w:noWrap w:val="0"/>
                  <w:vAlign w:val="center"/>
                </w:tcPr>
                <w:p>
                  <w:pPr>
                    <w:pStyle w:val="15"/>
                    <w:rPr>
                      <w:color w:val="auto"/>
                    </w:rPr>
                  </w:pPr>
                  <w:r>
                    <w:rPr>
                      <w:color w:val="auto"/>
                    </w:rPr>
                    <w:t>Leq</w:t>
                  </w:r>
                </w:p>
              </w:tc>
              <w:tc>
                <w:tcPr>
                  <w:tcW w:w="2310" w:type="pct"/>
                  <w:noWrap w:val="0"/>
                  <w:vAlign w:val="center"/>
                </w:tcPr>
                <w:p>
                  <w:pPr>
                    <w:pStyle w:val="15"/>
                    <w:rPr>
                      <w:color w:val="auto"/>
                    </w:rPr>
                  </w:pPr>
                  <w:r>
                    <w:rPr>
                      <w:color w:val="auto"/>
                    </w:rPr>
                    <w:t>厂房隔声、设备基础减振等综合降噪措施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545" w:type="pct"/>
                  <w:vMerge w:val="restart"/>
                  <w:noWrap w:val="0"/>
                  <w:vAlign w:val="center"/>
                </w:tcPr>
                <w:p>
                  <w:pPr>
                    <w:pStyle w:val="15"/>
                    <w:rPr>
                      <w:color w:val="auto"/>
                    </w:rPr>
                  </w:pPr>
                  <w:r>
                    <w:rPr>
                      <w:color w:val="auto"/>
                    </w:rPr>
                    <w:t>固废</w:t>
                  </w:r>
                </w:p>
              </w:tc>
              <w:tc>
                <w:tcPr>
                  <w:tcW w:w="1084" w:type="pct"/>
                  <w:noWrap w:val="0"/>
                  <w:vAlign w:val="center"/>
                </w:tcPr>
                <w:p>
                  <w:pPr>
                    <w:pStyle w:val="15"/>
                    <w:rPr>
                      <w:color w:val="auto"/>
                    </w:rPr>
                  </w:pPr>
                  <w:r>
                    <w:rPr>
                      <w:color w:val="auto"/>
                    </w:rPr>
                    <w:t>地面收集的砂粉</w:t>
                  </w:r>
                </w:p>
              </w:tc>
              <w:tc>
                <w:tcPr>
                  <w:tcW w:w="1060" w:type="pct"/>
                  <w:noWrap w:val="0"/>
                  <w:vAlign w:val="center"/>
                </w:tcPr>
                <w:p>
                  <w:pPr>
                    <w:pStyle w:val="15"/>
                    <w:rPr>
                      <w:color w:val="auto"/>
                    </w:rPr>
                  </w:pPr>
                  <w:r>
                    <w:rPr>
                      <w:color w:val="auto"/>
                    </w:rPr>
                    <w:t>粉末</w:t>
                  </w:r>
                </w:p>
              </w:tc>
              <w:tc>
                <w:tcPr>
                  <w:tcW w:w="2310" w:type="pct"/>
                  <w:noWrap w:val="0"/>
                  <w:vAlign w:val="center"/>
                </w:tcPr>
                <w:p>
                  <w:pPr>
                    <w:pStyle w:val="15"/>
                    <w:rPr>
                      <w:color w:val="auto"/>
                    </w:rPr>
                  </w:pPr>
                  <w:r>
                    <w:rPr>
                      <w:color w:val="auto"/>
                    </w:rPr>
                    <w:t>用于制砖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4"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沉淀污泥</w:t>
                  </w:r>
                </w:p>
              </w:tc>
              <w:tc>
                <w:tcPr>
                  <w:tcW w:w="1060" w:type="pct"/>
                  <w:noWrap w:val="0"/>
                  <w:vAlign w:val="center"/>
                </w:tcPr>
                <w:p>
                  <w:pPr>
                    <w:pStyle w:val="15"/>
                    <w:rPr>
                      <w:color w:val="auto"/>
                    </w:rPr>
                  </w:pPr>
                  <w:r>
                    <w:rPr>
                      <w:color w:val="auto"/>
                    </w:rPr>
                    <w:t>污泥</w:t>
                  </w:r>
                </w:p>
              </w:tc>
              <w:tc>
                <w:tcPr>
                  <w:tcW w:w="2310" w:type="pct"/>
                  <w:noWrap w:val="0"/>
                  <w:vAlign w:val="center"/>
                </w:tcPr>
                <w:p>
                  <w:pPr>
                    <w:pStyle w:val="15"/>
                    <w:rPr>
                      <w:color w:val="auto"/>
                    </w:rPr>
                  </w:pPr>
                  <w:r>
                    <w:rPr>
                      <w:color w:val="auto"/>
                    </w:rPr>
                    <w:t>用于制砖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29"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职工生活垃圾</w:t>
                  </w:r>
                </w:p>
              </w:tc>
              <w:tc>
                <w:tcPr>
                  <w:tcW w:w="1060" w:type="pct"/>
                  <w:noWrap w:val="0"/>
                  <w:vAlign w:val="center"/>
                </w:tcPr>
                <w:p>
                  <w:pPr>
                    <w:pStyle w:val="15"/>
                    <w:rPr>
                      <w:color w:val="auto"/>
                    </w:rPr>
                  </w:pPr>
                  <w:r>
                    <w:rPr>
                      <w:color w:val="auto"/>
                    </w:rPr>
                    <w:t>纸屑、果皮、塑料盒、塑料袋等</w:t>
                  </w:r>
                </w:p>
              </w:tc>
              <w:tc>
                <w:tcPr>
                  <w:tcW w:w="2310" w:type="pct"/>
                  <w:noWrap w:val="0"/>
                  <w:vAlign w:val="center"/>
                </w:tcPr>
                <w:p>
                  <w:pPr>
                    <w:pStyle w:val="15"/>
                    <w:rPr>
                      <w:color w:val="auto"/>
                    </w:rPr>
                  </w:pPr>
                  <w:r>
                    <w:rPr>
                      <w:color w:val="auto"/>
                    </w:rPr>
                    <w:t>委托环卫部门统一清运处置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29" w:hRule="atLeast"/>
              </w:trPr>
              <w:tc>
                <w:tcPr>
                  <w:tcW w:w="545" w:type="pct"/>
                  <w:vMerge w:val="continue"/>
                  <w:noWrap w:val="0"/>
                  <w:vAlign w:val="center"/>
                </w:tcPr>
                <w:p>
                  <w:pPr>
                    <w:pStyle w:val="15"/>
                    <w:rPr>
                      <w:color w:val="auto"/>
                    </w:rPr>
                  </w:pPr>
                </w:p>
              </w:tc>
              <w:tc>
                <w:tcPr>
                  <w:tcW w:w="1084" w:type="pct"/>
                  <w:noWrap w:val="0"/>
                  <w:vAlign w:val="center"/>
                </w:tcPr>
                <w:p>
                  <w:pPr>
                    <w:pStyle w:val="15"/>
                    <w:rPr>
                      <w:color w:val="auto"/>
                    </w:rPr>
                  </w:pPr>
                  <w:r>
                    <w:rPr>
                      <w:color w:val="auto"/>
                    </w:rPr>
                    <w:t>废润滑油</w:t>
                  </w:r>
                </w:p>
              </w:tc>
              <w:tc>
                <w:tcPr>
                  <w:tcW w:w="1060" w:type="pct"/>
                  <w:noWrap w:val="0"/>
                  <w:vAlign w:val="center"/>
                </w:tcPr>
                <w:p>
                  <w:pPr>
                    <w:pStyle w:val="15"/>
                    <w:rPr>
                      <w:color w:val="auto"/>
                    </w:rPr>
                  </w:pPr>
                  <w:r>
                    <w:rPr>
                      <w:color w:val="auto"/>
                    </w:rPr>
                    <w:t>润滑油</w:t>
                  </w:r>
                </w:p>
              </w:tc>
              <w:tc>
                <w:tcPr>
                  <w:tcW w:w="2310" w:type="pct"/>
                  <w:noWrap w:val="0"/>
                  <w:vAlign w:val="center"/>
                </w:tcPr>
                <w:p>
                  <w:pPr>
                    <w:pStyle w:val="15"/>
                    <w:rPr>
                      <w:color w:val="auto"/>
                    </w:rPr>
                  </w:pPr>
                  <w:r>
                    <w:rPr>
                      <w:color w:val="auto"/>
                    </w:rPr>
                    <w:t>暂存于危废间，委托有资质单位处置</w:t>
                  </w:r>
                </w:p>
              </w:tc>
            </w:tr>
          </w:tbl>
          <w:p>
            <w:pPr>
              <w:pStyle w:val="16"/>
              <w:ind w:left="0" w:leftChars="0" w:firstLine="0" w:firstLineChars="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34" w:type="pct"/>
            <w:noWrap w:val="0"/>
            <w:vAlign w:val="center"/>
          </w:tcPr>
          <w:p>
            <w:pPr>
              <w:pStyle w:val="15"/>
              <w:rPr>
                <w:color w:val="auto"/>
                <w:sz w:val="24"/>
                <w:szCs w:val="24"/>
              </w:rPr>
            </w:pPr>
            <w:r>
              <w:rPr>
                <w:color w:val="auto"/>
                <w:sz w:val="24"/>
                <w:szCs w:val="24"/>
              </w:rPr>
              <w:t>与项目有关的原有环境污染问题</w:t>
            </w:r>
          </w:p>
        </w:tc>
        <w:tc>
          <w:tcPr>
            <w:tcW w:w="4765" w:type="pct"/>
            <w:noWrap w:val="0"/>
            <w:vAlign w:val="top"/>
          </w:tcPr>
          <w:p>
            <w:pPr>
              <w:pStyle w:val="20"/>
              <w:bidi w:val="0"/>
              <w:rPr>
                <w:rFonts w:hint="default"/>
                <w:color w:val="auto"/>
                <w:lang w:val="en-US" w:eastAsia="zh-CN"/>
              </w:rPr>
            </w:pPr>
            <w:r>
              <w:rPr>
                <w:rFonts w:hint="eastAsia"/>
                <w:color w:val="auto"/>
                <w:lang w:val="en-US" w:eastAsia="zh-CN"/>
              </w:rPr>
              <w:t>2.7 现有工程回顾</w:t>
            </w:r>
          </w:p>
          <w:p>
            <w:pPr>
              <w:pStyle w:val="17"/>
              <w:bidi w:val="0"/>
              <w:rPr>
                <w:rFonts w:hint="eastAsia"/>
                <w:color w:val="auto"/>
                <w:lang w:val="en-US" w:eastAsia="zh-CN"/>
              </w:rPr>
            </w:pPr>
            <w:r>
              <w:rPr>
                <w:rFonts w:hint="eastAsia"/>
                <w:color w:val="auto"/>
                <w:lang w:val="en-US" w:eastAsia="zh-CN"/>
              </w:rPr>
              <w:t>2.7.1 现有工程基本概况</w:t>
            </w:r>
          </w:p>
          <w:p>
            <w:pPr>
              <w:ind w:firstLine="480"/>
              <w:rPr>
                <w:color w:val="auto"/>
              </w:rPr>
            </w:pPr>
            <w:r>
              <w:rPr>
                <w:color w:val="auto"/>
              </w:rPr>
              <w:t>（1）项目名称：百胜片区22-25号地块场地平整剩余石料加工项目</w:t>
            </w:r>
          </w:p>
          <w:p>
            <w:pPr>
              <w:ind w:firstLine="480"/>
              <w:rPr>
                <w:color w:val="auto"/>
              </w:rPr>
            </w:pPr>
            <w:r>
              <w:rPr>
                <w:color w:val="auto"/>
              </w:rPr>
              <w:t>（2）建设性质：新建</w:t>
            </w:r>
          </w:p>
          <w:p>
            <w:pPr>
              <w:ind w:firstLine="480"/>
              <w:rPr>
                <w:color w:val="auto"/>
              </w:rPr>
            </w:pPr>
            <w:r>
              <w:rPr>
                <w:color w:val="auto"/>
              </w:rPr>
              <w:t>（3）建设单位：福建省文誉建设工程有限公司</w:t>
            </w:r>
          </w:p>
          <w:p>
            <w:pPr>
              <w:ind w:firstLine="480"/>
              <w:rPr>
                <w:color w:val="auto"/>
                <w:kern w:val="0"/>
              </w:rPr>
            </w:pPr>
            <w:r>
              <w:rPr>
                <w:color w:val="auto"/>
              </w:rPr>
              <w:t>（4）建设地点：</w:t>
            </w:r>
            <w:r>
              <w:rPr>
                <w:color w:val="auto"/>
                <w:kern w:val="0"/>
              </w:rPr>
              <w:t>福建省宁德市福鼎市山前街道百胜村</w:t>
            </w:r>
          </w:p>
          <w:p>
            <w:pPr>
              <w:ind w:firstLine="480"/>
              <w:rPr>
                <w:color w:val="auto"/>
              </w:rPr>
            </w:pPr>
            <w:r>
              <w:rPr>
                <w:color w:val="auto"/>
              </w:rPr>
              <w:t>（5）投资额：总投资600万元，环保投资180万元</w:t>
            </w:r>
          </w:p>
          <w:p>
            <w:pPr>
              <w:ind w:firstLine="480"/>
              <w:rPr>
                <w:color w:val="auto"/>
              </w:rPr>
            </w:pPr>
            <w:r>
              <w:rPr>
                <w:color w:val="auto"/>
              </w:rPr>
              <w:t>（6）面积：占地面积37191.46m</w:t>
            </w:r>
            <w:r>
              <w:rPr>
                <w:color w:val="auto"/>
                <w:vertAlign w:val="superscript"/>
              </w:rPr>
              <w:t>2</w:t>
            </w:r>
          </w:p>
          <w:p>
            <w:pPr>
              <w:pStyle w:val="16"/>
              <w:ind w:firstLine="480"/>
              <w:rPr>
                <w:rFonts w:ascii="Times New Roman" w:hAnsi="Times New Roman"/>
                <w:color w:val="auto"/>
              </w:rPr>
            </w:pPr>
            <w:r>
              <w:rPr>
                <w:rFonts w:ascii="Times New Roman" w:hAnsi="Times New Roman"/>
                <w:color w:val="auto"/>
              </w:rPr>
              <w:t>（7）建设规模：年产石子100万m³、砂180万m³</w:t>
            </w:r>
          </w:p>
          <w:p>
            <w:pPr>
              <w:pStyle w:val="16"/>
              <w:ind w:firstLine="480"/>
              <w:rPr>
                <w:rFonts w:ascii="Times New Roman" w:hAnsi="Times New Roman"/>
                <w:color w:val="auto"/>
                <w:kern w:val="2"/>
                <w:sz w:val="21"/>
              </w:rPr>
            </w:pPr>
            <w:r>
              <w:rPr>
                <w:rFonts w:ascii="Times New Roman" w:hAnsi="Times New Roman"/>
                <w:color w:val="auto"/>
              </w:rPr>
              <w:t>（8）职工人数：20人（不住厂）</w:t>
            </w:r>
          </w:p>
          <w:p>
            <w:pPr>
              <w:ind w:firstLine="480"/>
              <w:rPr>
                <w:color w:val="auto"/>
              </w:rPr>
            </w:pPr>
            <w:r>
              <w:rPr>
                <w:color w:val="auto"/>
              </w:rPr>
              <w:t>（9）工作制度：年工作日237天，白班制生产，每天工作10小时</w:t>
            </w:r>
          </w:p>
          <w:p>
            <w:pPr>
              <w:pStyle w:val="17"/>
              <w:bidi w:val="0"/>
              <w:rPr>
                <w:rFonts w:hint="default"/>
                <w:color w:val="auto"/>
                <w:lang w:val="en-US" w:eastAsia="zh-CN"/>
              </w:rPr>
            </w:pPr>
            <w:r>
              <w:rPr>
                <w:rFonts w:hint="eastAsia"/>
                <w:color w:val="auto"/>
                <w:lang w:val="en-US" w:eastAsia="zh-CN"/>
              </w:rPr>
              <w:t>2.7.2 现有工程环保手续履行情况</w:t>
            </w:r>
          </w:p>
          <w:p>
            <w:pPr>
              <w:bidi w:val="0"/>
              <w:rPr>
                <w:color w:val="auto"/>
              </w:rPr>
            </w:pPr>
            <w:r>
              <w:rPr>
                <w:rFonts w:hint="eastAsia"/>
                <w:color w:val="auto"/>
                <w:lang w:val="en-US" w:eastAsia="zh-CN"/>
              </w:rPr>
              <w:t xml:space="preserve">百胜片区 </w:t>
            </w:r>
            <w:r>
              <w:rPr>
                <w:rFonts w:hint="default"/>
                <w:color w:val="auto"/>
                <w:lang w:val="en-US" w:eastAsia="zh-CN"/>
              </w:rPr>
              <w:t xml:space="preserve">22-25 </w:t>
            </w:r>
            <w:r>
              <w:rPr>
                <w:rFonts w:hint="eastAsia"/>
                <w:color w:val="auto"/>
                <w:lang w:val="en-US" w:eastAsia="zh-CN"/>
              </w:rPr>
              <w:t xml:space="preserve">号地块场地平整剩余石料加工项目位于福建省宁德市福鼎市山前街道百胜村，该项目为临时砂石土加工，占地占地面积 </w:t>
            </w:r>
            <w:r>
              <w:rPr>
                <w:rFonts w:hint="default"/>
                <w:color w:val="auto"/>
                <w:lang w:val="en-US" w:eastAsia="zh-CN"/>
              </w:rPr>
              <w:t>37191.46m</w:t>
            </w:r>
            <w:r>
              <w:rPr>
                <w:rFonts w:hint="default"/>
                <w:color w:val="auto"/>
                <w:vertAlign w:val="superscript"/>
                <w:lang w:val="en-US" w:eastAsia="zh-CN"/>
              </w:rPr>
              <w:t>2</w:t>
            </w:r>
            <w:r>
              <w:rPr>
                <w:rFonts w:hint="eastAsia"/>
                <w:color w:val="auto"/>
                <w:lang w:val="en-US" w:eastAsia="zh-CN"/>
              </w:rPr>
              <w:t xml:space="preserve">，年产石子 </w:t>
            </w:r>
            <w:r>
              <w:rPr>
                <w:rFonts w:hint="default"/>
                <w:color w:val="auto"/>
                <w:lang w:val="en-US" w:eastAsia="zh-CN"/>
              </w:rPr>
              <w:t xml:space="preserve">100 </w:t>
            </w:r>
            <w:r>
              <w:rPr>
                <w:rFonts w:hint="eastAsia"/>
                <w:color w:val="auto"/>
                <w:lang w:val="en-US" w:eastAsia="zh-CN"/>
              </w:rPr>
              <w:t xml:space="preserve">万 </w:t>
            </w:r>
            <w:r>
              <w:rPr>
                <w:rFonts w:hint="default"/>
                <w:color w:val="auto"/>
                <w:lang w:val="en-US" w:eastAsia="zh-CN"/>
              </w:rPr>
              <w:t>m</w:t>
            </w:r>
            <w:r>
              <w:rPr>
                <w:rFonts w:hint="eastAsia"/>
                <w:color w:val="auto"/>
                <w:vertAlign w:val="superscript"/>
                <w:lang w:val="en-US" w:eastAsia="zh-CN"/>
              </w:rPr>
              <w:t>3</w:t>
            </w:r>
            <w:r>
              <w:rPr>
                <w:rFonts w:hint="eastAsia"/>
                <w:color w:val="auto"/>
                <w:lang w:val="en-US" w:eastAsia="zh-CN"/>
              </w:rPr>
              <w:t xml:space="preserve">、砂 </w:t>
            </w:r>
            <w:r>
              <w:rPr>
                <w:rFonts w:hint="default"/>
                <w:color w:val="auto"/>
                <w:lang w:val="en-US" w:eastAsia="zh-CN"/>
              </w:rPr>
              <w:t xml:space="preserve">180 </w:t>
            </w:r>
            <w:r>
              <w:rPr>
                <w:rFonts w:hint="eastAsia"/>
                <w:color w:val="auto"/>
                <w:lang w:val="en-US" w:eastAsia="zh-CN"/>
              </w:rPr>
              <w:t xml:space="preserve">万 </w:t>
            </w:r>
            <w:r>
              <w:rPr>
                <w:rFonts w:hint="default"/>
                <w:color w:val="auto"/>
                <w:lang w:val="en-US" w:eastAsia="zh-CN"/>
              </w:rPr>
              <w:t>m</w:t>
            </w:r>
            <w:r>
              <w:rPr>
                <w:rFonts w:hint="eastAsia"/>
                <w:color w:val="auto"/>
                <w:vertAlign w:val="superscript"/>
                <w:lang w:val="en-US" w:eastAsia="zh-CN"/>
              </w:rPr>
              <w:t>3</w:t>
            </w:r>
            <w:r>
              <w:rPr>
                <w:rFonts w:hint="eastAsia"/>
                <w:color w:val="auto"/>
                <w:lang w:val="en-US" w:eastAsia="zh-CN"/>
              </w:rPr>
              <w:t>， 项目临时用地使用期限至</w:t>
            </w:r>
            <w:r>
              <w:rPr>
                <w:rFonts w:hint="default"/>
                <w:color w:val="auto"/>
                <w:lang w:val="en-US" w:eastAsia="zh-CN"/>
              </w:rPr>
              <w:t>2023</w:t>
            </w:r>
            <w:r>
              <w:rPr>
                <w:rFonts w:hint="eastAsia"/>
                <w:color w:val="auto"/>
                <w:lang w:val="en-US" w:eastAsia="zh-CN"/>
              </w:rPr>
              <w:t>年</w:t>
            </w:r>
            <w:r>
              <w:rPr>
                <w:rFonts w:hint="default"/>
                <w:color w:val="auto"/>
                <w:lang w:val="en-US" w:eastAsia="zh-CN"/>
              </w:rPr>
              <w:t>6</w:t>
            </w:r>
            <w:r>
              <w:rPr>
                <w:rFonts w:hint="eastAsia"/>
                <w:color w:val="auto"/>
                <w:lang w:val="en-US" w:eastAsia="zh-CN"/>
              </w:rPr>
              <w:t>月</w:t>
            </w:r>
            <w:r>
              <w:rPr>
                <w:rFonts w:hint="default"/>
                <w:color w:val="auto"/>
                <w:lang w:val="en-US" w:eastAsia="zh-CN"/>
              </w:rPr>
              <w:t>1</w:t>
            </w:r>
            <w:r>
              <w:rPr>
                <w:rFonts w:hint="eastAsia"/>
                <w:color w:val="auto"/>
                <w:lang w:val="en-US" w:eastAsia="zh-CN"/>
              </w:rPr>
              <w:t>日到期后将自行拆除相关设备和临时生产车间，将平整完成后的土地归还政府。</w:t>
            </w:r>
          </w:p>
          <w:p>
            <w:pPr>
              <w:bidi w:val="0"/>
              <w:rPr>
                <w:rFonts w:hint="default"/>
                <w:color w:val="auto"/>
                <w:lang w:val="en-US"/>
              </w:rPr>
            </w:pPr>
            <w:r>
              <w:rPr>
                <w:rFonts w:hint="eastAsia"/>
                <w:color w:val="auto"/>
                <w:lang w:val="en-US" w:eastAsia="zh-CN"/>
              </w:rPr>
              <w:t>企业于</w:t>
            </w:r>
            <w:r>
              <w:rPr>
                <w:rFonts w:hint="default"/>
                <w:color w:val="auto"/>
                <w:lang w:val="en-US" w:eastAsia="zh-CN"/>
              </w:rPr>
              <w:t>2021</w:t>
            </w:r>
            <w:r>
              <w:rPr>
                <w:rFonts w:hint="eastAsia"/>
                <w:color w:val="auto"/>
                <w:lang w:val="en-US" w:eastAsia="zh-CN"/>
              </w:rPr>
              <w:t>年</w:t>
            </w:r>
            <w:r>
              <w:rPr>
                <w:rFonts w:hint="default"/>
                <w:color w:val="auto"/>
                <w:lang w:val="en-US" w:eastAsia="zh-CN"/>
              </w:rPr>
              <w:t>5</w:t>
            </w:r>
            <w:r>
              <w:rPr>
                <w:rFonts w:hint="eastAsia"/>
                <w:color w:val="auto"/>
                <w:lang w:val="en-US" w:eastAsia="zh-CN"/>
              </w:rPr>
              <w:t>月</w:t>
            </w:r>
            <w:r>
              <w:rPr>
                <w:rFonts w:hint="default"/>
                <w:color w:val="auto"/>
                <w:lang w:val="en-US" w:eastAsia="zh-CN"/>
              </w:rPr>
              <w:t>6</w:t>
            </w:r>
            <w:r>
              <w:rPr>
                <w:rFonts w:hint="eastAsia"/>
                <w:color w:val="auto"/>
                <w:lang w:val="en-US" w:eastAsia="zh-CN"/>
              </w:rPr>
              <w:t>日，通过拍卖取得了福鼎市百胜片区</w:t>
            </w:r>
            <w:r>
              <w:rPr>
                <w:rFonts w:hint="default"/>
                <w:color w:val="auto"/>
                <w:lang w:val="en-US" w:eastAsia="zh-CN"/>
              </w:rPr>
              <w:t>22-25</w:t>
            </w:r>
            <w:r>
              <w:rPr>
                <w:rFonts w:hint="eastAsia"/>
                <w:color w:val="auto"/>
                <w:lang w:val="en-US" w:eastAsia="zh-CN"/>
              </w:rPr>
              <w:t>号地块场地平整剩余砂石土资源处置权。</w:t>
            </w:r>
            <w:r>
              <w:rPr>
                <w:rFonts w:hint="default"/>
                <w:color w:val="auto"/>
                <w:lang w:val="en-US" w:eastAsia="zh-CN"/>
              </w:rPr>
              <w:t xml:space="preserve">2021 </w:t>
            </w:r>
            <w:r>
              <w:rPr>
                <w:rFonts w:hint="eastAsia"/>
                <w:color w:val="auto"/>
                <w:lang w:val="en-US" w:eastAsia="zh-CN"/>
              </w:rPr>
              <w:t>年</w:t>
            </w:r>
            <w:r>
              <w:rPr>
                <w:rFonts w:hint="default"/>
                <w:color w:val="auto"/>
                <w:lang w:val="en-US" w:eastAsia="zh-CN"/>
              </w:rPr>
              <w:t>8</w:t>
            </w:r>
            <w:r>
              <w:rPr>
                <w:rFonts w:hint="eastAsia"/>
                <w:color w:val="auto"/>
                <w:lang w:val="en-US" w:eastAsia="zh-CN"/>
              </w:rPr>
              <w:t>月</w:t>
            </w:r>
            <w:r>
              <w:rPr>
                <w:rFonts w:hint="default"/>
                <w:color w:val="auto"/>
                <w:lang w:val="en-US" w:eastAsia="zh-CN"/>
              </w:rPr>
              <w:t>20</w:t>
            </w:r>
            <w:r>
              <w:rPr>
                <w:rFonts w:hint="eastAsia"/>
                <w:color w:val="auto"/>
                <w:lang w:val="en-US" w:eastAsia="zh-CN"/>
              </w:rPr>
              <w:t xml:space="preserve">日，福鼎市自然资源局出具了《福鼎市自然资源局关于百胜片区 </w:t>
            </w:r>
            <w:r>
              <w:rPr>
                <w:rFonts w:hint="default"/>
                <w:color w:val="auto"/>
                <w:lang w:val="en-US" w:eastAsia="zh-CN"/>
              </w:rPr>
              <w:t xml:space="preserve">22-25 </w:t>
            </w:r>
            <w:r>
              <w:rPr>
                <w:rFonts w:hint="eastAsia"/>
                <w:color w:val="auto"/>
                <w:lang w:val="en-US" w:eastAsia="zh-CN"/>
              </w:rPr>
              <w:t>号地块场地平整剩余砂石土资源处置项目弃渣场临时用地的批复》（鼎自然资临</w:t>
            </w:r>
            <w:r>
              <w:rPr>
                <w:rFonts w:hint="default"/>
                <w:color w:val="auto"/>
                <w:lang w:val="en-US" w:eastAsia="zh-CN"/>
              </w:rPr>
              <w:t>[2021]</w:t>
            </w:r>
            <w:r>
              <w:rPr>
                <w:rFonts w:hint="eastAsia"/>
                <w:color w:val="auto"/>
                <w:lang w:val="en-US" w:eastAsia="zh-CN"/>
              </w:rPr>
              <w:t>第</w:t>
            </w:r>
            <w:r>
              <w:rPr>
                <w:rFonts w:hint="default"/>
                <w:color w:val="auto"/>
                <w:lang w:val="en-US" w:eastAsia="zh-CN"/>
              </w:rPr>
              <w:t>032</w:t>
            </w:r>
            <w:r>
              <w:rPr>
                <w:rFonts w:hint="eastAsia"/>
                <w:color w:val="auto"/>
                <w:lang w:val="en-US" w:eastAsia="zh-CN"/>
              </w:rPr>
              <w:t>号）。</w:t>
            </w:r>
            <w:r>
              <w:rPr>
                <w:rFonts w:hint="default"/>
                <w:color w:val="auto"/>
                <w:lang w:val="en-US" w:eastAsia="zh-CN"/>
              </w:rPr>
              <w:t>2021</w:t>
            </w:r>
            <w:r>
              <w:rPr>
                <w:rFonts w:hint="eastAsia"/>
                <w:color w:val="auto"/>
                <w:lang w:val="en-US" w:eastAsia="zh-CN"/>
              </w:rPr>
              <w:t>年</w:t>
            </w:r>
            <w:r>
              <w:rPr>
                <w:rFonts w:hint="default"/>
                <w:color w:val="auto"/>
                <w:lang w:val="en-US" w:eastAsia="zh-CN"/>
              </w:rPr>
              <w:t>10</w:t>
            </w:r>
            <w:r>
              <w:rPr>
                <w:rFonts w:hint="eastAsia"/>
                <w:color w:val="auto"/>
                <w:lang w:val="en-US" w:eastAsia="zh-CN"/>
              </w:rPr>
              <w:t>月</w:t>
            </w:r>
            <w:r>
              <w:rPr>
                <w:rFonts w:hint="default"/>
                <w:color w:val="auto"/>
                <w:lang w:val="en-US" w:eastAsia="zh-CN"/>
              </w:rPr>
              <w:t>13</w:t>
            </w:r>
            <w:r>
              <w:rPr>
                <w:rFonts w:hint="eastAsia"/>
                <w:color w:val="auto"/>
                <w:lang w:val="en-US" w:eastAsia="zh-CN"/>
              </w:rPr>
              <w:t>日，项目取得福鼎市发展和改革局的备案表（备案号：闽发改备</w:t>
            </w:r>
            <w:r>
              <w:rPr>
                <w:rFonts w:hint="default"/>
                <w:color w:val="auto"/>
                <w:lang w:val="en-US" w:eastAsia="zh-CN"/>
              </w:rPr>
              <w:t xml:space="preserve">[2021]J030048 </w:t>
            </w:r>
            <w:r>
              <w:rPr>
                <w:rFonts w:hint="eastAsia"/>
                <w:color w:val="auto"/>
                <w:lang w:val="en-US" w:eastAsia="zh-CN"/>
              </w:rPr>
              <w:t>号）。</w:t>
            </w:r>
            <w:r>
              <w:rPr>
                <w:rFonts w:hint="default"/>
                <w:color w:val="auto"/>
                <w:lang w:val="en-US" w:eastAsia="zh-CN"/>
              </w:rPr>
              <w:t xml:space="preserve">2021 </w:t>
            </w:r>
            <w:r>
              <w:rPr>
                <w:rFonts w:hint="eastAsia"/>
                <w:color w:val="auto"/>
                <w:lang w:val="en-US" w:eastAsia="zh-CN"/>
              </w:rPr>
              <w:t xml:space="preserve">年 </w:t>
            </w:r>
            <w:r>
              <w:rPr>
                <w:rFonts w:hint="default"/>
                <w:color w:val="auto"/>
                <w:lang w:val="en-US" w:eastAsia="zh-CN"/>
              </w:rPr>
              <w:t xml:space="preserve">9 </w:t>
            </w:r>
            <w:r>
              <w:rPr>
                <w:rFonts w:hint="eastAsia"/>
                <w:color w:val="auto"/>
                <w:lang w:val="en-US" w:eastAsia="zh-CN"/>
              </w:rPr>
              <w:t xml:space="preserve">月委托福州壹澜环保科技有限公司编制完成《福建省文誉建设工程有限公司百胜片区 </w:t>
            </w:r>
            <w:r>
              <w:rPr>
                <w:rFonts w:hint="default"/>
                <w:color w:val="auto"/>
                <w:lang w:val="en-US" w:eastAsia="zh-CN"/>
              </w:rPr>
              <w:t xml:space="preserve">22-25 </w:t>
            </w:r>
            <w:r>
              <w:rPr>
                <w:rFonts w:hint="eastAsia"/>
                <w:color w:val="auto"/>
                <w:lang w:val="en-US" w:eastAsia="zh-CN"/>
              </w:rPr>
              <w:t>号地块场地平整剩余石料加工项目环境影响评价报告表》，于</w:t>
            </w:r>
            <w:r>
              <w:rPr>
                <w:rFonts w:hint="default"/>
                <w:color w:val="auto"/>
                <w:lang w:val="en-US" w:eastAsia="zh-CN"/>
              </w:rPr>
              <w:t>2022</w:t>
            </w:r>
            <w:r>
              <w:rPr>
                <w:rFonts w:hint="eastAsia"/>
                <w:color w:val="auto"/>
                <w:lang w:val="en-US" w:eastAsia="zh-CN"/>
              </w:rPr>
              <w:t>年</w:t>
            </w:r>
            <w:r>
              <w:rPr>
                <w:rFonts w:hint="default"/>
                <w:color w:val="auto"/>
                <w:lang w:val="en-US" w:eastAsia="zh-CN"/>
              </w:rPr>
              <w:t>1</w:t>
            </w:r>
            <w:r>
              <w:rPr>
                <w:rFonts w:hint="eastAsia"/>
                <w:color w:val="auto"/>
                <w:lang w:val="en-US" w:eastAsia="zh-CN"/>
              </w:rPr>
              <w:t>月</w:t>
            </w:r>
            <w:r>
              <w:rPr>
                <w:rFonts w:hint="default"/>
                <w:color w:val="auto"/>
                <w:lang w:val="en-US" w:eastAsia="zh-CN"/>
              </w:rPr>
              <w:t>6</w:t>
            </w:r>
            <w:r>
              <w:rPr>
                <w:rFonts w:hint="eastAsia"/>
                <w:color w:val="auto"/>
                <w:lang w:val="en-US" w:eastAsia="zh-CN"/>
              </w:rPr>
              <w:t xml:space="preserve">日获得宁德市福鼎生态环境局关于百胜片区 </w:t>
            </w:r>
            <w:r>
              <w:rPr>
                <w:rFonts w:hint="default"/>
                <w:color w:val="auto"/>
                <w:lang w:val="en-US" w:eastAsia="zh-CN"/>
              </w:rPr>
              <w:t xml:space="preserve">22-25 </w:t>
            </w:r>
            <w:r>
              <w:rPr>
                <w:rFonts w:hint="eastAsia"/>
                <w:color w:val="auto"/>
                <w:lang w:val="en-US" w:eastAsia="zh-CN"/>
              </w:rPr>
              <w:t>号地块场地平整剩余石料加工项目环境影响报告表的批复（宁鼎环评</w:t>
            </w:r>
            <w:r>
              <w:rPr>
                <w:rFonts w:hint="default"/>
                <w:color w:val="auto"/>
                <w:lang w:val="en-US" w:eastAsia="zh-CN"/>
              </w:rPr>
              <w:t xml:space="preserve">[2022]1 </w:t>
            </w:r>
            <w:r>
              <w:rPr>
                <w:rFonts w:hint="eastAsia"/>
                <w:color w:val="auto"/>
                <w:lang w:val="en-US" w:eastAsia="zh-CN"/>
              </w:rPr>
              <w:t>号）。 于</w:t>
            </w:r>
            <w:r>
              <w:rPr>
                <w:rFonts w:hint="default"/>
                <w:color w:val="auto"/>
                <w:lang w:val="en-US" w:eastAsia="zh-CN"/>
              </w:rPr>
              <w:t>2022</w:t>
            </w:r>
            <w:r>
              <w:rPr>
                <w:rFonts w:hint="eastAsia"/>
                <w:color w:val="auto"/>
                <w:lang w:val="en-US" w:eastAsia="zh-CN"/>
              </w:rPr>
              <w:t>年</w:t>
            </w:r>
            <w:r>
              <w:rPr>
                <w:rFonts w:hint="default"/>
                <w:color w:val="auto"/>
                <w:lang w:val="en-US" w:eastAsia="zh-CN"/>
              </w:rPr>
              <w:t>4</w:t>
            </w:r>
            <w:r>
              <w:rPr>
                <w:rFonts w:hint="eastAsia"/>
                <w:color w:val="auto"/>
                <w:lang w:val="en-US" w:eastAsia="zh-CN"/>
              </w:rPr>
              <w:t>月</w:t>
            </w:r>
            <w:r>
              <w:rPr>
                <w:rFonts w:hint="default"/>
                <w:color w:val="auto"/>
                <w:lang w:val="en-US" w:eastAsia="zh-CN"/>
              </w:rPr>
              <w:t>2</w:t>
            </w:r>
            <w:r>
              <w:rPr>
                <w:rFonts w:hint="eastAsia"/>
                <w:color w:val="auto"/>
                <w:lang w:val="en-US" w:eastAsia="zh-CN"/>
              </w:rPr>
              <w:t>日取得全国排污许可登记，排污许可证登记编号</w:t>
            </w:r>
            <w:r>
              <w:rPr>
                <w:rFonts w:hint="default"/>
                <w:color w:val="auto"/>
                <w:lang w:val="en-US" w:eastAsia="zh-CN"/>
              </w:rPr>
              <w:t>91350982MA33LMLM34001W</w:t>
            </w:r>
            <w:r>
              <w:rPr>
                <w:rFonts w:hint="eastAsia"/>
                <w:color w:val="auto"/>
                <w:lang w:val="en-US" w:eastAsia="zh-CN"/>
              </w:rPr>
              <w:t>。于2022年4月委托福建晟立检测技术有限公司完成竣工环境保护验收监测报告。</w:t>
            </w:r>
          </w:p>
          <w:p>
            <w:pPr>
              <w:pStyle w:val="17"/>
              <w:bidi w:val="0"/>
              <w:rPr>
                <w:rFonts w:hint="default"/>
                <w:color w:val="auto"/>
                <w:lang w:val="en-US" w:eastAsia="zh-CN"/>
              </w:rPr>
            </w:pPr>
            <w:r>
              <w:rPr>
                <w:rFonts w:hint="eastAsia"/>
                <w:color w:val="auto"/>
                <w:lang w:val="en-US" w:eastAsia="zh-CN"/>
              </w:rPr>
              <w:t>2.7.3 现有工程污染物实际排放情况</w:t>
            </w:r>
          </w:p>
          <w:p>
            <w:pPr>
              <w:bidi w:val="0"/>
              <w:rPr>
                <w:rFonts w:hint="default" w:eastAsia="宋体"/>
                <w:color w:val="auto"/>
                <w:lang w:val="en-US" w:eastAsia="zh-CN"/>
              </w:rPr>
            </w:pPr>
            <w:r>
              <w:rPr>
                <w:rFonts w:hint="eastAsia"/>
                <w:color w:val="auto"/>
                <w:lang w:val="en-US" w:eastAsia="zh-CN"/>
              </w:rPr>
              <w:t>本项目污染源根据《福建省文誉建设工程有限公司百胜片区22-25号地块场地平整剩余石料加工项目竣工环境保护验收报告表》进行分析。</w:t>
            </w:r>
          </w:p>
          <w:p>
            <w:pPr>
              <w:numPr>
                <w:ilvl w:val="0"/>
                <w:numId w:val="1"/>
              </w:numPr>
              <w:bidi w:val="0"/>
              <w:rPr>
                <w:rFonts w:hint="eastAsia"/>
                <w:color w:val="auto"/>
                <w:lang w:val="en-US" w:eastAsia="zh-CN"/>
              </w:rPr>
            </w:pPr>
            <w:r>
              <w:rPr>
                <w:rFonts w:hint="eastAsia"/>
                <w:color w:val="auto"/>
                <w:lang w:val="en-US" w:eastAsia="zh-CN"/>
              </w:rPr>
              <w:t>废水</w:t>
            </w:r>
          </w:p>
          <w:p>
            <w:pPr>
              <w:bidi w:val="0"/>
              <w:rPr>
                <w:rFonts w:hint="eastAsia"/>
                <w:color w:val="auto"/>
                <w:lang w:val="en-US" w:eastAsia="zh-CN"/>
              </w:rPr>
            </w:pPr>
            <w:r>
              <w:rPr>
                <w:rFonts w:hint="eastAsia"/>
                <w:color w:val="auto"/>
                <w:lang w:val="en-US" w:eastAsia="zh-CN"/>
              </w:rPr>
              <w:t>生活污水经化粪池处理后利用槽罐车定期抽吸后运送至福鼎市第一污水处理厂集中处理；生产废水经废水收集池收集后排入二级沉淀池处理后回用生产，不外排；初期雨水经初期雨水沉淀池沉淀处理后回用生产，不外排。</w:t>
            </w:r>
          </w:p>
          <w:p>
            <w:pPr>
              <w:bidi w:val="0"/>
              <w:rPr>
                <w:rFonts w:hint="default"/>
                <w:color w:val="auto"/>
                <w:lang w:val="en-US"/>
              </w:rPr>
            </w:pPr>
            <w:r>
              <w:rPr>
                <w:rFonts w:hint="eastAsia"/>
                <w:color w:val="auto"/>
                <w:lang w:val="en-US" w:eastAsia="zh-CN"/>
              </w:rPr>
              <w:t>根据竣工验收，本项目原有工程，项目生活污水处理达标后，由槽罐车运至福鼎市第一污水处理厂处理，不会对福鼎市第一污水处理厂的正常运行造成不利影响，项目废水环境影响减缓措施和接管可行、有效。不存在环保问题。</w:t>
            </w:r>
          </w:p>
          <w:p>
            <w:pPr>
              <w:numPr>
                <w:ilvl w:val="0"/>
                <w:numId w:val="1"/>
              </w:numPr>
              <w:bidi w:val="0"/>
              <w:ind w:left="0" w:leftChars="0" w:firstLine="480" w:firstLineChars="200"/>
              <w:rPr>
                <w:rFonts w:hint="default"/>
                <w:color w:val="auto"/>
                <w:lang w:val="en-US" w:eastAsia="zh-CN"/>
              </w:rPr>
            </w:pPr>
            <w:r>
              <w:rPr>
                <w:rFonts w:hint="eastAsia"/>
                <w:color w:val="auto"/>
                <w:lang w:val="en-US" w:eastAsia="zh-CN"/>
              </w:rPr>
              <w:t>废气</w:t>
            </w:r>
          </w:p>
          <w:p>
            <w:pPr>
              <w:bidi w:val="0"/>
              <w:rPr>
                <w:color w:val="auto"/>
              </w:rPr>
            </w:pPr>
            <w:r>
              <w:rPr>
                <w:rFonts w:hint="eastAsia" w:ascii="宋体" w:hAnsi="宋体" w:eastAsia="宋体" w:cs="宋体"/>
                <w:color w:val="auto"/>
                <w:kern w:val="0"/>
                <w:szCs w:val="24"/>
                <w:lang w:val="en-US" w:eastAsia="zh-CN" w:bidi="ar"/>
              </w:rPr>
              <w:t>项目生产线、原料卸料均建设于封闭的厂房内；破碎和制砂等设备上方设置喷淋头进行降尘处理；洒水车每天定时对项目厂区、项目原料运输道路及项目区周边</w:t>
            </w:r>
            <w:r>
              <w:rPr>
                <w:rFonts w:hint="default" w:ascii="Times New Roman" w:hAnsi="Times New Roman" w:eastAsia="宋体" w:cs="Times New Roman"/>
                <w:color w:val="auto"/>
                <w:kern w:val="0"/>
                <w:szCs w:val="24"/>
                <w:lang w:val="en-US" w:eastAsia="zh-CN" w:bidi="ar"/>
              </w:rPr>
              <w:t>500m</w:t>
            </w:r>
            <w:r>
              <w:rPr>
                <w:rFonts w:hint="eastAsia" w:ascii="宋体" w:hAnsi="宋体" w:eastAsia="宋体" w:cs="宋体"/>
                <w:color w:val="auto"/>
                <w:kern w:val="0"/>
                <w:szCs w:val="24"/>
                <w:lang w:val="en-US" w:eastAsia="zh-CN" w:bidi="ar"/>
              </w:rPr>
              <w:t>范围内的涉及住宅区的道路进行洒水降尘；原料装卸位于生产车间内，在设备装卸口安装喷头降尘；输送带卸料口安装喷头降尘；厂区原料运输口和厂区成品运输出入口分别设置清洗设备，清洁运输车辆轮胎</w:t>
            </w:r>
            <w:r>
              <w:rPr>
                <w:rFonts w:hint="eastAsia"/>
                <w:color w:val="auto"/>
                <w:lang w:val="en-US" w:eastAsia="zh-CN"/>
              </w:rPr>
              <w:t>，降低运输扬尘。</w:t>
            </w:r>
          </w:p>
          <w:p>
            <w:pPr>
              <w:bidi w:val="0"/>
              <w:rPr>
                <w:rFonts w:hint="default"/>
                <w:color w:val="auto"/>
                <w:lang w:val="en-US"/>
              </w:rPr>
            </w:pPr>
            <w:r>
              <w:rPr>
                <w:rFonts w:hint="eastAsia"/>
                <w:color w:val="auto"/>
                <w:lang w:val="en-US" w:eastAsia="zh-CN"/>
              </w:rPr>
              <w:t>根据竣工验收，本项目原有工程，厂界处颗粒物无组织排放浓度符合《大气污染物综合排放标准》（</w:t>
            </w:r>
            <w:r>
              <w:rPr>
                <w:rFonts w:hint="default"/>
                <w:color w:val="auto"/>
                <w:lang w:val="en-US" w:eastAsia="zh-CN"/>
              </w:rPr>
              <w:t>GB16297-1996</w:t>
            </w:r>
            <w:r>
              <w:rPr>
                <w:rFonts w:hint="eastAsia"/>
                <w:color w:val="auto"/>
                <w:lang w:val="en-US" w:eastAsia="zh-CN"/>
              </w:rPr>
              <w:t xml:space="preserve">）表 </w:t>
            </w:r>
            <w:r>
              <w:rPr>
                <w:rFonts w:hint="default"/>
                <w:color w:val="auto"/>
                <w:lang w:val="en-US" w:eastAsia="zh-CN"/>
              </w:rPr>
              <w:t xml:space="preserve">2 </w:t>
            </w:r>
            <w:r>
              <w:rPr>
                <w:rFonts w:hint="eastAsia"/>
                <w:color w:val="auto"/>
                <w:lang w:val="en-US" w:eastAsia="zh-CN"/>
              </w:rPr>
              <w:t>中颗粒物</w:t>
            </w:r>
            <w:r>
              <w:rPr>
                <w:rFonts w:hint="default"/>
                <w:color w:val="auto"/>
                <w:lang w:val="en-US" w:eastAsia="zh-CN"/>
              </w:rPr>
              <w:t>≤1mg/m³</w:t>
            </w:r>
            <w:r>
              <w:rPr>
                <w:rFonts w:hint="eastAsia"/>
                <w:color w:val="auto"/>
                <w:lang w:val="en-US" w:eastAsia="zh-CN"/>
              </w:rPr>
              <w:t>的要求，项目废气达标排放，对项目周围环境可接受。项目产生粉尘经降尘措施处理后，对项目周边敏感目标的影响在可接受范围。不存在环保问题。</w:t>
            </w:r>
          </w:p>
          <w:p>
            <w:pPr>
              <w:numPr>
                <w:ilvl w:val="0"/>
                <w:numId w:val="1"/>
              </w:numPr>
              <w:bidi w:val="0"/>
              <w:rPr>
                <w:rFonts w:hint="eastAsia"/>
                <w:color w:val="auto"/>
                <w:lang w:val="en-US" w:eastAsia="zh-CN"/>
              </w:rPr>
            </w:pPr>
            <w:r>
              <w:rPr>
                <w:rFonts w:hint="eastAsia"/>
                <w:color w:val="auto"/>
                <w:lang w:val="en-US" w:eastAsia="zh-CN"/>
              </w:rPr>
              <w:t>噪声</w:t>
            </w:r>
          </w:p>
          <w:p>
            <w:pPr>
              <w:bidi w:val="0"/>
              <w:rPr>
                <w:rFonts w:hint="eastAsia"/>
                <w:color w:val="auto"/>
                <w:lang w:val="en-US" w:eastAsia="zh-CN"/>
              </w:rPr>
            </w:pPr>
            <w:r>
              <w:rPr>
                <w:rFonts w:hint="eastAsia"/>
                <w:color w:val="auto"/>
                <w:lang w:val="en-US" w:eastAsia="zh-CN"/>
              </w:rPr>
              <w:t>原有项目优先选用低噪声级的设备，并对高噪声设备采用减振、降噪等措施。</w:t>
            </w:r>
          </w:p>
          <w:p>
            <w:pPr>
              <w:bidi w:val="0"/>
              <w:rPr>
                <w:rFonts w:hint="eastAsia"/>
                <w:color w:val="auto"/>
                <w:lang w:val="en-US" w:eastAsia="zh-CN"/>
              </w:rPr>
            </w:pPr>
            <w:r>
              <w:rPr>
                <w:rFonts w:hint="eastAsia"/>
                <w:color w:val="auto"/>
                <w:lang w:val="en-US" w:eastAsia="zh-CN"/>
              </w:rPr>
              <w:t>根据竣工验收，本项目原有工程，建设项目营运期厂界噪声，昼间可满足《工业企业厂界环境噪声排放标准》</w:t>
            </w:r>
            <w:r>
              <w:rPr>
                <w:rFonts w:hint="default"/>
                <w:color w:val="auto"/>
                <w:lang w:val="en-US" w:eastAsia="zh-CN"/>
              </w:rPr>
              <w:t>(GB12348-2008)</w:t>
            </w:r>
            <w:r>
              <w:rPr>
                <w:rFonts w:hint="eastAsia"/>
                <w:color w:val="auto"/>
                <w:lang w:val="en-US" w:eastAsia="zh-CN"/>
              </w:rPr>
              <w:t xml:space="preserve">中 </w:t>
            </w:r>
            <w:r>
              <w:rPr>
                <w:rFonts w:hint="default"/>
                <w:color w:val="auto"/>
                <w:lang w:val="en-US" w:eastAsia="zh-CN"/>
              </w:rPr>
              <w:t xml:space="preserve">2 </w:t>
            </w:r>
            <w:r>
              <w:rPr>
                <w:rFonts w:hint="eastAsia"/>
                <w:color w:val="auto"/>
                <w:lang w:val="en-US" w:eastAsia="zh-CN"/>
              </w:rPr>
              <w:t>类标准（</w:t>
            </w:r>
            <w:r>
              <w:rPr>
                <w:rFonts w:hint="default"/>
                <w:color w:val="auto"/>
                <w:lang w:val="en-US" w:eastAsia="zh-CN"/>
              </w:rPr>
              <w:t>60dB</w:t>
            </w:r>
            <w:r>
              <w:rPr>
                <w:rFonts w:hint="eastAsia"/>
                <w:color w:val="auto"/>
                <w:lang w:val="en-US" w:eastAsia="zh-CN"/>
              </w:rPr>
              <w:t>（</w:t>
            </w:r>
            <w:r>
              <w:rPr>
                <w:rFonts w:hint="default"/>
                <w:color w:val="auto"/>
                <w:lang w:val="en-US" w:eastAsia="zh-CN"/>
              </w:rPr>
              <w:t>A</w:t>
            </w:r>
            <w:r>
              <w:rPr>
                <w:rFonts w:hint="eastAsia"/>
                <w:color w:val="auto"/>
                <w:lang w:val="en-US" w:eastAsia="zh-CN"/>
              </w:rPr>
              <w:t>））要求，企业夜间不生产。项目生产机械设备噪声对周边声环境影响较小。 不存在环保问题。</w:t>
            </w:r>
          </w:p>
          <w:p>
            <w:pPr>
              <w:numPr>
                <w:ilvl w:val="0"/>
                <w:numId w:val="1"/>
              </w:numPr>
              <w:bidi w:val="0"/>
              <w:ind w:left="0" w:leftChars="0" w:firstLine="480" w:firstLineChars="200"/>
              <w:rPr>
                <w:rFonts w:hint="eastAsia"/>
                <w:color w:val="auto"/>
                <w:lang w:val="en-US" w:eastAsia="zh-CN"/>
              </w:rPr>
            </w:pPr>
            <w:r>
              <w:rPr>
                <w:rFonts w:hint="eastAsia"/>
                <w:color w:val="auto"/>
                <w:lang w:val="en-US" w:eastAsia="zh-CN"/>
              </w:rPr>
              <w:t>固体废物</w:t>
            </w:r>
          </w:p>
          <w:p>
            <w:pPr>
              <w:bidi w:val="0"/>
              <w:rPr>
                <w:color w:val="auto"/>
              </w:rPr>
            </w:pPr>
            <w:r>
              <w:rPr>
                <w:rFonts w:hint="eastAsia"/>
                <w:color w:val="auto"/>
                <w:lang w:val="en-US" w:eastAsia="zh-CN"/>
              </w:rPr>
              <w:t xml:space="preserve">①沉淀污泥：根据项目实际情况，项目每天产生的沉淀污泥约 </w:t>
            </w:r>
            <w:r>
              <w:rPr>
                <w:rFonts w:hint="default"/>
                <w:color w:val="auto"/>
                <w:lang w:val="en-US" w:eastAsia="zh-CN"/>
              </w:rPr>
              <w:t>200t/d(47400t/a)</w:t>
            </w:r>
            <w:r>
              <w:rPr>
                <w:rFonts w:hint="eastAsia"/>
                <w:color w:val="auto"/>
                <w:lang w:val="en-US" w:eastAsia="zh-CN"/>
              </w:rPr>
              <w:t xml:space="preserve">，包括项目洒水和车间自然沉降收集的砂粉等。通过沉淀池、压滤机脱水后制成泥饼，存放在污泥间，委托福鼎市利民城市建筑垃圾处理有限公司处置，用于制砖。 </w:t>
            </w:r>
          </w:p>
          <w:p>
            <w:pPr>
              <w:bidi w:val="0"/>
              <w:rPr>
                <w:rFonts w:hint="eastAsia"/>
                <w:color w:val="auto"/>
                <w:lang w:val="en-US" w:eastAsia="zh-CN"/>
              </w:rPr>
            </w:pPr>
            <w:r>
              <w:rPr>
                <w:rFonts w:hint="eastAsia"/>
                <w:color w:val="auto"/>
                <w:lang w:val="en-US" w:eastAsia="zh-CN"/>
              </w:rPr>
              <w:t xml:space="preserve">②生活垃圾：项目生活垃圾产生量约为 </w:t>
            </w:r>
            <w:r>
              <w:rPr>
                <w:rFonts w:hint="default"/>
                <w:color w:val="auto"/>
                <w:lang w:val="en-US" w:eastAsia="zh-CN"/>
              </w:rPr>
              <w:t>2t/a</w:t>
            </w:r>
            <w:r>
              <w:rPr>
                <w:rFonts w:hint="eastAsia"/>
                <w:color w:val="auto"/>
                <w:lang w:val="en-US" w:eastAsia="zh-CN"/>
              </w:rPr>
              <w:t>，集中收集后由环卫部门定期清运。</w:t>
            </w:r>
          </w:p>
          <w:p>
            <w:pPr>
              <w:bidi w:val="0"/>
              <w:rPr>
                <w:rFonts w:hint="default"/>
                <w:color w:val="auto"/>
                <w:lang w:val="en-US" w:eastAsia="zh-CN"/>
              </w:rPr>
            </w:pPr>
            <w:r>
              <w:rPr>
                <w:rFonts w:hint="eastAsia"/>
                <w:color w:val="auto"/>
              </w:rPr>
              <w:t>③</w:t>
            </w:r>
            <w:r>
              <w:rPr>
                <w:rFonts w:hint="eastAsia"/>
                <w:color w:val="auto"/>
                <w:lang w:val="en-US" w:eastAsia="zh-CN"/>
              </w:rPr>
              <w:t xml:space="preserve">危险废物：：项目机械设备运行一定时期后将产生少量废润滑油，平均每年废机油产生量约为 </w:t>
            </w:r>
            <w:r>
              <w:rPr>
                <w:rFonts w:hint="default"/>
                <w:color w:val="auto"/>
                <w:lang w:val="en-US" w:eastAsia="zh-CN"/>
              </w:rPr>
              <w:t>0.4t/a</w:t>
            </w:r>
            <w:r>
              <w:rPr>
                <w:rFonts w:hint="eastAsia"/>
                <w:color w:val="auto"/>
                <w:lang w:val="en-US" w:eastAsia="zh-CN"/>
              </w:rPr>
              <w:t>，项目废机油经收集后在厂区危险废物贮存间暂存，并委托尤溪县鑫辉润滑油再生利用有限公司处置。</w:t>
            </w:r>
          </w:p>
          <w:p>
            <w:pPr>
              <w:bidi w:val="0"/>
              <w:rPr>
                <w:rFonts w:hint="default"/>
                <w:color w:val="auto"/>
                <w:lang w:val="en-US" w:eastAsia="zh-CN"/>
              </w:rPr>
            </w:pPr>
            <w:r>
              <w:rPr>
                <w:rFonts w:hint="eastAsia" w:ascii="宋体" w:hAnsi="宋体" w:eastAsia="宋体" w:cs="宋体"/>
                <w:color w:val="auto"/>
                <w:kern w:val="0"/>
                <w:sz w:val="24"/>
                <w:szCs w:val="24"/>
                <w:lang w:val="en-US" w:eastAsia="zh-CN" w:bidi="ar"/>
              </w:rPr>
              <w:t>项目固废经妥善处理后，不会对周边环境产生明显影响</w:t>
            </w:r>
            <w:r>
              <w:rPr>
                <w:rFonts w:hint="eastAsia"/>
                <w:color w:val="auto"/>
                <w:lang w:val="en-US" w:eastAsia="zh-CN"/>
              </w:rPr>
              <w:t>，不存在环保问题。</w:t>
            </w:r>
          </w:p>
          <w:p>
            <w:pPr>
              <w:keepNext w:val="0"/>
              <w:keepLines w:val="0"/>
              <w:widowControl/>
              <w:suppressLineNumbers w:val="0"/>
              <w:jc w:val="left"/>
              <w:rPr>
                <w:color w:val="auto"/>
              </w:rPr>
            </w:pPr>
          </w:p>
          <w:p>
            <w:pPr>
              <w:bidi w:val="0"/>
              <w:jc w:val="left"/>
              <w:rPr>
                <w:color w:val="auto"/>
              </w:rPr>
            </w:pPr>
          </w:p>
          <w:p>
            <w:pPr>
              <w:bidi w:val="0"/>
              <w:ind w:left="0" w:leftChars="0" w:firstLine="480" w:firstLineChars="200"/>
              <w:jc w:val="left"/>
              <w:rPr>
                <w:rFonts w:ascii="Times New Roman" w:hAnsi="Times New Roman"/>
                <w:color w:val="auto"/>
              </w:rPr>
            </w:pPr>
          </w:p>
        </w:tc>
      </w:tr>
    </w:tbl>
    <w:p>
      <w:pPr>
        <w:pStyle w:val="2"/>
        <w:ind w:left="0" w:leftChars="0" w:firstLine="0" w:firstLine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4"/>
        <w:rPr>
          <w:snapToGrid w:val="0"/>
          <w:color w:val="auto"/>
        </w:rPr>
      </w:pPr>
      <w:r>
        <w:rPr>
          <w:snapToGrid w:val="0"/>
          <w:color w:val="auto"/>
        </w:rPr>
        <w:t>三、区域环境质量现状、环境保护目标及评价标准</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80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5"/>
              <w:rPr>
                <w:color w:val="auto"/>
                <w:sz w:val="24"/>
                <w:szCs w:val="24"/>
              </w:rPr>
            </w:pPr>
            <w:r>
              <w:rPr>
                <w:color w:val="auto"/>
                <w:sz w:val="24"/>
                <w:szCs w:val="24"/>
              </w:rPr>
              <w:t>区域</w:t>
            </w:r>
          </w:p>
          <w:p>
            <w:pPr>
              <w:pStyle w:val="15"/>
              <w:rPr>
                <w:color w:val="auto"/>
                <w:sz w:val="24"/>
                <w:szCs w:val="24"/>
              </w:rPr>
            </w:pPr>
            <w:r>
              <w:rPr>
                <w:color w:val="auto"/>
                <w:sz w:val="24"/>
                <w:szCs w:val="24"/>
              </w:rPr>
              <w:t>环境</w:t>
            </w:r>
          </w:p>
          <w:p>
            <w:pPr>
              <w:pStyle w:val="15"/>
              <w:rPr>
                <w:color w:val="auto"/>
                <w:sz w:val="24"/>
                <w:szCs w:val="24"/>
              </w:rPr>
            </w:pPr>
            <w:r>
              <w:rPr>
                <w:color w:val="auto"/>
                <w:sz w:val="24"/>
                <w:szCs w:val="24"/>
              </w:rPr>
              <w:t>质量</w:t>
            </w:r>
          </w:p>
          <w:p>
            <w:pPr>
              <w:pStyle w:val="15"/>
              <w:rPr>
                <w:color w:val="auto"/>
              </w:rPr>
            </w:pPr>
            <w:r>
              <w:rPr>
                <w:color w:val="auto"/>
                <w:sz w:val="24"/>
                <w:szCs w:val="24"/>
              </w:rPr>
              <w:t>现状</w:t>
            </w:r>
          </w:p>
        </w:tc>
        <w:tc>
          <w:tcPr>
            <w:tcW w:w="8612" w:type="dxa"/>
            <w:noWrap w:val="0"/>
            <w:vAlign w:val="center"/>
          </w:tcPr>
          <w:p>
            <w:pPr>
              <w:pStyle w:val="20"/>
              <w:rPr>
                <w:color w:val="auto"/>
                <w:sz w:val="28"/>
                <w:szCs w:val="28"/>
              </w:rPr>
            </w:pPr>
            <w:bookmarkStart w:id="1" w:name="_Toc11698"/>
            <w:bookmarkStart w:id="2" w:name="_Toc66217059"/>
            <w:bookmarkStart w:id="3" w:name="_Toc3802"/>
            <w:r>
              <w:rPr>
                <w:color w:val="auto"/>
              </w:rPr>
              <w:t>3.1环境质量现状</w:t>
            </w:r>
            <w:bookmarkEnd w:id="1"/>
            <w:bookmarkEnd w:id="2"/>
            <w:bookmarkEnd w:id="3"/>
          </w:p>
          <w:p>
            <w:pPr>
              <w:pStyle w:val="17"/>
              <w:rPr>
                <w:color w:val="auto"/>
              </w:rPr>
            </w:pPr>
            <w:r>
              <w:rPr>
                <w:color w:val="auto"/>
              </w:rPr>
              <w:t>3.1.1地表水环境质量现状</w:t>
            </w:r>
          </w:p>
          <w:p>
            <w:pPr>
              <w:pStyle w:val="16"/>
              <w:ind w:firstLine="480"/>
              <w:rPr>
                <w:rFonts w:ascii="Times New Roman" w:hAnsi="Times New Roman"/>
                <w:color w:val="auto"/>
              </w:rPr>
            </w:pPr>
            <w:r>
              <w:rPr>
                <w:rFonts w:ascii="Times New Roman" w:hAnsi="Times New Roman"/>
                <w:color w:val="auto"/>
              </w:rPr>
              <w:t>项目生活污水经化粪池处理后</w:t>
            </w:r>
            <w:r>
              <w:rPr>
                <w:color w:val="auto"/>
              </w:rPr>
              <w:t>运送至福鼎市第一污水处理厂集中处理</w:t>
            </w:r>
          </w:p>
          <w:p>
            <w:pPr>
              <w:ind w:firstLine="480"/>
              <w:rPr>
                <w:color w:val="auto"/>
                <w:szCs w:val="24"/>
              </w:rPr>
            </w:pPr>
            <w:r>
              <w:rPr>
                <w:color w:val="auto"/>
              </w:rPr>
              <w:t>项目周边水体为</w:t>
            </w:r>
            <w:r>
              <w:rPr>
                <w:rFonts w:hint="eastAsia"/>
                <w:color w:val="auto"/>
                <w:lang w:val="en-US" w:eastAsia="zh-CN"/>
              </w:rPr>
              <w:t>双岳溪</w:t>
            </w:r>
            <w:r>
              <w:rPr>
                <w:color w:val="auto"/>
              </w:rPr>
              <w:t>，</w:t>
            </w:r>
            <w:r>
              <w:rPr>
                <w:rFonts w:ascii="Times New Roman" w:hAnsi="Times New Roman"/>
                <w:color w:val="auto"/>
              </w:rPr>
              <w:t>根据</w:t>
            </w:r>
            <w:r>
              <w:rPr>
                <w:rFonts w:hint="eastAsia" w:ascii="Times New Roman" w:hAnsi="Times New Roman"/>
                <w:color w:val="auto"/>
                <w:lang w:eastAsia="zh-CN"/>
              </w:rPr>
              <w:t>《</w:t>
            </w:r>
            <w:r>
              <w:rPr>
                <w:rFonts w:hint="eastAsia" w:ascii="Times New Roman" w:hAnsi="Times New Roman"/>
                <w:color w:val="auto"/>
                <w:lang w:val="en-US" w:eastAsia="zh-CN"/>
              </w:rPr>
              <w:t>宁德市环境质量</w:t>
            </w:r>
            <w:r>
              <w:rPr>
                <w:rFonts w:hint="eastAsia"/>
                <w:color w:val="auto"/>
                <w:lang w:val="en-US" w:eastAsia="zh-CN"/>
              </w:rPr>
              <w:t>概要</w:t>
            </w:r>
            <w:r>
              <w:rPr>
                <w:rFonts w:hint="eastAsia" w:ascii="Times New Roman" w:hAnsi="Times New Roman"/>
                <w:color w:val="auto"/>
                <w:lang w:val="en-US" w:eastAsia="zh-CN"/>
              </w:rPr>
              <w:t>2021年度</w:t>
            </w:r>
            <w:r>
              <w:rPr>
                <w:rFonts w:hint="eastAsia" w:ascii="Times New Roman" w:hAnsi="Times New Roman"/>
                <w:color w:val="auto"/>
                <w:lang w:eastAsia="zh-CN"/>
              </w:rPr>
              <w:t>》</w:t>
            </w:r>
            <w:r>
              <w:rPr>
                <w:rFonts w:hint="eastAsia"/>
                <w:color w:val="auto"/>
                <w:lang w:eastAsia="zh-CN"/>
              </w:rPr>
              <w:t>（</w:t>
            </w:r>
            <w:r>
              <w:rPr>
                <w:rFonts w:hint="eastAsia" w:ascii="Times New Roman" w:hAnsi="Times New Roman"/>
                <w:color w:val="auto"/>
                <w:lang w:val="en-US" w:eastAsia="zh-CN"/>
              </w:rPr>
              <w:t>http://sthjj.ningde.gov.cn/zwgk/hjzl/hjzljbgb/202204/t20220421_1616557.htm</w:t>
            </w:r>
            <w:r>
              <w:rPr>
                <w:rFonts w:hint="eastAsia" w:ascii="Times New Roman" w:hAnsi="Times New Roman"/>
                <w:color w:val="auto"/>
                <w:lang w:eastAsia="zh-CN"/>
              </w:rPr>
              <w:t>）</w:t>
            </w:r>
            <w:r>
              <w:rPr>
                <w:rFonts w:ascii="Times New Roman" w:hAnsi="Times New Roman"/>
                <w:color w:val="auto"/>
              </w:rPr>
              <w:t>，</w:t>
            </w:r>
            <w:r>
              <w:rPr>
                <w:rFonts w:hint="eastAsia" w:ascii="Times New Roman" w:hAnsi="Times New Roman"/>
                <w:color w:val="auto"/>
                <w:lang w:val="en-US" w:eastAsia="zh-CN"/>
              </w:rPr>
              <w:t>中小流域水质状况</w:t>
            </w:r>
            <w:r>
              <w:rPr>
                <w:rFonts w:ascii="Times New Roman" w:hAnsi="Times New Roman"/>
                <w:color w:val="auto"/>
              </w:rPr>
              <w:t>监测报告，</w:t>
            </w:r>
            <w:r>
              <w:rPr>
                <w:rFonts w:hint="eastAsia" w:ascii="Times New Roman" w:hAnsi="Times New Roman"/>
                <w:color w:val="auto"/>
                <w:lang w:val="en-US" w:eastAsia="zh-CN"/>
              </w:rPr>
              <w:t>双岳</w:t>
            </w:r>
            <w:r>
              <w:rPr>
                <w:rFonts w:ascii="Times New Roman" w:hAnsi="Times New Roman"/>
                <w:color w:val="auto"/>
              </w:rPr>
              <w:t>溪水质断面监测数据现状显示该区域水质为</w:t>
            </w:r>
            <w:r>
              <w:rPr>
                <w:rFonts w:hint="eastAsia" w:cs="宋体"/>
                <w:color w:val="auto"/>
              </w:rPr>
              <w:t>Ⅲ</w:t>
            </w:r>
            <w:r>
              <w:rPr>
                <w:rFonts w:ascii="Times New Roman" w:hAnsi="Times New Roman"/>
                <w:color w:val="auto"/>
              </w:rPr>
              <w:t>，</w:t>
            </w:r>
            <w:r>
              <w:rPr>
                <w:color w:val="auto"/>
                <w:szCs w:val="24"/>
              </w:rPr>
              <w:t>由此可知，区域地表水环境质量现状较好。</w:t>
            </w:r>
          </w:p>
          <w:p>
            <w:pPr>
              <w:adjustRightInd w:val="0"/>
              <w:snapToGrid w:val="0"/>
              <w:spacing w:line="240" w:lineRule="auto"/>
              <w:ind w:firstLine="0" w:firstLineChars="0"/>
              <w:jc w:val="center"/>
              <w:rPr>
                <w:rFonts w:eastAsia="黑体"/>
                <w:color w:val="auto"/>
                <w:szCs w:val="24"/>
              </w:rPr>
            </w:pPr>
            <w:r>
              <w:rPr>
                <w:rFonts w:eastAsia="黑体"/>
                <w:color w:val="auto"/>
                <w:szCs w:val="24"/>
              </w:rPr>
              <w:t>表3.1-1地表水水质监测断面数据</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040"/>
              <w:gridCol w:w="1040"/>
              <w:gridCol w:w="1193"/>
              <w:gridCol w:w="887"/>
              <w:gridCol w:w="887"/>
              <w:gridCol w:w="1193"/>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序号</w:t>
                  </w:r>
                </w:p>
              </w:tc>
              <w:tc>
                <w:tcPr>
                  <w:tcW w:w="6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所在水系</w:t>
                  </w:r>
                </w:p>
              </w:tc>
              <w:tc>
                <w:tcPr>
                  <w:tcW w:w="6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所在水体</w:t>
                  </w:r>
                </w:p>
              </w:tc>
              <w:tc>
                <w:tcPr>
                  <w:tcW w:w="7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断面名称</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水质类别</w:t>
                  </w:r>
                </w:p>
              </w:tc>
              <w:tc>
                <w:tcPr>
                  <w:tcW w:w="132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Ⅰ类～III类水质比例（％）</w:t>
                  </w:r>
                </w:p>
              </w:tc>
              <w:tc>
                <w:tcPr>
                  <w:tcW w:w="5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超Ⅲ类指标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6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6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7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本期</w:t>
                  </w: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本期</w:t>
                  </w:r>
                </w:p>
              </w:tc>
              <w:tc>
                <w:tcPr>
                  <w:tcW w:w="75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上年同期</w:t>
                  </w:r>
                </w:p>
              </w:tc>
              <w:tc>
                <w:tcPr>
                  <w:tcW w:w="5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cs="宋体"/>
                      <w:color w:val="auto"/>
                      <w:sz w:val="20"/>
                      <w:szCs w:val="20"/>
                      <w:lang w:val="en-US" w:eastAsia="zh-CN"/>
                    </w:rPr>
                    <w:t>1</w:t>
                  </w:r>
                </w:p>
              </w:tc>
              <w:tc>
                <w:tcPr>
                  <w:tcW w:w="6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双岳溪</w:t>
                  </w:r>
                </w:p>
              </w:tc>
              <w:tc>
                <w:tcPr>
                  <w:tcW w:w="6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双岳溪</w:t>
                  </w:r>
                </w:p>
              </w:tc>
              <w:tc>
                <w:tcPr>
                  <w:tcW w:w="75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池厝</w:t>
                  </w: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Ⅲ</w:t>
                  </w:r>
                </w:p>
              </w:tc>
              <w:tc>
                <w:tcPr>
                  <w:tcW w:w="56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100</w:t>
                  </w:r>
                </w:p>
              </w:tc>
              <w:tc>
                <w:tcPr>
                  <w:tcW w:w="75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w:t>
                  </w:r>
                </w:p>
              </w:tc>
              <w:tc>
                <w:tcPr>
                  <w:tcW w:w="5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auto"/>
                      <w:sz w:val="20"/>
                      <w:szCs w:val="20"/>
                    </w:rPr>
                  </w:pPr>
                  <w:r>
                    <w:rPr>
                      <w:rFonts w:hint="eastAsia" w:ascii="宋体" w:hAnsi="宋体" w:cs="宋体"/>
                      <w:color w:val="auto"/>
                      <w:sz w:val="20"/>
                      <w:szCs w:val="20"/>
                    </w:rPr>
                    <w:t>　</w:t>
                  </w:r>
                </w:p>
              </w:tc>
            </w:tr>
          </w:tbl>
          <w:p>
            <w:pPr>
              <w:pStyle w:val="17"/>
              <w:rPr>
                <w:color w:val="auto"/>
              </w:rPr>
            </w:pPr>
            <w:r>
              <w:rPr>
                <w:color w:val="auto"/>
              </w:rPr>
              <w:t>3.1.2大气环境质量现状</w:t>
            </w:r>
          </w:p>
          <w:p>
            <w:pPr>
              <w:pStyle w:val="16"/>
              <w:ind w:firstLine="480"/>
              <w:rPr>
                <w:rFonts w:ascii="Times New Roman" w:hAnsi="Times New Roman"/>
                <w:color w:val="auto"/>
              </w:rPr>
            </w:pPr>
            <w:r>
              <w:rPr>
                <w:rFonts w:ascii="Times New Roman" w:hAnsi="Times New Roman"/>
                <w:color w:val="auto"/>
              </w:rPr>
              <w:t>按《环境影响评价技术导则大气环境》（HJ2.2-2018）要求，城市环境空气质量达标情况评价指标为SO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2</w:t>
            </w:r>
            <w:r>
              <w:rPr>
                <w:rFonts w:ascii="Times New Roman" w:hAnsi="Times New Roman"/>
                <w:color w:val="auto"/>
              </w:rPr>
              <w:t>、PM</w:t>
            </w:r>
            <w:r>
              <w:rPr>
                <w:rFonts w:ascii="Times New Roman" w:hAnsi="Times New Roman"/>
                <w:color w:val="auto"/>
                <w:vertAlign w:val="subscript"/>
              </w:rPr>
              <w:t>10</w:t>
            </w:r>
            <w:r>
              <w:rPr>
                <w:rFonts w:ascii="Times New Roman" w:hAnsi="Times New Roman"/>
                <w:color w:val="auto"/>
              </w:rPr>
              <w:t>、PM</w:t>
            </w:r>
            <w:r>
              <w:rPr>
                <w:rFonts w:ascii="Times New Roman" w:hAnsi="Times New Roman"/>
                <w:color w:val="auto"/>
                <w:vertAlign w:val="subscript"/>
              </w:rPr>
              <w:t>2.5</w:t>
            </w:r>
            <w:r>
              <w:rPr>
                <w:rFonts w:ascii="Times New Roman" w:hAnsi="Times New Roman"/>
                <w:color w:val="auto"/>
              </w:rPr>
              <w:t>、CO和O</w:t>
            </w:r>
            <w:r>
              <w:rPr>
                <w:rFonts w:ascii="Times New Roman" w:hAnsi="Times New Roman"/>
                <w:color w:val="auto"/>
                <w:vertAlign w:val="subscript"/>
              </w:rPr>
              <w:t>3</w:t>
            </w:r>
            <w:r>
              <w:rPr>
                <w:rFonts w:ascii="Times New Roman" w:hAnsi="Times New Roman"/>
                <w:color w:val="auto"/>
              </w:rPr>
              <w:t>，六项污染物全部达标即为城市环境空气质量达标。项目所在区域达标判定，优先采用国家或地方生态环境主管部门公开公布的评价基准年环境质量公告或环境质量报告中的数据或结论。</w:t>
            </w:r>
          </w:p>
          <w:p>
            <w:pPr>
              <w:pStyle w:val="16"/>
              <w:ind w:firstLine="480"/>
              <w:rPr>
                <w:rFonts w:ascii="Times New Roman" w:hAnsi="Times New Roman"/>
                <w:color w:val="auto"/>
              </w:rPr>
            </w:pPr>
            <w:r>
              <w:rPr>
                <w:rFonts w:ascii="Times New Roman" w:hAnsi="Times New Roman"/>
                <w:color w:val="auto"/>
              </w:rPr>
              <w:t>根据《宁德市环境质量</w:t>
            </w:r>
            <w:r>
              <w:rPr>
                <w:rFonts w:hint="eastAsia" w:ascii="Times New Roman" w:hAnsi="Times New Roman"/>
                <w:color w:val="auto"/>
                <w:lang w:val="en-US" w:eastAsia="zh-CN"/>
              </w:rPr>
              <w:t>概要</w:t>
            </w:r>
            <w:r>
              <w:rPr>
                <w:rFonts w:ascii="Times New Roman" w:hAnsi="Times New Roman"/>
                <w:color w:val="auto"/>
              </w:rPr>
              <w:t>20</w:t>
            </w:r>
            <w:r>
              <w:rPr>
                <w:rFonts w:hint="eastAsia" w:ascii="Times New Roman" w:hAnsi="Times New Roman"/>
                <w:color w:val="auto"/>
                <w:lang w:val="en-US" w:eastAsia="zh-CN"/>
              </w:rPr>
              <w:t>21</w:t>
            </w:r>
            <w:r>
              <w:rPr>
                <w:rFonts w:ascii="Times New Roman" w:hAnsi="Times New Roman"/>
                <w:color w:val="auto"/>
              </w:rPr>
              <w:t>年</w:t>
            </w:r>
            <w:r>
              <w:rPr>
                <w:rFonts w:hint="eastAsia" w:ascii="Times New Roman" w:hAnsi="Times New Roman"/>
                <w:color w:val="auto"/>
                <w:lang w:val="en-US" w:eastAsia="zh-CN"/>
              </w:rPr>
              <w:t>度</w:t>
            </w:r>
            <w:r>
              <w:rPr>
                <w:rFonts w:ascii="Times New Roman" w:hAnsi="Times New Roman"/>
                <w:color w:val="auto"/>
              </w:rPr>
              <w:t>》</w:t>
            </w:r>
            <w:r>
              <w:rPr>
                <w:rFonts w:hint="eastAsia" w:ascii="Times New Roman" w:hAnsi="Times New Roman"/>
                <w:color w:val="auto"/>
                <w:lang w:eastAsia="zh-CN"/>
              </w:rPr>
              <w:t>（</w:t>
            </w:r>
            <w:r>
              <w:rPr>
                <w:rFonts w:hint="eastAsia" w:ascii="Times New Roman" w:hAnsi="Times New Roman"/>
                <w:color w:val="auto"/>
                <w:lang w:val="en-US" w:eastAsia="zh-CN"/>
              </w:rPr>
              <w:t>网址：http://sthjj.ningde.gov.cn/zwgk/hjzl/hjzljbgb/202204/t20220421_1616557.htm</w:t>
            </w:r>
            <w:r>
              <w:rPr>
                <w:rFonts w:hint="eastAsia" w:ascii="Times New Roman" w:hAnsi="Times New Roman"/>
                <w:color w:val="auto"/>
                <w:lang w:eastAsia="zh-CN"/>
              </w:rPr>
              <w:t>）</w:t>
            </w:r>
            <w:r>
              <w:rPr>
                <w:rFonts w:ascii="Times New Roman" w:hAnsi="Times New Roman"/>
                <w:color w:val="auto"/>
              </w:rPr>
              <w:t>，福鼎市202</w:t>
            </w:r>
            <w:r>
              <w:rPr>
                <w:rFonts w:hint="eastAsia" w:ascii="Times New Roman" w:hAnsi="Times New Roman"/>
                <w:color w:val="auto"/>
                <w:lang w:val="en-US" w:eastAsia="zh-CN"/>
              </w:rPr>
              <w:t>1</w:t>
            </w:r>
            <w:r>
              <w:rPr>
                <w:rFonts w:ascii="Times New Roman" w:hAnsi="Times New Roman"/>
                <w:color w:val="auto"/>
              </w:rPr>
              <w:t>年空气环境中SO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2</w:t>
            </w:r>
            <w:r>
              <w:rPr>
                <w:rFonts w:ascii="Times New Roman" w:hAnsi="Times New Roman"/>
                <w:color w:val="auto"/>
              </w:rPr>
              <w:t>、PM</w:t>
            </w:r>
            <w:r>
              <w:rPr>
                <w:rFonts w:ascii="Times New Roman" w:hAnsi="Times New Roman"/>
                <w:color w:val="auto"/>
                <w:vertAlign w:val="subscript"/>
              </w:rPr>
              <w:t>10</w:t>
            </w:r>
            <w:r>
              <w:rPr>
                <w:rFonts w:ascii="Times New Roman" w:hAnsi="Times New Roman"/>
                <w:color w:val="auto"/>
              </w:rPr>
              <w:t>和PM</w:t>
            </w:r>
            <w:r>
              <w:rPr>
                <w:rFonts w:ascii="Times New Roman" w:hAnsi="Times New Roman"/>
                <w:color w:val="auto"/>
                <w:vertAlign w:val="subscript"/>
              </w:rPr>
              <w:t>2.5</w:t>
            </w:r>
            <w:r>
              <w:rPr>
                <w:rFonts w:ascii="Times New Roman" w:hAnsi="Times New Roman"/>
                <w:color w:val="auto"/>
              </w:rPr>
              <w:t>均未超过国家二级标准，CO日均值第95百分数和O</w:t>
            </w:r>
            <w:r>
              <w:rPr>
                <w:rFonts w:ascii="Times New Roman" w:hAnsi="Times New Roman"/>
                <w:color w:val="auto"/>
                <w:vertAlign w:val="subscript"/>
              </w:rPr>
              <w:t>3</w:t>
            </w:r>
            <w:r>
              <w:rPr>
                <w:rFonts w:ascii="Times New Roman" w:hAnsi="Times New Roman"/>
                <w:color w:val="auto"/>
              </w:rPr>
              <w:t>最大8小时值第90百分数未超过国家二级标准，福鼎市环境空气质量属于达标区。</w:t>
            </w:r>
          </w:p>
          <w:p>
            <w:pPr>
              <w:pStyle w:val="13"/>
              <w:rPr>
                <w:color w:val="auto"/>
                <w:sz w:val="21"/>
              </w:rPr>
            </w:pPr>
            <w:r>
              <w:rPr>
                <w:color w:val="auto"/>
              </w:rPr>
              <w:t>表3.1-2福鼎市202</w:t>
            </w:r>
            <w:r>
              <w:rPr>
                <w:rFonts w:hint="eastAsia"/>
                <w:color w:val="auto"/>
                <w:lang w:val="en-US" w:eastAsia="zh-CN"/>
              </w:rPr>
              <w:t>1</w:t>
            </w:r>
            <w:r>
              <w:rPr>
                <w:color w:val="auto"/>
              </w:rPr>
              <w:t>年环境空气质量统计</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498"/>
              <w:gridCol w:w="971"/>
              <w:gridCol w:w="1040"/>
              <w:gridCol w:w="1040"/>
              <w:gridCol w:w="1051"/>
              <w:gridCol w:w="1153"/>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12" w:space="0"/>
                    <w:left w:val="single" w:color="auto" w:sz="12" w:space="0"/>
                    <w:bottom w:val="single" w:color="auto" w:sz="4" w:space="0"/>
                    <w:right w:val="single" w:color="auto" w:sz="4" w:space="0"/>
                  </w:tcBorders>
                  <w:noWrap w:val="0"/>
                  <w:vAlign w:val="center"/>
                </w:tcPr>
                <w:p>
                  <w:pPr>
                    <w:pStyle w:val="15"/>
                    <w:rPr>
                      <w:color w:val="auto"/>
                    </w:rPr>
                  </w:pPr>
                  <w:r>
                    <w:rPr>
                      <w:color w:val="auto"/>
                    </w:rPr>
                    <w:t>时间</w:t>
                  </w:r>
                </w:p>
              </w:tc>
              <w:tc>
                <w:tcPr>
                  <w:tcW w:w="620"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SO</w:t>
                  </w:r>
                  <w:r>
                    <w:rPr>
                      <w:color w:val="auto"/>
                      <w:vertAlign w:val="subscript"/>
                    </w:rPr>
                    <w:t>2</w:t>
                  </w:r>
                </w:p>
                <w:p>
                  <w:pPr>
                    <w:pStyle w:val="15"/>
                    <w:rPr>
                      <w:color w:val="auto"/>
                    </w:rPr>
                  </w:pPr>
                  <w:r>
                    <w:rPr>
                      <w:color w:val="auto"/>
                    </w:rPr>
                    <w:t>mg/m³</w:t>
                  </w:r>
                </w:p>
              </w:tc>
              <w:tc>
                <w:tcPr>
                  <w:tcW w:w="664"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NO</w:t>
                  </w:r>
                  <w:r>
                    <w:rPr>
                      <w:color w:val="auto"/>
                      <w:vertAlign w:val="subscript"/>
                    </w:rPr>
                    <w:t>2</w:t>
                  </w:r>
                </w:p>
                <w:p>
                  <w:pPr>
                    <w:pStyle w:val="15"/>
                    <w:rPr>
                      <w:color w:val="auto"/>
                    </w:rPr>
                  </w:pPr>
                  <w:r>
                    <w:rPr>
                      <w:color w:val="auto"/>
                    </w:rPr>
                    <w:t>mg/m³</w:t>
                  </w:r>
                </w:p>
              </w:tc>
              <w:tc>
                <w:tcPr>
                  <w:tcW w:w="664"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PM</w:t>
                  </w:r>
                  <w:r>
                    <w:rPr>
                      <w:color w:val="auto"/>
                      <w:vertAlign w:val="subscript"/>
                    </w:rPr>
                    <w:t>10</w:t>
                  </w:r>
                </w:p>
                <w:p>
                  <w:pPr>
                    <w:pStyle w:val="15"/>
                    <w:rPr>
                      <w:color w:val="auto"/>
                    </w:rPr>
                  </w:pPr>
                  <w:r>
                    <w:rPr>
                      <w:color w:val="auto"/>
                    </w:rPr>
                    <w:t>mg/m³</w:t>
                  </w:r>
                </w:p>
              </w:tc>
              <w:tc>
                <w:tcPr>
                  <w:tcW w:w="671"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PM</w:t>
                  </w:r>
                  <w:r>
                    <w:rPr>
                      <w:color w:val="auto"/>
                      <w:vertAlign w:val="subscript"/>
                    </w:rPr>
                    <w:t>2.5</w:t>
                  </w:r>
                </w:p>
                <w:p>
                  <w:pPr>
                    <w:pStyle w:val="15"/>
                    <w:rPr>
                      <w:color w:val="auto"/>
                    </w:rPr>
                  </w:pPr>
                  <w:r>
                    <w:rPr>
                      <w:color w:val="auto"/>
                    </w:rPr>
                    <w:t>mg/m³</w:t>
                  </w:r>
                </w:p>
              </w:tc>
              <w:tc>
                <w:tcPr>
                  <w:tcW w:w="736"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CO</w:t>
                  </w:r>
                </w:p>
                <w:p>
                  <w:pPr>
                    <w:pStyle w:val="15"/>
                    <w:rPr>
                      <w:color w:val="auto"/>
                    </w:rPr>
                  </w:pPr>
                  <w:r>
                    <w:rPr>
                      <w:color w:val="auto"/>
                    </w:rPr>
                    <w:t>mg/m³</w:t>
                  </w:r>
                </w:p>
              </w:tc>
              <w:tc>
                <w:tcPr>
                  <w:tcW w:w="688" w:type="pct"/>
                  <w:tcBorders>
                    <w:top w:val="single" w:color="auto" w:sz="12" w:space="0"/>
                    <w:left w:val="nil"/>
                    <w:bottom w:val="single" w:color="auto" w:sz="4" w:space="0"/>
                    <w:right w:val="single" w:color="auto" w:sz="12" w:space="0"/>
                  </w:tcBorders>
                  <w:noWrap w:val="0"/>
                  <w:vAlign w:val="center"/>
                </w:tcPr>
                <w:p>
                  <w:pPr>
                    <w:pStyle w:val="15"/>
                    <w:rPr>
                      <w:color w:val="auto"/>
                    </w:rPr>
                  </w:pPr>
                  <w:r>
                    <w:rPr>
                      <w:color w:val="auto"/>
                    </w:rPr>
                    <w:t>O</w:t>
                  </w:r>
                  <w:r>
                    <w:rPr>
                      <w:color w:val="auto"/>
                      <w:vertAlign w:val="subscript"/>
                    </w:rPr>
                    <w:t>3</w:t>
                  </w:r>
                </w:p>
                <w:p>
                  <w:pPr>
                    <w:pStyle w:val="15"/>
                    <w:rPr>
                      <w:color w:val="auto"/>
                    </w:rPr>
                  </w:pPr>
                  <w:r>
                    <w:rPr>
                      <w:color w:val="auto"/>
                    </w:rPr>
                    <w:t>mg/m³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福鼎市</w:t>
                  </w:r>
                </w:p>
              </w:tc>
              <w:tc>
                <w:tcPr>
                  <w:tcW w:w="620"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sz w:val="24"/>
                      <w:szCs w:val="24"/>
                      <w:lang w:val="en-US" w:eastAsia="zh-CN"/>
                    </w:rPr>
                  </w:pPr>
                  <w:r>
                    <w:rPr>
                      <w:color w:val="auto"/>
                    </w:rPr>
                    <w:t>0.0</w:t>
                  </w:r>
                  <w:r>
                    <w:rPr>
                      <w:rFonts w:hint="eastAsia"/>
                      <w:color w:val="auto"/>
                      <w:lang w:val="en-US" w:eastAsia="zh-CN"/>
                    </w:rPr>
                    <w:t>07</w:t>
                  </w:r>
                </w:p>
              </w:tc>
              <w:tc>
                <w:tcPr>
                  <w:tcW w:w="664" w:type="pct"/>
                  <w:tcBorders>
                    <w:top w:val="single" w:color="auto" w:sz="4" w:space="0"/>
                    <w:left w:val="nil"/>
                    <w:bottom w:val="single" w:color="auto" w:sz="4" w:space="0"/>
                    <w:right w:val="single" w:color="auto" w:sz="4" w:space="0"/>
                  </w:tcBorders>
                  <w:noWrap w:val="0"/>
                  <w:vAlign w:val="center"/>
                </w:tcPr>
                <w:p>
                  <w:pPr>
                    <w:pStyle w:val="15"/>
                    <w:rPr>
                      <w:rFonts w:hint="eastAsia" w:eastAsia="宋体"/>
                      <w:color w:val="auto"/>
                      <w:lang w:val="en-US" w:eastAsia="zh-CN"/>
                    </w:rPr>
                  </w:pPr>
                  <w:r>
                    <w:rPr>
                      <w:color w:val="auto"/>
                    </w:rPr>
                    <w:t>0.00</w:t>
                  </w:r>
                  <w:r>
                    <w:rPr>
                      <w:rFonts w:hint="eastAsia"/>
                      <w:color w:val="auto"/>
                      <w:lang w:val="en-US" w:eastAsia="zh-CN"/>
                    </w:rPr>
                    <w:t>6</w:t>
                  </w:r>
                </w:p>
              </w:tc>
              <w:tc>
                <w:tcPr>
                  <w:tcW w:w="664"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0.031</w:t>
                  </w:r>
                </w:p>
              </w:tc>
              <w:tc>
                <w:tcPr>
                  <w:tcW w:w="671" w:type="pct"/>
                  <w:tcBorders>
                    <w:top w:val="single" w:color="auto" w:sz="4" w:space="0"/>
                    <w:left w:val="nil"/>
                    <w:bottom w:val="single" w:color="auto" w:sz="4" w:space="0"/>
                    <w:right w:val="single" w:color="auto" w:sz="4" w:space="0"/>
                  </w:tcBorders>
                  <w:noWrap w:val="0"/>
                  <w:vAlign w:val="center"/>
                </w:tcPr>
                <w:p>
                  <w:pPr>
                    <w:pStyle w:val="15"/>
                    <w:rPr>
                      <w:rFonts w:hint="eastAsia" w:eastAsia="宋体"/>
                      <w:color w:val="auto"/>
                      <w:lang w:val="en-US" w:eastAsia="zh-CN"/>
                    </w:rPr>
                  </w:pPr>
                  <w:r>
                    <w:rPr>
                      <w:color w:val="auto"/>
                    </w:rPr>
                    <w:t>0.01</w:t>
                  </w:r>
                  <w:r>
                    <w:rPr>
                      <w:rFonts w:hint="eastAsia"/>
                      <w:color w:val="auto"/>
                      <w:lang w:val="en-US" w:eastAsia="zh-CN"/>
                    </w:rPr>
                    <w:t>3</w:t>
                  </w:r>
                </w:p>
              </w:tc>
              <w:tc>
                <w:tcPr>
                  <w:tcW w:w="736"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1.4</w:t>
                  </w:r>
                </w:p>
              </w:tc>
              <w:tc>
                <w:tcPr>
                  <w:tcW w:w="688" w:type="pct"/>
                  <w:tcBorders>
                    <w:top w:val="single" w:color="auto" w:sz="4" w:space="0"/>
                    <w:left w:val="nil"/>
                    <w:bottom w:val="single" w:color="auto" w:sz="4" w:space="0"/>
                    <w:right w:val="single" w:color="auto" w:sz="12" w:space="0"/>
                  </w:tcBorders>
                  <w:noWrap w:val="0"/>
                  <w:vAlign w:val="center"/>
                </w:tcPr>
                <w:p>
                  <w:pPr>
                    <w:pStyle w:val="15"/>
                    <w:rPr>
                      <w:rFonts w:hint="default" w:eastAsia="宋体"/>
                      <w:color w:val="auto"/>
                      <w:lang w:val="en-US" w:eastAsia="zh-CN"/>
                    </w:rPr>
                  </w:pPr>
                  <w:r>
                    <w:rPr>
                      <w:color w:val="auto"/>
                    </w:rPr>
                    <w:t>0.0</w:t>
                  </w:r>
                  <w:r>
                    <w:rPr>
                      <w:rFonts w:hint="eastAsia"/>
                      <w:color w:val="auto"/>
                      <w:lang w:val="en-US" w:eastAsia="zh-CN"/>
                    </w:rPr>
                    <w:t>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国家二级标准</w:t>
                  </w:r>
                </w:p>
              </w:tc>
              <w:tc>
                <w:tcPr>
                  <w:tcW w:w="620"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0.06</w:t>
                  </w:r>
                </w:p>
              </w:tc>
              <w:tc>
                <w:tcPr>
                  <w:tcW w:w="664"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0.04</w:t>
                  </w:r>
                </w:p>
              </w:tc>
              <w:tc>
                <w:tcPr>
                  <w:tcW w:w="664"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0.07</w:t>
                  </w:r>
                </w:p>
              </w:tc>
              <w:tc>
                <w:tcPr>
                  <w:tcW w:w="671"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0.035</w:t>
                  </w:r>
                </w:p>
              </w:tc>
              <w:tc>
                <w:tcPr>
                  <w:tcW w:w="736"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4</w:t>
                  </w:r>
                </w:p>
              </w:tc>
              <w:tc>
                <w:tcPr>
                  <w:tcW w:w="688" w:type="pct"/>
                  <w:tcBorders>
                    <w:top w:val="single" w:color="auto" w:sz="4" w:space="0"/>
                    <w:left w:val="nil"/>
                    <w:bottom w:val="single" w:color="auto" w:sz="4" w:space="0"/>
                    <w:right w:val="single" w:color="auto" w:sz="12" w:space="0"/>
                  </w:tcBorders>
                  <w:noWrap w:val="0"/>
                  <w:vAlign w:val="center"/>
                </w:tcPr>
                <w:p>
                  <w:pPr>
                    <w:pStyle w:val="15"/>
                    <w:rPr>
                      <w:color w:val="auto"/>
                    </w:rPr>
                  </w:pPr>
                  <w:r>
                    <w:rPr>
                      <w:color w:val="auto"/>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957"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达标情况</w:t>
                  </w:r>
                </w:p>
              </w:tc>
              <w:tc>
                <w:tcPr>
                  <w:tcW w:w="4043" w:type="pct"/>
                  <w:gridSpan w:val="6"/>
                  <w:tcBorders>
                    <w:top w:val="single" w:color="auto" w:sz="4" w:space="0"/>
                    <w:left w:val="nil"/>
                    <w:bottom w:val="single" w:color="auto" w:sz="4" w:space="0"/>
                    <w:right w:val="single" w:color="auto" w:sz="12" w:space="0"/>
                  </w:tcBorders>
                  <w:noWrap w:val="0"/>
                  <w:vAlign w:val="center"/>
                </w:tcPr>
                <w:p>
                  <w:pPr>
                    <w:pStyle w:val="15"/>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5000" w:type="pct"/>
                  <w:gridSpan w:val="7"/>
                  <w:tcBorders>
                    <w:top w:val="single" w:color="auto" w:sz="4" w:space="0"/>
                    <w:left w:val="single" w:color="auto" w:sz="12" w:space="0"/>
                    <w:bottom w:val="single" w:color="auto" w:sz="12" w:space="0"/>
                    <w:right w:val="single" w:color="auto" w:sz="12" w:space="0"/>
                  </w:tcBorders>
                  <w:noWrap w:val="0"/>
                  <w:vAlign w:val="center"/>
                </w:tcPr>
                <w:p>
                  <w:pPr>
                    <w:pStyle w:val="15"/>
                    <w:ind w:firstLine="480"/>
                    <w:jc w:val="both"/>
                    <w:rPr>
                      <w:color w:val="auto"/>
                    </w:rPr>
                  </w:pPr>
                  <w:r>
                    <w:rPr>
                      <w:color w:val="auto"/>
                    </w:rPr>
                    <w:t>注：CO为日均值第95百分位数，O3为日最大8小时值第90百分位数。</w:t>
                  </w:r>
                </w:p>
              </w:tc>
            </w:tr>
          </w:tbl>
          <w:p>
            <w:pPr>
              <w:pStyle w:val="17"/>
              <w:rPr>
                <w:color w:val="auto"/>
              </w:rPr>
            </w:pPr>
            <w:r>
              <w:rPr>
                <w:color w:val="auto"/>
              </w:rPr>
              <w:t>3.1.3声环境质量现状</w:t>
            </w:r>
          </w:p>
          <w:p>
            <w:pPr>
              <w:pStyle w:val="16"/>
              <w:ind w:firstLine="480"/>
              <w:rPr>
                <w:rFonts w:ascii="Times New Roman" w:hAnsi="Times New Roman"/>
                <w:color w:val="auto"/>
              </w:rPr>
            </w:pPr>
            <w:r>
              <w:rPr>
                <w:rFonts w:ascii="Times New Roman" w:hAnsi="Times New Roman"/>
                <w:color w:val="auto"/>
              </w:rPr>
              <w:t>为了解本项目的环境噪声现状，建设单位委托福建晟立检测技术有限公司于2022年</w:t>
            </w:r>
            <w:r>
              <w:rPr>
                <w:rFonts w:hint="eastAsia" w:ascii="Times New Roman" w:hAnsi="Times New Roman"/>
                <w:color w:val="auto"/>
                <w:lang w:val="en-US" w:eastAsia="zh-CN"/>
              </w:rPr>
              <w:t>11</w:t>
            </w:r>
            <w:r>
              <w:rPr>
                <w:rFonts w:ascii="Times New Roman" w:hAnsi="Times New Roman"/>
                <w:color w:val="auto"/>
              </w:rPr>
              <w:t>月</w:t>
            </w:r>
            <w:r>
              <w:rPr>
                <w:rFonts w:hint="eastAsia" w:ascii="Times New Roman" w:hAnsi="Times New Roman"/>
                <w:color w:val="auto"/>
                <w:lang w:val="en-US" w:eastAsia="zh-CN"/>
              </w:rPr>
              <w:t>29</w:t>
            </w:r>
            <w:r>
              <w:rPr>
                <w:rFonts w:ascii="Times New Roman" w:hAnsi="Times New Roman"/>
                <w:color w:val="auto"/>
              </w:rPr>
              <w:t>日</w:t>
            </w:r>
            <w:r>
              <w:rPr>
                <w:rFonts w:hint="eastAsia" w:ascii="Times New Roman" w:hAnsi="Times New Roman"/>
                <w:color w:val="auto"/>
                <w:lang w:val="en-US" w:eastAsia="zh-CN"/>
              </w:rPr>
              <w:t>对厂界和</w:t>
            </w:r>
            <w:r>
              <w:rPr>
                <w:rFonts w:ascii="Times New Roman" w:hAnsi="Times New Roman"/>
                <w:color w:val="auto"/>
              </w:rPr>
              <w:t>50m范围内敏感目标进行调查，监测结果见表3.1-3，监测点位见检测报告。</w:t>
            </w:r>
          </w:p>
          <w:p>
            <w:pPr>
              <w:spacing w:line="240" w:lineRule="auto"/>
              <w:ind w:firstLine="0" w:firstLineChars="0"/>
              <w:jc w:val="center"/>
              <w:rPr>
                <w:rFonts w:eastAsia="黑体"/>
                <w:color w:val="auto"/>
                <w:szCs w:val="24"/>
              </w:rPr>
            </w:pPr>
            <w:r>
              <w:rPr>
                <w:rFonts w:eastAsia="黑体"/>
                <w:color w:val="auto"/>
                <w:szCs w:val="24"/>
              </w:rPr>
              <w:t>表3.1-3  项目噪声监测结果  单位：</w:t>
            </w:r>
            <w:r>
              <w:rPr>
                <w:rFonts w:eastAsia="仿宋_GB2312"/>
                <w:color w:val="auto"/>
                <w:szCs w:val="24"/>
              </w:rPr>
              <w:t>LAeq</w:t>
            </w:r>
            <w:r>
              <w:rPr>
                <w:rFonts w:eastAsia="黑体"/>
                <w:color w:val="auto"/>
                <w:szCs w:val="24"/>
              </w:rPr>
              <w:t>（</w:t>
            </w:r>
            <w:r>
              <w:rPr>
                <w:rFonts w:eastAsia="仿宋_GB2312"/>
                <w:color w:val="auto"/>
                <w:szCs w:val="24"/>
              </w:rPr>
              <w:t>dB</w:t>
            </w:r>
            <w:r>
              <w:rPr>
                <w:rFonts w:eastAsia="黑体"/>
                <w:color w:val="auto"/>
                <w:szCs w:val="24"/>
              </w:rPr>
              <w:t>）</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113"/>
              <w:gridCol w:w="1778"/>
              <w:gridCol w:w="2442"/>
              <w:gridCol w:w="1250"/>
              <w:gridCol w:w="124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vMerge w:val="restart"/>
                  <w:tcBorders>
                    <w:tl2br w:val="nil"/>
                    <w:tr2bl w:val="nil"/>
                  </w:tcBorders>
                  <w:noWrap w:val="0"/>
                  <w:vAlign w:val="center"/>
                </w:tcPr>
                <w:p>
                  <w:pPr>
                    <w:pStyle w:val="15"/>
                    <w:rPr>
                      <w:color w:val="auto"/>
                    </w:rPr>
                  </w:pPr>
                  <w:r>
                    <w:rPr>
                      <w:color w:val="auto"/>
                    </w:rPr>
                    <w:t>测点编号</w:t>
                  </w:r>
                </w:p>
              </w:tc>
              <w:tc>
                <w:tcPr>
                  <w:tcW w:w="1135" w:type="pct"/>
                  <w:vMerge w:val="restart"/>
                  <w:tcBorders>
                    <w:tl2br w:val="nil"/>
                    <w:tr2bl w:val="nil"/>
                  </w:tcBorders>
                  <w:noWrap w:val="0"/>
                  <w:vAlign w:val="center"/>
                </w:tcPr>
                <w:p>
                  <w:pPr>
                    <w:pStyle w:val="15"/>
                    <w:rPr>
                      <w:color w:val="auto"/>
                    </w:rPr>
                  </w:pPr>
                  <w:r>
                    <w:rPr>
                      <w:color w:val="auto"/>
                    </w:rPr>
                    <w:t>监测时间</w:t>
                  </w:r>
                </w:p>
              </w:tc>
              <w:tc>
                <w:tcPr>
                  <w:tcW w:w="1559" w:type="pct"/>
                  <w:vMerge w:val="restart"/>
                  <w:tcBorders>
                    <w:tl2br w:val="nil"/>
                    <w:tr2bl w:val="nil"/>
                  </w:tcBorders>
                  <w:noWrap w:val="0"/>
                  <w:vAlign w:val="center"/>
                </w:tcPr>
                <w:p>
                  <w:pPr>
                    <w:pStyle w:val="15"/>
                    <w:rPr>
                      <w:color w:val="auto"/>
                    </w:rPr>
                  </w:pPr>
                  <w:r>
                    <w:rPr>
                      <w:color w:val="auto"/>
                    </w:rPr>
                    <w:t>测点位置</w:t>
                  </w:r>
                </w:p>
              </w:tc>
              <w:tc>
                <w:tcPr>
                  <w:tcW w:w="1595" w:type="pct"/>
                  <w:gridSpan w:val="2"/>
                  <w:tcBorders>
                    <w:tl2br w:val="nil"/>
                    <w:tr2bl w:val="nil"/>
                  </w:tcBorders>
                  <w:noWrap w:val="0"/>
                  <w:vAlign w:val="center"/>
                </w:tcPr>
                <w:p>
                  <w:pPr>
                    <w:pStyle w:val="15"/>
                    <w:rPr>
                      <w:color w:val="auto"/>
                    </w:rPr>
                  </w:pPr>
                  <w:r>
                    <w:rPr>
                      <w:color w:val="auto"/>
                    </w:rPr>
                    <w:t>监测结果</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0" w:type="auto"/>
                  <w:vMerge w:val="continue"/>
                  <w:tcBorders>
                    <w:tl2br w:val="nil"/>
                    <w:tr2bl w:val="nil"/>
                  </w:tcBorders>
                  <w:noWrap w:val="0"/>
                  <w:vAlign w:val="center"/>
                </w:tcPr>
                <w:p>
                  <w:pPr>
                    <w:pStyle w:val="15"/>
                    <w:rPr>
                      <w:color w:val="auto"/>
                    </w:rPr>
                  </w:pPr>
                </w:p>
              </w:tc>
              <w:tc>
                <w:tcPr>
                  <w:tcW w:w="0" w:type="auto"/>
                  <w:vMerge w:val="continue"/>
                  <w:tcBorders>
                    <w:tl2br w:val="nil"/>
                    <w:tr2bl w:val="nil"/>
                  </w:tcBorders>
                  <w:noWrap w:val="0"/>
                  <w:vAlign w:val="center"/>
                </w:tcPr>
                <w:p>
                  <w:pPr>
                    <w:pStyle w:val="15"/>
                    <w:rPr>
                      <w:color w:val="auto"/>
                    </w:rPr>
                  </w:pPr>
                </w:p>
              </w:tc>
              <w:tc>
                <w:tcPr>
                  <w:tcW w:w="0" w:type="auto"/>
                  <w:vMerge w:val="continue"/>
                  <w:tcBorders>
                    <w:tl2br w:val="nil"/>
                    <w:tr2bl w:val="nil"/>
                  </w:tcBorders>
                  <w:noWrap w:val="0"/>
                  <w:vAlign w:val="center"/>
                </w:tcPr>
                <w:p>
                  <w:pPr>
                    <w:pStyle w:val="15"/>
                    <w:rPr>
                      <w:color w:val="auto"/>
                    </w:rPr>
                  </w:pPr>
                </w:p>
              </w:tc>
              <w:tc>
                <w:tcPr>
                  <w:tcW w:w="798" w:type="pct"/>
                  <w:tcBorders>
                    <w:tl2br w:val="nil"/>
                    <w:tr2bl w:val="nil"/>
                  </w:tcBorders>
                  <w:noWrap w:val="0"/>
                  <w:vAlign w:val="center"/>
                </w:tcPr>
                <w:p>
                  <w:pPr>
                    <w:pStyle w:val="15"/>
                    <w:rPr>
                      <w:color w:val="auto"/>
                    </w:rPr>
                  </w:pPr>
                  <w:r>
                    <w:rPr>
                      <w:color w:val="auto"/>
                    </w:rPr>
                    <w:t>昼间</w:t>
                  </w:r>
                </w:p>
              </w:tc>
              <w:tc>
                <w:tcPr>
                  <w:tcW w:w="797" w:type="pct"/>
                  <w:tcBorders>
                    <w:tl2br w:val="nil"/>
                    <w:tr2bl w:val="nil"/>
                  </w:tcBorders>
                  <w:noWrap w:val="0"/>
                  <w:vAlign w:val="center"/>
                </w:tcPr>
                <w:p>
                  <w:pPr>
                    <w:pStyle w:val="15"/>
                    <w:rPr>
                      <w:color w:val="auto"/>
                    </w:rPr>
                  </w:pPr>
                  <w:r>
                    <w:rPr>
                      <w:color w:val="auto"/>
                    </w:rPr>
                    <w:t>夜间</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tcBorders>
                    <w:tl2br w:val="nil"/>
                    <w:tr2bl w:val="nil"/>
                  </w:tcBorders>
                  <w:noWrap w:val="0"/>
                  <w:vAlign w:val="center"/>
                </w:tcPr>
                <w:p>
                  <w:pPr>
                    <w:pStyle w:val="15"/>
                    <w:rPr>
                      <w:color w:val="auto"/>
                    </w:rPr>
                  </w:pPr>
                  <w:r>
                    <w:rPr>
                      <w:color w:val="auto"/>
                    </w:rPr>
                    <w:t>1#</w:t>
                  </w:r>
                </w:p>
              </w:tc>
              <w:tc>
                <w:tcPr>
                  <w:tcW w:w="1135" w:type="pct"/>
                  <w:tcBorders>
                    <w:tl2br w:val="nil"/>
                    <w:tr2bl w:val="nil"/>
                  </w:tcBorders>
                  <w:noWrap w:val="0"/>
                  <w:vAlign w:val="center"/>
                </w:tcPr>
                <w:p>
                  <w:pPr>
                    <w:pStyle w:val="15"/>
                    <w:rPr>
                      <w:rFonts w:hint="default" w:eastAsia="宋体"/>
                      <w:color w:val="auto"/>
                      <w:lang w:val="en-US" w:eastAsia="zh-CN"/>
                    </w:rPr>
                  </w:pPr>
                  <w:r>
                    <w:rPr>
                      <w:color w:val="auto"/>
                    </w:rPr>
                    <w:t>2022.</w:t>
                  </w:r>
                  <w:r>
                    <w:rPr>
                      <w:rFonts w:hint="eastAsia"/>
                      <w:color w:val="auto"/>
                      <w:lang w:val="en-US" w:eastAsia="zh-CN"/>
                    </w:rPr>
                    <w:t>11.29</w:t>
                  </w:r>
                </w:p>
              </w:tc>
              <w:tc>
                <w:tcPr>
                  <w:tcW w:w="1559" w:type="pct"/>
                  <w:tcBorders>
                    <w:tl2br w:val="nil"/>
                    <w:tr2bl w:val="nil"/>
                  </w:tcBorders>
                  <w:noWrap w:val="0"/>
                  <w:vAlign w:val="center"/>
                </w:tcPr>
                <w:p>
                  <w:pPr>
                    <w:pStyle w:val="15"/>
                    <w:rPr>
                      <w:color w:val="auto"/>
                    </w:rPr>
                  </w:pPr>
                  <w:r>
                    <w:rPr>
                      <w:rFonts w:hint="eastAsia"/>
                      <w:color w:val="auto"/>
                      <w:lang w:val="en-US" w:eastAsia="zh-CN"/>
                    </w:rPr>
                    <w:t>南乾</w:t>
                  </w:r>
                  <w:r>
                    <w:rPr>
                      <w:color w:val="auto"/>
                    </w:rPr>
                    <w:t>村</w:t>
                  </w:r>
                </w:p>
              </w:tc>
              <w:tc>
                <w:tcPr>
                  <w:tcW w:w="798" w:type="pct"/>
                  <w:tcBorders>
                    <w:tl2br w:val="nil"/>
                    <w:tr2bl w:val="nil"/>
                  </w:tcBorders>
                  <w:noWrap w:val="0"/>
                  <w:vAlign w:val="center"/>
                </w:tcPr>
                <w:p>
                  <w:pPr>
                    <w:pStyle w:val="15"/>
                    <w:rPr>
                      <w:rFonts w:hint="default" w:eastAsia="宋体"/>
                      <w:color w:val="auto"/>
                      <w:szCs w:val="24"/>
                      <w:lang w:val="en-US" w:eastAsia="zh-CN"/>
                    </w:rPr>
                  </w:pPr>
                  <w:r>
                    <w:rPr>
                      <w:rFonts w:hint="eastAsia"/>
                      <w:color w:val="auto"/>
                      <w:szCs w:val="24"/>
                      <w:lang w:val="en-US" w:eastAsia="zh-CN"/>
                    </w:rPr>
                    <w:t>45.5</w:t>
                  </w:r>
                </w:p>
              </w:tc>
              <w:tc>
                <w:tcPr>
                  <w:tcW w:w="797"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42.1</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tcBorders>
                    <w:tl2br w:val="nil"/>
                    <w:tr2bl w:val="nil"/>
                  </w:tcBorders>
                  <w:noWrap w:val="0"/>
                  <w:vAlign w:val="center"/>
                </w:tcPr>
                <w:p>
                  <w:pPr>
                    <w:pStyle w:val="15"/>
                    <w:rPr>
                      <w:color w:val="auto"/>
                    </w:rPr>
                  </w:pPr>
                  <w:r>
                    <w:rPr>
                      <w:rFonts w:hint="eastAsia"/>
                      <w:color w:val="auto"/>
                      <w:lang w:val="en-US" w:eastAsia="zh-CN"/>
                    </w:rPr>
                    <w:t>2</w:t>
                  </w:r>
                  <w:r>
                    <w:rPr>
                      <w:color w:val="auto"/>
                    </w:rPr>
                    <w:t>#</w:t>
                  </w:r>
                </w:p>
              </w:tc>
              <w:tc>
                <w:tcPr>
                  <w:tcW w:w="1135" w:type="pct"/>
                  <w:tcBorders>
                    <w:tl2br w:val="nil"/>
                    <w:tr2bl w:val="nil"/>
                  </w:tcBorders>
                  <w:noWrap w:val="0"/>
                  <w:vAlign w:val="center"/>
                </w:tcPr>
                <w:p>
                  <w:pPr>
                    <w:pStyle w:val="15"/>
                    <w:rPr>
                      <w:color w:val="auto"/>
                    </w:rPr>
                  </w:pPr>
                  <w:r>
                    <w:rPr>
                      <w:color w:val="auto"/>
                    </w:rPr>
                    <w:t>2022.</w:t>
                  </w:r>
                  <w:r>
                    <w:rPr>
                      <w:rFonts w:hint="eastAsia"/>
                      <w:color w:val="auto"/>
                      <w:lang w:val="en-US" w:eastAsia="zh-CN"/>
                    </w:rPr>
                    <w:t>11.29</w:t>
                  </w:r>
                </w:p>
              </w:tc>
              <w:tc>
                <w:tcPr>
                  <w:tcW w:w="1559"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项目北侧</w:t>
                  </w:r>
                </w:p>
              </w:tc>
              <w:tc>
                <w:tcPr>
                  <w:tcW w:w="798" w:type="pct"/>
                  <w:tcBorders>
                    <w:tl2br w:val="nil"/>
                    <w:tr2bl w:val="nil"/>
                  </w:tcBorders>
                  <w:noWrap w:val="0"/>
                  <w:vAlign w:val="center"/>
                </w:tcPr>
                <w:p>
                  <w:pPr>
                    <w:pStyle w:val="15"/>
                    <w:rPr>
                      <w:rFonts w:hint="default" w:eastAsia="宋体"/>
                      <w:color w:val="auto"/>
                      <w:szCs w:val="24"/>
                      <w:lang w:val="en-US" w:eastAsia="zh-CN"/>
                    </w:rPr>
                  </w:pPr>
                  <w:r>
                    <w:rPr>
                      <w:rFonts w:hint="eastAsia"/>
                      <w:color w:val="auto"/>
                      <w:szCs w:val="24"/>
                      <w:lang w:val="en-US" w:eastAsia="zh-CN"/>
                    </w:rPr>
                    <w:t>40.5</w:t>
                  </w:r>
                </w:p>
              </w:tc>
              <w:tc>
                <w:tcPr>
                  <w:tcW w:w="797"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39.7</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tcBorders>
                    <w:tl2br w:val="nil"/>
                    <w:tr2bl w:val="nil"/>
                  </w:tcBorders>
                  <w:noWrap w:val="0"/>
                  <w:vAlign w:val="center"/>
                </w:tcPr>
                <w:p>
                  <w:pPr>
                    <w:pStyle w:val="15"/>
                    <w:rPr>
                      <w:rFonts w:hint="default"/>
                      <w:color w:val="auto"/>
                      <w:lang w:val="en-US" w:eastAsia="zh-CN"/>
                    </w:rPr>
                  </w:pPr>
                  <w:r>
                    <w:rPr>
                      <w:rFonts w:hint="eastAsia"/>
                      <w:color w:val="auto"/>
                      <w:lang w:val="en-US" w:eastAsia="zh-CN"/>
                    </w:rPr>
                    <w:t>3#</w:t>
                  </w:r>
                </w:p>
              </w:tc>
              <w:tc>
                <w:tcPr>
                  <w:tcW w:w="1135" w:type="pct"/>
                  <w:tcBorders>
                    <w:tl2br w:val="nil"/>
                    <w:tr2bl w:val="nil"/>
                  </w:tcBorders>
                  <w:noWrap w:val="0"/>
                  <w:vAlign w:val="center"/>
                </w:tcPr>
                <w:p>
                  <w:pPr>
                    <w:pStyle w:val="15"/>
                    <w:rPr>
                      <w:color w:val="auto"/>
                    </w:rPr>
                  </w:pPr>
                  <w:r>
                    <w:rPr>
                      <w:color w:val="auto"/>
                    </w:rPr>
                    <w:t>2022.</w:t>
                  </w:r>
                  <w:r>
                    <w:rPr>
                      <w:rFonts w:hint="eastAsia"/>
                      <w:color w:val="auto"/>
                      <w:lang w:val="en-US" w:eastAsia="zh-CN"/>
                    </w:rPr>
                    <w:t>11.29</w:t>
                  </w:r>
                </w:p>
              </w:tc>
              <w:tc>
                <w:tcPr>
                  <w:tcW w:w="1559"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项目东侧</w:t>
                  </w:r>
                </w:p>
              </w:tc>
              <w:tc>
                <w:tcPr>
                  <w:tcW w:w="798" w:type="pct"/>
                  <w:tcBorders>
                    <w:tl2br w:val="nil"/>
                    <w:tr2bl w:val="nil"/>
                  </w:tcBorders>
                  <w:noWrap w:val="0"/>
                  <w:vAlign w:val="center"/>
                </w:tcPr>
                <w:p>
                  <w:pPr>
                    <w:pStyle w:val="15"/>
                    <w:rPr>
                      <w:rFonts w:hint="default" w:eastAsia="宋体"/>
                      <w:color w:val="auto"/>
                      <w:szCs w:val="24"/>
                      <w:lang w:val="en-US" w:eastAsia="zh-CN"/>
                    </w:rPr>
                  </w:pPr>
                  <w:r>
                    <w:rPr>
                      <w:rFonts w:hint="eastAsia"/>
                      <w:color w:val="auto"/>
                      <w:szCs w:val="24"/>
                      <w:lang w:val="en-US" w:eastAsia="zh-CN"/>
                    </w:rPr>
                    <w:t>49.5</w:t>
                  </w:r>
                </w:p>
              </w:tc>
              <w:tc>
                <w:tcPr>
                  <w:tcW w:w="797"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44.6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tcBorders>
                    <w:tl2br w:val="nil"/>
                    <w:tr2bl w:val="nil"/>
                  </w:tcBorders>
                  <w:noWrap w:val="0"/>
                  <w:vAlign w:val="center"/>
                </w:tcPr>
                <w:p>
                  <w:pPr>
                    <w:pStyle w:val="15"/>
                    <w:rPr>
                      <w:rFonts w:hint="default"/>
                      <w:color w:val="auto"/>
                      <w:lang w:val="en-US" w:eastAsia="zh-CN"/>
                    </w:rPr>
                  </w:pPr>
                  <w:r>
                    <w:rPr>
                      <w:rFonts w:hint="eastAsia"/>
                      <w:color w:val="auto"/>
                      <w:lang w:val="en-US" w:eastAsia="zh-CN"/>
                    </w:rPr>
                    <w:t>4#</w:t>
                  </w:r>
                </w:p>
              </w:tc>
              <w:tc>
                <w:tcPr>
                  <w:tcW w:w="1135" w:type="pct"/>
                  <w:tcBorders>
                    <w:tl2br w:val="nil"/>
                    <w:tr2bl w:val="nil"/>
                  </w:tcBorders>
                  <w:noWrap w:val="0"/>
                  <w:vAlign w:val="center"/>
                </w:tcPr>
                <w:p>
                  <w:pPr>
                    <w:pStyle w:val="15"/>
                    <w:rPr>
                      <w:color w:val="auto"/>
                    </w:rPr>
                  </w:pPr>
                  <w:r>
                    <w:rPr>
                      <w:color w:val="auto"/>
                    </w:rPr>
                    <w:t>2022.</w:t>
                  </w:r>
                  <w:r>
                    <w:rPr>
                      <w:rFonts w:hint="eastAsia"/>
                      <w:color w:val="auto"/>
                      <w:lang w:val="en-US" w:eastAsia="zh-CN"/>
                    </w:rPr>
                    <w:t>11.29</w:t>
                  </w:r>
                </w:p>
              </w:tc>
              <w:tc>
                <w:tcPr>
                  <w:tcW w:w="1559"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项目西侧</w:t>
                  </w:r>
                </w:p>
              </w:tc>
              <w:tc>
                <w:tcPr>
                  <w:tcW w:w="798" w:type="pct"/>
                  <w:tcBorders>
                    <w:tl2br w:val="nil"/>
                    <w:tr2bl w:val="nil"/>
                  </w:tcBorders>
                  <w:noWrap w:val="0"/>
                  <w:vAlign w:val="center"/>
                </w:tcPr>
                <w:p>
                  <w:pPr>
                    <w:pStyle w:val="15"/>
                    <w:rPr>
                      <w:rFonts w:hint="default" w:eastAsia="宋体"/>
                      <w:color w:val="auto"/>
                      <w:szCs w:val="24"/>
                      <w:lang w:val="en-US" w:eastAsia="zh-CN"/>
                    </w:rPr>
                  </w:pPr>
                  <w:r>
                    <w:rPr>
                      <w:rFonts w:hint="eastAsia"/>
                      <w:color w:val="auto"/>
                      <w:szCs w:val="24"/>
                      <w:lang w:val="en-US" w:eastAsia="zh-CN"/>
                    </w:rPr>
                    <w:t>40.2</w:t>
                  </w:r>
                </w:p>
              </w:tc>
              <w:tc>
                <w:tcPr>
                  <w:tcW w:w="797"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39.8</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83" w:hRule="atLeast"/>
                <w:jc w:val="center"/>
              </w:trPr>
              <w:tc>
                <w:tcPr>
                  <w:tcW w:w="711" w:type="pct"/>
                  <w:tcBorders>
                    <w:tl2br w:val="nil"/>
                    <w:tr2bl w:val="nil"/>
                  </w:tcBorders>
                  <w:noWrap w:val="0"/>
                  <w:vAlign w:val="center"/>
                </w:tcPr>
                <w:p>
                  <w:pPr>
                    <w:pStyle w:val="15"/>
                    <w:rPr>
                      <w:rFonts w:hint="default"/>
                      <w:color w:val="auto"/>
                      <w:lang w:val="en-US" w:eastAsia="zh-CN"/>
                    </w:rPr>
                  </w:pPr>
                  <w:r>
                    <w:rPr>
                      <w:rFonts w:hint="eastAsia"/>
                      <w:color w:val="auto"/>
                      <w:lang w:val="en-US" w:eastAsia="zh-CN"/>
                    </w:rPr>
                    <w:t>5#</w:t>
                  </w:r>
                </w:p>
              </w:tc>
              <w:tc>
                <w:tcPr>
                  <w:tcW w:w="1135" w:type="pct"/>
                  <w:tcBorders>
                    <w:tl2br w:val="nil"/>
                    <w:tr2bl w:val="nil"/>
                  </w:tcBorders>
                  <w:noWrap w:val="0"/>
                  <w:vAlign w:val="center"/>
                </w:tcPr>
                <w:p>
                  <w:pPr>
                    <w:pStyle w:val="15"/>
                    <w:rPr>
                      <w:color w:val="auto"/>
                    </w:rPr>
                  </w:pPr>
                  <w:r>
                    <w:rPr>
                      <w:color w:val="auto"/>
                    </w:rPr>
                    <w:t>2022.</w:t>
                  </w:r>
                  <w:r>
                    <w:rPr>
                      <w:rFonts w:hint="eastAsia"/>
                      <w:color w:val="auto"/>
                      <w:lang w:val="en-US" w:eastAsia="zh-CN"/>
                    </w:rPr>
                    <w:t>11.29</w:t>
                  </w:r>
                </w:p>
              </w:tc>
              <w:tc>
                <w:tcPr>
                  <w:tcW w:w="1559"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项目南侧</w:t>
                  </w:r>
                </w:p>
              </w:tc>
              <w:tc>
                <w:tcPr>
                  <w:tcW w:w="798" w:type="pct"/>
                  <w:tcBorders>
                    <w:tl2br w:val="nil"/>
                    <w:tr2bl w:val="nil"/>
                  </w:tcBorders>
                  <w:noWrap w:val="0"/>
                  <w:vAlign w:val="center"/>
                </w:tcPr>
                <w:p>
                  <w:pPr>
                    <w:pStyle w:val="15"/>
                    <w:rPr>
                      <w:rFonts w:hint="default" w:eastAsia="宋体"/>
                      <w:color w:val="auto"/>
                      <w:szCs w:val="24"/>
                      <w:lang w:val="en-US" w:eastAsia="zh-CN"/>
                    </w:rPr>
                  </w:pPr>
                  <w:r>
                    <w:rPr>
                      <w:rFonts w:hint="eastAsia"/>
                      <w:color w:val="auto"/>
                      <w:szCs w:val="24"/>
                      <w:lang w:val="en-US" w:eastAsia="zh-CN"/>
                    </w:rPr>
                    <w:t>45.9</w:t>
                  </w:r>
                </w:p>
              </w:tc>
              <w:tc>
                <w:tcPr>
                  <w:tcW w:w="797" w:type="pct"/>
                  <w:tcBorders>
                    <w:tl2br w:val="nil"/>
                    <w:tr2bl w:val="nil"/>
                  </w:tcBorders>
                  <w:noWrap w:val="0"/>
                  <w:vAlign w:val="center"/>
                </w:tcPr>
                <w:p>
                  <w:pPr>
                    <w:pStyle w:val="15"/>
                    <w:rPr>
                      <w:rFonts w:hint="default" w:eastAsia="宋体"/>
                      <w:color w:val="auto"/>
                      <w:lang w:val="en-US" w:eastAsia="zh-CN"/>
                    </w:rPr>
                  </w:pPr>
                  <w:r>
                    <w:rPr>
                      <w:rFonts w:hint="eastAsia"/>
                      <w:color w:val="auto"/>
                      <w:lang w:val="en-US" w:eastAsia="zh-CN"/>
                    </w:rPr>
                    <w:t>43.5</w:t>
                  </w:r>
                </w:p>
              </w:tc>
            </w:tr>
          </w:tbl>
          <w:p>
            <w:pPr>
              <w:pStyle w:val="16"/>
              <w:ind w:firstLine="480"/>
              <w:rPr>
                <w:rFonts w:ascii="Times New Roman" w:hAnsi="Times New Roman"/>
                <w:color w:val="auto"/>
              </w:rPr>
            </w:pPr>
            <w:r>
              <w:rPr>
                <w:rFonts w:ascii="Times New Roman" w:hAnsi="Times New Roman"/>
                <w:color w:val="auto"/>
              </w:rPr>
              <w:t>由表3.1-3监测结果可知：敏感目标噪声值可满足《声环境质量标准》（GB3096-2008）中的2类。</w:t>
            </w:r>
          </w:p>
          <w:p>
            <w:pPr>
              <w:pStyle w:val="16"/>
              <w:ind w:firstLine="48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5"/>
              <w:rPr>
                <w:color w:val="auto"/>
                <w:sz w:val="24"/>
                <w:szCs w:val="24"/>
              </w:rPr>
            </w:pPr>
            <w:r>
              <w:rPr>
                <w:color w:val="auto"/>
                <w:sz w:val="24"/>
                <w:szCs w:val="24"/>
              </w:rPr>
              <w:t>环境</w:t>
            </w:r>
          </w:p>
          <w:p>
            <w:pPr>
              <w:pStyle w:val="15"/>
              <w:rPr>
                <w:color w:val="auto"/>
                <w:sz w:val="24"/>
                <w:szCs w:val="24"/>
              </w:rPr>
            </w:pPr>
            <w:r>
              <w:rPr>
                <w:color w:val="auto"/>
                <w:sz w:val="24"/>
                <w:szCs w:val="24"/>
              </w:rPr>
              <w:t>保护</w:t>
            </w:r>
          </w:p>
          <w:p>
            <w:pPr>
              <w:pStyle w:val="15"/>
              <w:rPr>
                <w:color w:val="auto"/>
                <w:sz w:val="24"/>
                <w:szCs w:val="24"/>
              </w:rPr>
            </w:pPr>
            <w:r>
              <w:rPr>
                <w:color w:val="auto"/>
                <w:sz w:val="24"/>
                <w:szCs w:val="24"/>
              </w:rPr>
              <w:t>目标</w:t>
            </w:r>
          </w:p>
        </w:tc>
        <w:tc>
          <w:tcPr>
            <w:tcW w:w="8612" w:type="dxa"/>
            <w:noWrap w:val="0"/>
            <w:vAlign w:val="center"/>
          </w:tcPr>
          <w:p>
            <w:pPr>
              <w:pStyle w:val="20"/>
              <w:rPr>
                <w:color w:val="auto"/>
              </w:rPr>
            </w:pPr>
            <w:r>
              <w:rPr>
                <w:color w:val="auto"/>
              </w:rPr>
              <w:t>3.2环境保护目标</w:t>
            </w:r>
          </w:p>
          <w:p>
            <w:pPr>
              <w:ind w:firstLine="480"/>
              <w:rPr>
                <w:color w:val="auto"/>
              </w:rPr>
            </w:pPr>
            <w:r>
              <w:rPr>
                <w:color w:val="auto"/>
              </w:rPr>
              <w:t>项目环境保护目标见表3.2-1。</w:t>
            </w:r>
          </w:p>
          <w:p>
            <w:pPr>
              <w:pStyle w:val="13"/>
              <w:rPr>
                <w:color w:val="auto"/>
              </w:rPr>
            </w:pPr>
            <w:r>
              <w:rPr>
                <w:color w:val="auto"/>
              </w:rPr>
              <w:t>表3.2-1项目环境保护目标</w:t>
            </w:r>
          </w:p>
          <w:tbl>
            <w:tblPr>
              <w:tblStyle w:val="10"/>
              <w:tblW w:w="4912"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1187"/>
              <w:gridCol w:w="1058"/>
              <w:gridCol w:w="1211"/>
              <w:gridCol w:w="856"/>
              <w:gridCol w:w="235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87" w:type="pct"/>
                  <w:vMerge w:val="restart"/>
                  <w:tcBorders>
                    <w:top w:val="single" w:color="auto" w:sz="12" w:space="0"/>
                    <w:left w:val="single" w:color="auto" w:sz="12" w:space="0"/>
                    <w:bottom w:val="single" w:color="auto" w:sz="4" w:space="0"/>
                    <w:right w:val="single" w:color="auto" w:sz="4" w:space="0"/>
                  </w:tcBorders>
                  <w:noWrap w:val="0"/>
                  <w:vAlign w:val="center"/>
                </w:tcPr>
                <w:p>
                  <w:pPr>
                    <w:pStyle w:val="15"/>
                    <w:rPr>
                      <w:color w:val="auto"/>
                    </w:rPr>
                  </w:pPr>
                  <w:r>
                    <w:rPr>
                      <w:color w:val="auto"/>
                    </w:rPr>
                    <w:t>污染因素</w:t>
                  </w:r>
                </w:p>
              </w:tc>
              <w:tc>
                <w:tcPr>
                  <w:tcW w:w="768"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环境保护目标</w:t>
                  </w:r>
                </w:p>
              </w:tc>
              <w:tc>
                <w:tcPr>
                  <w:tcW w:w="685" w:type="pct"/>
                  <w:vMerge w:val="restar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相对方位</w:t>
                  </w:r>
                </w:p>
              </w:tc>
              <w:tc>
                <w:tcPr>
                  <w:tcW w:w="784" w:type="pct"/>
                  <w:vMerge w:val="restar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与项目厂界距离（m）</w:t>
                  </w:r>
                </w:p>
              </w:tc>
              <w:tc>
                <w:tcPr>
                  <w:tcW w:w="554" w:type="pct"/>
                  <w:vMerge w:val="restar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受影响规模/人</w:t>
                  </w:r>
                </w:p>
              </w:tc>
              <w:tc>
                <w:tcPr>
                  <w:tcW w:w="1519" w:type="pct"/>
                  <w:vMerge w:val="restart"/>
                  <w:tcBorders>
                    <w:top w:val="single" w:color="auto" w:sz="12" w:space="0"/>
                    <w:left w:val="nil"/>
                    <w:bottom w:val="single" w:color="auto" w:sz="4" w:space="0"/>
                    <w:right w:val="single" w:color="auto" w:sz="12" w:space="0"/>
                  </w:tcBorders>
                  <w:noWrap w:val="0"/>
                  <w:vAlign w:val="center"/>
                </w:tcPr>
                <w:p>
                  <w:pPr>
                    <w:pStyle w:val="15"/>
                    <w:rPr>
                      <w:color w:val="auto"/>
                    </w:rPr>
                  </w:pPr>
                  <w:r>
                    <w:rPr>
                      <w:color w:val="auto"/>
                    </w:rPr>
                    <w:t>环境功能及保护要求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87" w:type="pct"/>
                  <w:vMerge w:val="continue"/>
                  <w:tcBorders>
                    <w:top w:val="single" w:color="auto" w:sz="12" w:space="0"/>
                    <w:left w:val="single" w:color="auto" w:sz="12" w:space="0"/>
                    <w:bottom w:val="single" w:color="auto" w:sz="4" w:space="0"/>
                    <w:right w:val="single" w:color="auto" w:sz="4" w:space="0"/>
                  </w:tcBorders>
                  <w:noWrap w:val="0"/>
                  <w:vAlign w:val="center"/>
                </w:tcPr>
                <w:p>
                  <w:pPr>
                    <w:pStyle w:val="15"/>
                    <w:rPr>
                      <w:color w:val="auto"/>
                    </w:rPr>
                  </w:pPr>
                </w:p>
              </w:tc>
              <w:tc>
                <w:tcPr>
                  <w:tcW w:w="768"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行政村</w:t>
                  </w:r>
                </w:p>
              </w:tc>
              <w:tc>
                <w:tcPr>
                  <w:tcW w:w="0" w:type="auto"/>
                  <w:vMerge w:val="continue"/>
                  <w:tcBorders>
                    <w:top w:val="single" w:color="auto" w:sz="12" w:space="0"/>
                    <w:left w:val="nil"/>
                    <w:bottom w:val="single" w:color="auto" w:sz="4" w:space="0"/>
                    <w:right w:val="single" w:color="auto" w:sz="4" w:space="0"/>
                  </w:tcBorders>
                  <w:noWrap w:val="0"/>
                  <w:vAlign w:val="center"/>
                </w:tcPr>
                <w:p>
                  <w:pPr>
                    <w:pStyle w:val="15"/>
                    <w:rPr>
                      <w:color w:val="auto"/>
                    </w:rPr>
                  </w:pPr>
                </w:p>
              </w:tc>
              <w:tc>
                <w:tcPr>
                  <w:tcW w:w="0" w:type="auto"/>
                  <w:vMerge w:val="continue"/>
                  <w:tcBorders>
                    <w:top w:val="single" w:color="auto" w:sz="12" w:space="0"/>
                    <w:left w:val="nil"/>
                    <w:bottom w:val="single" w:color="auto" w:sz="4" w:space="0"/>
                    <w:right w:val="single" w:color="auto" w:sz="4" w:space="0"/>
                  </w:tcBorders>
                  <w:noWrap w:val="0"/>
                  <w:vAlign w:val="center"/>
                </w:tcPr>
                <w:p>
                  <w:pPr>
                    <w:pStyle w:val="15"/>
                    <w:rPr>
                      <w:color w:val="auto"/>
                    </w:rPr>
                  </w:pPr>
                </w:p>
              </w:tc>
              <w:tc>
                <w:tcPr>
                  <w:tcW w:w="554" w:type="pct"/>
                  <w:vMerge w:val="continue"/>
                  <w:tcBorders>
                    <w:top w:val="single" w:color="auto" w:sz="12" w:space="0"/>
                    <w:left w:val="nil"/>
                    <w:bottom w:val="single" w:color="auto" w:sz="4" w:space="0"/>
                    <w:right w:val="single" w:color="auto" w:sz="4" w:space="0"/>
                  </w:tcBorders>
                  <w:noWrap w:val="0"/>
                  <w:vAlign w:val="center"/>
                </w:tcPr>
                <w:p>
                  <w:pPr>
                    <w:pStyle w:val="15"/>
                    <w:rPr>
                      <w:color w:val="auto"/>
                    </w:rPr>
                  </w:pPr>
                </w:p>
              </w:tc>
              <w:tc>
                <w:tcPr>
                  <w:tcW w:w="1519" w:type="pct"/>
                  <w:vMerge w:val="continue"/>
                  <w:tcBorders>
                    <w:top w:val="single" w:color="auto" w:sz="12" w:space="0"/>
                    <w:left w:val="nil"/>
                    <w:bottom w:val="single" w:color="auto" w:sz="4" w:space="0"/>
                    <w:right w:val="single" w:color="auto" w:sz="12" w:space="0"/>
                  </w:tcBorders>
                  <w:noWrap w:val="0"/>
                  <w:vAlign w:val="center"/>
                </w:tcPr>
                <w:p>
                  <w:pPr>
                    <w:pStyle w:val="15"/>
                    <w:rPr>
                      <w:color w:val="auto"/>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87" w:type="pct"/>
                  <w:tcBorders>
                    <w:top w:val="nil"/>
                    <w:left w:val="single" w:color="auto" w:sz="12" w:space="0"/>
                    <w:right w:val="single" w:color="auto" w:sz="4" w:space="0"/>
                  </w:tcBorders>
                  <w:noWrap w:val="0"/>
                  <w:vAlign w:val="center"/>
                </w:tcPr>
                <w:p>
                  <w:pPr>
                    <w:pStyle w:val="15"/>
                    <w:rPr>
                      <w:color w:val="auto"/>
                    </w:rPr>
                  </w:pPr>
                  <w:r>
                    <w:rPr>
                      <w:color w:val="auto"/>
                    </w:rPr>
                    <w:t>大气环境</w:t>
                  </w:r>
                </w:p>
              </w:tc>
              <w:tc>
                <w:tcPr>
                  <w:tcW w:w="768"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lang w:val="en-US" w:eastAsia="zh-CN"/>
                    </w:rPr>
                  </w:pPr>
                  <w:r>
                    <w:rPr>
                      <w:rFonts w:hint="eastAsia"/>
                      <w:color w:val="auto"/>
                      <w:lang w:val="en-US" w:eastAsia="zh-CN"/>
                    </w:rPr>
                    <w:t>南乾村</w:t>
                  </w:r>
                </w:p>
              </w:tc>
              <w:tc>
                <w:tcPr>
                  <w:tcW w:w="685"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lang w:val="en-US" w:eastAsia="zh-CN"/>
                    </w:rPr>
                  </w:pPr>
                  <w:r>
                    <w:rPr>
                      <w:rFonts w:hint="eastAsia"/>
                      <w:color w:val="auto"/>
                      <w:lang w:val="en-US" w:eastAsia="zh-CN"/>
                    </w:rPr>
                    <w:t>北</w:t>
                  </w:r>
                </w:p>
              </w:tc>
              <w:tc>
                <w:tcPr>
                  <w:tcW w:w="784"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lang w:val="en-US" w:eastAsia="zh-CN"/>
                    </w:rPr>
                  </w:pPr>
                  <w:r>
                    <w:rPr>
                      <w:rFonts w:hint="eastAsia"/>
                      <w:color w:val="auto"/>
                      <w:lang w:val="en-US" w:eastAsia="zh-CN"/>
                    </w:rPr>
                    <w:t>47</w:t>
                  </w:r>
                </w:p>
              </w:tc>
              <w:tc>
                <w:tcPr>
                  <w:tcW w:w="554"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lang w:val="en-US" w:eastAsia="zh-CN"/>
                    </w:rPr>
                  </w:pPr>
                  <w:r>
                    <w:rPr>
                      <w:rFonts w:hint="eastAsia"/>
                      <w:color w:val="auto"/>
                      <w:lang w:val="en-US" w:eastAsia="zh-CN"/>
                    </w:rPr>
                    <w:t>100</w:t>
                  </w:r>
                </w:p>
              </w:tc>
              <w:tc>
                <w:tcPr>
                  <w:tcW w:w="1519" w:type="pct"/>
                  <w:tcBorders>
                    <w:top w:val="nil"/>
                    <w:left w:val="nil"/>
                    <w:right w:val="single" w:color="auto" w:sz="12" w:space="0"/>
                  </w:tcBorders>
                  <w:noWrap w:val="0"/>
                  <w:vAlign w:val="center"/>
                </w:tcPr>
                <w:p>
                  <w:pPr>
                    <w:pStyle w:val="15"/>
                    <w:rPr>
                      <w:color w:val="auto"/>
                    </w:rPr>
                  </w:pPr>
                  <w:r>
                    <w:rPr>
                      <w:color w:val="auto"/>
                    </w:rPr>
                    <w:t>《环境空气质量标准》(GB3095-2012)二级标准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left w:val="single" w:color="auto" w:sz="12" w:space="0"/>
                    <w:bottom w:val="single" w:color="auto" w:sz="4" w:space="0"/>
                    <w:right w:val="single" w:color="auto" w:sz="4" w:space="0"/>
                  </w:tcBorders>
                  <w:noWrap w:val="0"/>
                  <w:vAlign w:val="center"/>
                </w:tcPr>
                <w:p>
                  <w:pPr>
                    <w:pStyle w:val="15"/>
                    <w:rPr>
                      <w:color w:val="auto"/>
                    </w:rPr>
                  </w:pPr>
                  <w:r>
                    <w:rPr>
                      <w:color w:val="auto"/>
                    </w:rPr>
                    <w:t>声环境</w:t>
                  </w:r>
                </w:p>
              </w:tc>
              <w:tc>
                <w:tcPr>
                  <w:tcW w:w="768" w:type="pct"/>
                  <w:tcBorders>
                    <w:top w:val="single" w:color="auto" w:sz="4" w:space="0"/>
                    <w:left w:val="nil"/>
                    <w:bottom w:val="single" w:color="auto" w:sz="4" w:space="0"/>
                    <w:right w:val="single" w:color="auto" w:sz="4" w:space="0"/>
                  </w:tcBorders>
                  <w:noWrap w:val="0"/>
                  <w:vAlign w:val="center"/>
                </w:tcPr>
                <w:p>
                  <w:pPr>
                    <w:pStyle w:val="15"/>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南乾村</w:t>
                  </w:r>
                </w:p>
              </w:tc>
              <w:tc>
                <w:tcPr>
                  <w:tcW w:w="685" w:type="pct"/>
                  <w:tcBorders>
                    <w:top w:val="single" w:color="auto" w:sz="4" w:space="0"/>
                    <w:left w:val="nil"/>
                    <w:bottom w:val="single" w:color="auto" w:sz="4" w:space="0"/>
                    <w:right w:val="single" w:color="auto" w:sz="4" w:space="0"/>
                  </w:tcBorders>
                  <w:noWrap w:val="0"/>
                  <w:vAlign w:val="center"/>
                </w:tcPr>
                <w:p>
                  <w:pPr>
                    <w:pStyle w:val="15"/>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北</w:t>
                  </w:r>
                </w:p>
              </w:tc>
              <w:tc>
                <w:tcPr>
                  <w:tcW w:w="784" w:type="pct"/>
                  <w:tcBorders>
                    <w:top w:val="single" w:color="auto" w:sz="4" w:space="0"/>
                    <w:left w:val="nil"/>
                    <w:bottom w:val="single" w:color="auto" w:sz="4" w:space="0"/>
                    <w:right w:val="single" w:color="auto" w:sz="4" w:space="0"/>
                  </w:tcBorders>
                  <w:noWrap w:val="0"/>
                  <w:vAlign w:val="center"/>
                </w:tcPr>
                <w:p>
                  <w:pPr>
                    <w:pStyle w:val="15"/>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47</w:t>
                  </w:r>
                </w:p>
              </w:tc>
              <w:tc>
                <w:tcPr>
                  <w:tcW w:w="554" w:type="pct"/>
                  <w:tcBorders>
                    <w:top w:val="single" w:color="auto" w:sz="4" w:space="0"/>
                    <w:left w:val="nil"/>
                    <w:bottom w:val="single" w:color="auto" w:sz="4" w:space="0"/>
                    <w:right w:val="single" w:color="auto" w:sz="4" w:space="0"/>
                  </w:tcBorders>
                  <w:noWrap w:val="0"/>
                  <w:vAlign w:val="center"/>
                </w:tcPr>
                <w:p>
                  <w:pPr>
                    <w:pStyle w:val="15"/>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100</w:t>
                  </w:r>
                </w:p>
              </w:tc>
              <w:tc>
                <w:tcPr>
                  <w:tcW w:w="1519" w:type="pct"/>
                  <w:tcBorders>
                    <w:left w:val="nil"/>
                    <w:bottom w:val="single" w:color="auto" w:sz="4" w:space="0"/>
                    <w:right w:val="single" w:color="auto" w:sz="12" w:space="0"/>
                  </w:tcBorders>
                  <w:noWrap w:val="0"/>
                  <w:vAlign w:val="center"/>
                </w:tcPr>
                <w:p>
                  <w:pPr>
                    <w:pStyle w:val="15"/>
                    <w:rPr>
                      <w:color w:val="auto"/>
                    </w:rPr>
                  </w:pPr>
                  <w:r>
                    <w:rPr>
                      <w:color w:val="auto"/>
                    </w:rPr>
                    <w:t>《声环境质量标准》（GB3096-2008）</w:t>
                  </w:r>
                  <w:r>
                    <w:rPr>
                      <w:rFonts w:hint="eastAsia"/>
                      <w:color w:val="auto"/>
                    </w:rPr>
                    <w:t>2类</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nil"/>
                    <w:left w:val="single" w:color="auto" w:sz="12" w:space="0"/>
                    <w:right w:val="single" w:color="auto" w:sz="4" w:space="0"/>
                  </w:tcBorders>
                  <w:noWrap w:val="0"/>
                  <w:vAlign w:val="center"/>
                </w:tcPr>
                <w:p>
                  <w:pPr>
                    <w:pStyle w:val="15"/>
                    <w:rPr>
                      <w:color w:val="auto"/>
                    </w:rPr>
                  </w:pPr>
                  <w:r>
                    <w:rPr>
                      <w:color w:val="auto"/>
                    </w:rPr>
                    <w:t>地表水环境</w:t>
                  </w:r>
                </w:p>
              </w:tc>
              <w:tc>
                <w:tcPr>
                  <w:tcW w:w="768"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lang w:val="en-US" w:eastAsia="zh-CN"/>
                    </w:rPr>
                  </w:pPr>
                  <w:r>
                    <w:rPr>
                      <w:rFonts w:hint="eastAsia"/>
                      <w:color w:val="auto"/>
                      <w:lang w:val="en-US" w:eastAsia="zh-CN"/>
                    </w:rPr>
                    <w:t>双岳溪</w:t>
                  </w:r>
                </w:p>
              </w:tc>
              <w:tc>
                <w:tcPr>
                  <w:tcW w:w="685"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lang w:val="en-US" w:eastAsia="zh-CN"/>
                    </w:rPr>
                  </w:pPr>
                  <w:r>
                    <w:rPr>
                      <w:rFonts w:hint="eastAsia"/>
                      <w:color w:val="auto"/>
                      <w:lang w:val="en-US" w:eastAsia="zh-CN"/>
                    </w:rPr>
                    <w:t>西侧</w:t>
                  </w:r>
                </w:p>
              </w:tc>
              <w:tc>
                <w:tcPr>
                  <w:tcW w:w="784" w:type="pct"/>
                  <w:tcBorders>
                    <w:top w:val="single" w:color="auto" w:sz="4" w:space="0"/>
                    <w:left w:val="nil"/>
                    <w:bottom w:val="single" w:color="auto" w:sz="4" w:space="0"/>
                    <w:right w:val="single" w:color="auto" w:sz="4" w:space="0"/>
                  </w:tcBorders>
                  <w:noWrap w:val="0"/>
                  <w:vAlign w:val="center"/>
                </w:tcPr>
                <w:p>
                  <w:pPr>
                    <w:pStyle w:val="15"/>
                    <w:rPr>
                      <w:rFonts w:hint="default" w:eastAsia="宋体"/>
                      <w:color w:val="auto"/>
                      <w:lang w:val="en-US" w:eastAsia="zh-CN"/>
                    </w:rPr>
                  </w:pPr>
                  <w:r>
                    <w:rPr>
                      <w:rFonts w:hint="eastAsia"/>
                      <w:color w:val="auto"/>
                      <w:lang w:val="en-US" w:eastAsia="zh-CN"/>
                    </w:rPr>
                    <w:t>330</w:t>
                  </w:r>
                </w:p>
              </w:tc>
              <w:tc>
                <w:tcPr>
                  <w:tcW w:w="554" w:type="pct"/>
                  <w:tcBorders>
                    <w:top w:val="single" w:color="auto" w:sz="4" w:space="0"/>
                    <w:left w:val="nil"/>
                    <w:bottom w:val="single" w:color="auto" w:sz="4" w:space="0"/>
                    <w:right w:val="single" w:color="auto" w:sz="4" w:space="0"/>
                  </w:tcBorders>
                  <w:noWrap w:val="0"/>
                  <w:vAlign w:val="center"/>
                </w:tcPr>
                <w:p>
                  <w:pPr>
                    <w:pStyle w:val="15"/>
                    <w:rPr>
                      <w:color w:val="auto"/>
                    </w:rPr>
                  </w:pPr>
                  <w:r>
                    <w:rPr>
                      <w:color w:val="auto"/>
                    </w:rPr>
                    <w:t>/</w:t>
                  </w:r>
                </w:p>
              </w:tc>
              <w:tc>
                <w:tcPr>
                  <w:tcW w:w="1519" w:type="pct"/>
                  <w:tcBorders>
                    <w:top w:val="nil"/>
                    <w:left w:val="nil"/>
                    <w:bottom w:val="single" w:color="auto" w:sz="4" w:space="0"/>
                    <w:right w:val="single" w:color="auto" w:sz="12" w:space="0"/>
                  </w:tcBorders>
                  <w:noWrap w:val="0"/>
                  <w:vAlign w:val="center"/>
                </w:tcPr>
                <w:p>
                  <w:pPr>
                    <w:pStyle w:val="15"/>
                    <w:rPr>
                      <w:color w:val="auto"/>
                    </w:rPr>
                  </w:pPr>
                  <w:r>
                    <w:rPr>
                      <w:color w:val="auto"/>
                    </w:rPr>
                    <w:t>《地表水环境质量标准》（GB3838-2002）</w:t>
                  </w:r>
                  <w:r>
                    <w:rPr>
                      <w:rFonts w:hint="eastAsia" w:ascii="宋体" w:hAnsi="宋体" w:cs="宋体"/>
                      <w:color w:val="auto"/>
                      <w:szCs w:val="24"/>
                    </w:rPr>
                    <w:t>Ⅲ</w:t>
                  </w:r>
                  <w:r>
                    <w:rPr>
                      <w:color w:val="auto"/>
                    </w:rPr>
                    <w:t>类水质标准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地下水环境</w:t>
                  </w:r>
                </w:p>
              </w:tc>
              <w:tc>
                <w:tcPr>
                  <w:tcW w:w="4312" w:type="pct"/>
                  <w:gridSpan w:val="5"/>
                  <w:tcBorders>
                    <w:top w:val="single" w:color="auto" w:sz="4" w:space="0"/>
                    <w:left w:val="nil"/>
                    <w:bottom w:val="single" w:color="auto" w:sz="4" w:space="0"/>
                    <w:right w:val="single" w:color="auto" w:sz="12" w:space="0"/>
                  </w:tcBorders>
                  <w:noWrap w:val="0"/>
                  <w:vAlign w:val="center"/>
                </w:tcPr>
                <w:p>
                  <w:pPr>
                    <w:pStyle w:val="15"/>
                    <w:rPr>
                      <w:color w:val="auto"/>
                    </w:rPr>
                  </w:pPr>
                  <w:r>
                    <w:rPr>
                      <w:color w:val="auto"/>
                    </w:rPr>
                    <w:t>厂界外500米范围内无地下水集中式饮用水水源和热水、矿泉水、泉水等特殊地下水资源。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12" w:space="0"/>
                    <w:bottom w:val="single" w:color="auto" w:sz="12" w:space="0"/>
                    <w:right w:val="single" w:color="auto" w:sz="4" w:space="0"/>
                  </w:tcBorders>
                  <w:noWrap w:val="0"/>
                  <w:vAlign w:val="center"/>
                </w:tcPr>
                <w:p>
                  <w:pPr>
                    <w:pStyle w:val="15"/>
                    <w:rPr>
                      <w:color w:val="auto"/>
                    </w:rPr>
                  </w:pPr>
                  <w:r>
                    <w:rPr>
                      <w:color w:val="auto"/>
                    </w:rPr>
                    <w:t>生态环境</w:t>
                  </w:r>
                </w:p>
              </w:tc>
              <w:tc>
                <w:tcPr>
                  <w:tcW w:w="4312" w:type="pct"/>
                  <w:gridSpan w:val="5"/>
                  <w:tcBorders>
                    <w:top w:val="single" w:color="auto" w:sz="4" w:space="0"/>
                    <w:left w:val="nil"/>
                    <w:bottom w:val="single" w:color="auto" w:sz="12" w:space="0"/>
                    <w:right w:val="single" w:color="auto" w:sz="12" w:space="0"/>
                  </w:tcBorders>
                  <w:noWrap w:val="0"/>
                  <w:vAlign w:val="center"/>
                </w:tcPr>
                <w:p>
                  <w:pPr>
                    <w:pStyle w:val="15"/>
                    <w:rPr>
                      <w:color w:val="auto"/>
                    </w:rPr>
                  </w:pPr>
                  <w:r>
                    <w:rPr>
                      <w:color w:val="auto"/>
                    </w:rPr>
                    <w:t>项目区域内无生态环境保护目标</w:t>
                  </w:r>
                </w:p>
              </w:tc>
            </w:tr>
          </w:tbl>
          <w:p>
            <w:pPr>
              <w:pStyle w:val="16"/>
              <w:ind w:left="0" w:leftChars="0" w:firstLine="0" w:firstLineChars="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5"/>
              <w:rPr>
                <w:color w:val="auto"/>
                <w:sz w:val="24"/>
                <w:szCs w:val="24"/>
              </w:rPr>
            </w:pPr>
            <w:r>
              <w:rPr>
                <w:color w:val="auto"/>
                <w:sz w:val="24"/>
                <w:szCs w:val="24"/>
              </w:rPr>
              <w:t>污染</w:t>
            </w:r>
          </w:p>
          <w:p>
            <w:pPr>
              <w:pStyle w:val="15"/>
              <w:rPr>
                <w:color w:val="auto"/>
                <w:sz w:val="24"/>
                <w:szCs w:val="24"/>
              </w:rPr>
            </w:pPr>
            <w:r>
              <w:rPr>
                <w:color w:val="auto"/>
                <w:sz w:val="24"/>
                <w:szCs w:val="24"/>
              </w:rPr>
              <w:t>物排</w:t>
            </w:r>
          </w:p>
          <w:p>
            <w:pPr>
              <w:pStyle w:val="15"/>
              <w:rPr>
                <w:color w:val="auto"/>
                <w:sz w:val="24"/>
                <w:szCs w:val="24"/>
              </w:rPr>
            </w:pPr>
            <w:r>
              <w:rPr>
                <w:color w:val="auto"/>
                <w:sz w:val="24"/>
                <w:szCs w:val="24"/>
              </w:rPr>
              <w:t>放控</w:t>
            </w:r>
          </w:p>
          <w:p>
            <w:pPr>
              <w:pStyle w:val="15"/>
              <w:rPr>
                <w:color w:val="auto"/>
                <w:sz w:val="24"/>
                <w:szCs w:val="24"/>
              </w:rPr>
            </w:pPr>
            <w:r>
              <w:rPr>
                <w:color w:val="auto"/>
                <w:sz w:val="24"/>
                <w:szCs w:val="24"/>
              </w:rPr>
              <w:t>制标</w:t>
            </w:r>
          </w:p>
          <w:p>
            <w:pPr>
              <w:pStyle w:val="15"/>
              <w:rPr>
                <w:color w:val="auto"/>
                <w:sz w:val="24"/>
                <w:szCs w:val="24"/>
              </w:rPr>
            </w:pPr>
            <w:r>
              <w:rPr>
                <w:color w:val="auto"/>
                <w:sz w:val="24"/>
                <w:szCs w:val="24"/>
              </w:rPr>
              <w:t>准</w:t>
            </w:r>
          </w:p>
        </w:tc>
        <w:tc>
          <w:tcPr>
            <w:tcW w:w="8612" w:type="dxa"/>
            <w:noWrap w:val="0"/>
            <w:vAlign w:val="center"/>
          </w:tcPr>
          <w:p>
            <w:pPr>
              <w:pStyle w:val="20"/>
              <w:rPr>
                <w:color w:val="auto"/>
              </w:rPr>
            </w:pPr>
            <w:r>
              <w:rPr>
                <w:color w:val="auto"/>
              </w:rPr>
              <w:t>3.3污染物排放控制标准</w:t>
            </w:r>
          </w:p>
          <w:p>
            <w:pPr>
              <w:pStyle w:val="17"/>
              <w:rPr>
                <w:color w:val="auto"/>
              </w:rPr>
            </w:pPr>
            <w:r>
              <w:rPr>
                <w:color w:val="auto"/>
              </w:rPr>
              <w:t>3.3.1废水</w:t>
            </w:r>
          </w:p>
          <w:p>
            <w:pPr>
              <w:ind w:firstLine="480"/>
              <w:rPr>
                <w:color w:val="auto"/>
                <w:kern w:val="0"/>
                <w:szCs w:val="24"/>
              </w:rPr>
            </w:pPr>
            <w:r>
              <w:rPr>
                <w:color w:val="auto"/>
              </w:rPr>
              <w:t>项目生产废水经二级沉淀池沉淀后循环使用不外排；初期雨水经厂区内雨水沟收集至初期雨水沉淀池处理后回用于生产；生活污水经化粪池处理后利用槽罐车定期抽吸后运送至</w:t>
            </w:r>
            <w:r>
              <w:rPr>
                <w:color w:val="auto"/>
                <w:highlight w:val="none"/>
              </w:rPr>
              <w:t>福鼎市第一污水处理厂集中处理。</w:t>
            </w:r>
          </w:p>
          <w:p>
            <w:pPr>
              <w:pStyle w:val="17"/>
              <w:rPr>
                <w:color w:val="auto"/>
              </w:rPr>
            </w:pPr>
            <w:r>
              <w:rPr>
                <w:color w:val="auto"/>
              </w:rPr>
              <w:t>3.3.2废气</w:t>
            </w:r>
          </w:p>
          <w:p>
            <w:pPr>
              <w:pStyle w:val="16"/>
              <w:ind w:firstLine="480"/>
              <w:rPr>
                <w:rFonts w:ascii="Times New Roman" w:hAnsi="Times New Roman"/>
                <w:color w:val="auto"/>
              </w:rPr>
            </w:pPr>
            <w:r>
              <w:rPr>
                <w:rFonts w:ascii="Times New Roman" w:hAnsi="Times New Roman"/>
                <w:color w:val="auto"/>
              </w:rPr>
              <w:t>项目运营期产生的颗粒物排放执行《大气污染物综合排放标准》（GB16297-1996）表2中相关标准要求。</w:t>
            </w:r>
          </w:p>
          <w:p>
            <w:pPr>
              <w:pStyle w:val="13"/>
              <w:rPr>
                <w:color w:val="auto"/>
              </w:rPr>
            </w:pPr>
            <w:r>
              <w:rPr>
                <w:color w:val="auto"/>
              </w:rPr>
              <w:t>表3.3-1项目运营期废气污染物排放标准</w:t>
            </w:r>
          </w:p>
          <w:tbl>
            <w:tblPr>
              <w:tblStyle w:val="10"/>
              <w:tblW w:w="5000" w:type="pct"/>
              <w:tblInd w:w="0" w:type="dxa"/>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Layout w:type="autofit"/>
              <w:tblCellMar>
                <w:top w:w="0" w:type="dxa"/>
                <w:left w:w="108" w:type="dxa"/>
                <w:bottom w:w="0" w:type="dxa"/>
                <w:right w:w="108" w:type="dxa"/>
              </w:tblCellMar>
            </w:tblPr>
            <w:tblGrid>
              <w:gridCol w:w="2253"/>
              <w:gridCol w:w="3198"/>
              <w:gridCol w:w="2410"/>
            </w:tblGrid>
            <w:tr>
              <w:tblPrEx>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CellMar>
                  <w:top w:w="0" w:type="dxa"/>
                  <w:left w:w="108" w:type="dxa"/>
                  <w:bottom w:w="0" w:type="dxa"/>
                  <w:right w:w="108" w:type="dxa"/>
                </w:tblCellMar>
              </w:tblPrEx>
              <w:tc>
                <w:tcPr>
                  <w:tcW w:w="1433" w:type="pct"/>
                  <w:vMerge w:val="restart"/>
                  <w:tcBorders>
                    <w:top w:val="single" w:color="auto" w:sz="12" w:space="0"/>
                    <w:left w:val="single" w:color="auto" w:sz="12" w:space="0"/>
                    <w:bottom w:val="outset" w:color="auto" w:sz="4" w:space="0"/>
                    <w:right w:val="single" w:color="auto" w:sz="4" w:space="0"/>
                  </w:tcBorders>
                  <w:noWrap w:val="0"/>
                  <w:vAlign w:val="center"/>
                </w:tcPr>
                <w:p>
                  <w:pPr>
                    <w:pStyle w:val="15"/>
                    <w:rPr>
                      <w:color w:val="auto"/>
                    </w:rPr>
                  </w:pPr>
                  <w:r>
                    <w:rPr>
                      <w:color w:val="auto"/>
                    </w:rPr>
                    <w:t>污染物</w:t>
                  </w:r>
                </w:p>
              </w:tc>
              <w:tc>
                <w:tcPr>
                  <w:tcW w:w="3567" w:type="pct"/>
                  <w:gridSpan w:val="2"/>
                  <w:tcBorders>
                    <w:top w:val="single" w:color="auto" w:sz="12" w:space="0"/>
                    <w:left w:val="single" w:color="auto" w:sz="4" w:space="0"/>
                    <w:bottom w:val="outset" w:color="auto" w:sz="4" w:space="0"/>
                    <w:right w:val="single" w:color="auto" w:sz="12" w:space="0"/>
                  </w:tcBorders>
                  <w:noWrap w:val="0"/>
                  <w:vAlign w:val="center"/>
                </w:tcPr>
                <w:p>
                  <w:pPr>
                    <w:pStyle w:val="15"/>
                    <w:rPr>
                      <w:color w:val="auto"/>
                    </w:rPr>
                  </w:pPr>
                  <w:r>
                    <w:rPr>
                      <w:color w:val="auto"/>
                    </w:rPr>
                    <w:t>无组织排放监控浓度限值</w:t>
                  </w:r>
                </w:p>
              </w:tc>
            </w:tr>
            <w:tr>
              <w:tblPrEx>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CellMar>
                  <w:top w:w="0" w:type="dxa"/>
                  <w:left w:w="108" w:type="dxa"/>
                  <w:bottom w:w="0" w:type="dxa"/>
                  <w:right w:w="108" w:type="dxa"/>
                </w:tblCellMar>
              </w:tblPrEx>
              <w:tc>
                <w:tcPr>
                  <w:tcW w:w="1433" w:type="pct"/>
                  <w:vMerge w:val="continue"/>
                  <w:tcBorders>
                    <w:top w:val="single" w:color="auto" w:sz="12" w:space="0"/>
                    <w:left w:val="single" w:color="auto" w:sz="12" w:space="0"/>
                    <w:bottom w:val="outset" w:color="auto" w:sz="4" w:space="0"/>
                    <w:right w:val="single" w:color="auto" w:sz="4" w:space="0"/>
                  </w:tcBorders>
                  <w:noWrap w:val="0"/>
                  <w:vAlign w:val="center"/>
                </w:tcPr>
                <w:p>
                  <w:pPr>
                    <w:pStyle w:val="15"/>
                    <w:rPr>
                      <w:color w:val="auto"/>
                    </w:rPr>
                  </w:pPr>
                </w:p>
              </w:tc>
              <w:tc>
                <w:tcPr>
                  <w:tcW w:w="2034" w:type="pct"/>
                  <w:tcBorders>
                    <w:top w:val="outset" w:color="auto" w:sz="4" w:space="0"/>
                    <w:left w:val="single" w:color="auto" w:sz="4" w:space="0"/>
                    <w:bottom w:val="outset" w:color="auto" w:sz="4" w:space="0"/>
                    <w:right w:val="single" w:color="auto" w:sz="4" w:space="0"/>
                  </w:tcBorders>
                  <w:noWrap w:val="0"/>
                  <w:vAlign w:val="center"/>
                </w:tcPr>
                <w:p>
                  <w:pPr>
                    <w:pStyle w:val="15"/>
                    <w:rPr>
                      <w:color w:val="auto"/>
                    </w:rPr>
                  </w:pPr>
                  <w:r>
                    <w:rPr>
                      <w:color w:val="auto"/>
                    </w:rPr>
                    <w:t>监控点</w:t>
                  </w:r>
                </w:p>
              </w:tc>
              <w:tc>
                <w:tcPr>
                  <w:tcW w:w="1533" w:type="pct"/>
                  <w:tcBorders>
                    <w:top w:val="outset" w:color="auto" w:sz="4" w:space="0"/>
                    <w:left w:val="single" w:color="auto" w:sz="4" w:space="0"/>
                    <w:bottom w:val="outset" w:color="auto" w:sz="4" w:space="0"/>
                    <w:right w:val="single" w:color="auto" w:sz="12" w:space="0"/>
                  </w:tcBorders>
                  <w:noWrap w:val="0"/>
                  <w:vAlign w:val="center"/>
                </w:tcPr>
                <w:p>
                  <w:pPr>
                    <w:pStyle w:val="15"/>
                    <w:rPr>
                      <w:color w:val="auto"/>
                    </w:rPr>
                  </w:pPr>
                  <w:r>
                    <w:rPr>
                      <w:color w:val="auto"/>
                    </w:rPr>
                    <w:t>浓度（mg/m</w:t>
                  </w:r>
                  <w:r>
                    <w:rPr>
                      <w:color w:val="auto"/>
                      <w:vertAlign w:val="superscript"/>
                    </w:rPr>
                    <w:t>3</w:t>
                  </w:r>
                  <w:r>
                    <w:rPr>
                      <w:color w:val="auto"/>
                    </w:rPr>
                    <w:t>）</w:t>
                  </w:r>
                </w:p>
              </w:tc>
            </w:tr>
            <w:tr>
              <w:tblPrEx>
                <w:tblBorders>
                  <w:top w:val="single" w:color="auto" w:sz="12" w:space="0"/>
                  <w:left w:val="none" w:color="auto" w:sz="0" w:space="0"/>
                  <w:bottom w:val="single" w:color="auto" w:sz="12" w:space="0"/>
                  <w:right w:val="none" w:color="auto" w:sz="0" w:space="0"/>
                  <w:insideH w:val="inset" w:color="auto" w:sz="4" w:space="0"/>
                  <w:insideV w:val="single" w:color="auto" w:sz="4" w:space="0"/>
                </w:tblBorders>
                <w:tblCellMar>
                  <w:top w:w="0" w:type="dxa"/>
                  <w:left w:w="108" w:type="dxa"/>
                  <w:bottom w:w="0" w:type="dxa"/>
                  <w:right w:w="108" w:type="dxa"/>
                </w:tblCellMar>
              </w:tblPrEx>
              <w:tc>
                <w:tcPr>
                  <w:tcW w:w="1433" w:type="pct"/>
                  <w:tcBorders>
                    <w:top w:val="outset" w:color="auto" w:sz="4" w:space="0"/>
                    <w:left w:val="single" w:color="auto" w:sz="12" w:space="0"/>
                    <w:bottom w:val="single" w:color="auto" w:sz="12" w:space="0"/>
                    <w:right w:val="single" w:color="auto" w:sz="4" w:space="0"/>
                  </w:tcBorders>
                  <w:noWrap w:val="0"/>
                  <w:vAlign w:val="center"/>
                </w:tcPr>
                <w:p>
                  <w:pPr>
                    <w:pStyle w:val="15"/>
                    <w:rPr>
                      <w:color w:val="auto"/>
                    </w:rPr>
                  </w:pPr>
                  <w:r>
                    <w:rPr>
                      <w:color w:val="auto"/>
                    </w:rPr>
                    <w:t>颗粒物</w:t>
                  </w:r>
                </w:p>
              </w:tc>
              <w:tc>
                <w:tcPr>
                  <w:tcW w:w="2034" w:type="pct"/>
                  <w:tcBorders>
                    <w:top w:val="outset" w:color="auto" w:sz="4" w:space="0"/>
                    <w:left w:val="single" w:color="auto" w:sz="4" w:space="0"/>
                    <w:bottom w:val="single" w:color="auto" w:sz="12" w:space="0"/>
                    <w:right w:val="single" w:color="auto" w:sz="4" w:space="0"/>
                  </w:tcBorders>
                  <w:noWrap w:val="0"/>
                  <w:vAlign w:val="center"/>
                </w:tcPr>
                <w:p>
                  <w:pPr>
                    <w:pStyle w:val="15"/>
                    <w:rPr>
                      <w:color w:val="auto"/>
                    </w:rPr>
                  </w:pPr>
                  <w:r>
                    <w:rPr>
                      <w:color w:val="auto"/>
                    </w:rPr>
                    <w:t>周界外浓度最高点</w:t>
                  </w:r>
                </w:p>
              </w:tc>
              <w:tc>
                <w:tcPr>
                  <w:tcW w:w="1533" w:type="pct"/>
                  <w:tcBorders>
                    <w:top w:val="outset" w:color="auto" w:sz="4" w:space="0"/>
                    <w:left w:val="single" w:color="auto" w:sz="4" w:space="0"/>
                    <w:bottom w:val="single" w:color="auto" w:sz="12" w:space="0"/>
                    <w:right w:val="single" w:color="auto" w:sz="12" w:space="0"/>
                  </w:tcBorders>
                  <w:noWrap w:val="0"/>
                  <w:vAlign w:val="center"/>
                </w:tcPr>
                <w:p>
                  <w:pPr>
                    <w:pStyle w:val="15"/>
                    <w:rPr>
                      <w:color w:val="auto"/>
                    </w:rPr>
                  </w:pPr>
                  <w:r>
                    <w:rPr>
                      <w:color w:val="auto"/>
                    </w:rPr>
                    <w:t>1.0</w:t>
                  </w:r>
                </w:p>
              </w:tc>
            </w:tr>
          </w:tbl>
          <w:p>
            <w:pPr>
              <w:pStyle w:val="17"/>
              <w:rPr>
                <w:color w:val="auto"/>
              </w:rPr>
            </w:pPr>
            <w:r>
              <w:rPr>
                <w:color w:val="auto"/>
              </w:rPr>
              <w:t>3.3.3噪声</w:t>
            </w:r>
          </w:p>
          <w:p>
            <w:pPr>
              <w:ind w:firstLine="480"/>
              <w:rPr>
                <w:color w:val="auto"/>
              </w:rPr>
            </w:pPr>
            <w:r>
              <w:rPr>
                <w:color w:val="auto"/>
              </w:rPr>
              <w:t>项目运营期厂界噪声排放执行《工业企业厂界环境噪声排放标准》(GB12348-2008)中2类标准。详见下表3.3-2。</w:t>
            </w:r>
          </w:p>
          <w:p>
            <w:pPr>
              <w:pStyle w:val="13"/>
              <w:rPr>
                <w:color w:val="auto"/>
              </w:rPr>
            </w:pPr>
            <w:r>
              <w:rPr>
                <w:color w:val="auto"/>
              </w:rPr>
              <w:t>表3.3-2工业企业厂界环境噪声排放标准</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05"/>
              <w:gridCol w:w="2889"/>
              <w:gridCol w:w="27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exact"/>
                <w:jc w:val="center"/>
              </w:trPr>
              <w:tc>
                <w:tcPr>
                  <w:tcW w:w="1409" w:type="pct"/>
                  <w:noWrap w:val="0"/>
                  <w:vAlign w:val="center"/>
                </w:tcPr>
                <w:p>
                  <w:pPr>
                    <w:pStyle w:val="15"/>
                    <w:rPr>
                      <w:color w:val="auto"/>
                    </w:rPr>
                  </w:pPr>
                  <w:r>
                    <w:rPr>
                      <w:color w:val="auto"/>
                    </w:rPr>
                    <w:t>类别</w:t>
                  </w:r>
                </w:p>
              </w:tc>
              <w:tc>
                <w:tcPr>
                  <w:tcW w:w="1846" w:type="pct"/>
                  <w:noWrap w:val="0"/>
                  <w:vAlign w:val="center"/>
                </w:tcPr>
                <w:p>
                  <w:pPr>
                    <w:pStyle w:val="15"/>
                    <w:rPr>
                      <w:color w:val="auto"/>
                    </w:rPr>
                  </w:pPr>
                  <w:r>
                    <w:rPr>
                      <w:color w:val="auto"/>
                    </w:rPr>
                    <w:t>昼间（dB）</w:t>
                  </w:r>
                </w:p>
              </w:tc>
              <w:tc>
                <w:tcPr>
                  <w:tcW w:w="1745" w:type="pct"/>
                  <w:noWrap w:val="0"/>
                  <w:vAlign w:val="center"/>
                </w:tcPr>
                <w:p>
                  <w:pPr>
                    <w:pStyle w:val="15"/>
                    <w:rPr>
                      <w:color w:val="auto"/>
                    </w:rPr>
                  </w:pPr>
                  <w:r>
                    <w:rPr>
                      <w:color w:val="auto"/>
                    </w:rPr>
                    <w:t>夜间（dB）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jc w:val="center"/>
              </w:trPr>
              <w:tc>
                <w:tcPr>
                  <w:tcW w:w="1409" w:type="pct"/>
                  <w:noWrap w:val="0"/>
                  <w:vAlign w:val="center"/>
                </w:tcPr>
                <w:p>
                  <w:pPr>
                    <w:pStyle w:val="15"/>
                    <w:rPr>
                      <w:color w:val="auto"/>
                    </w:rPr>
                  </w:pPr>
                  <w:r>
                    <w:rPr>
                      <w:color w:val="auto"/>
                    </w:rPr>
                    <w:t>2类</w:t>
                  </w:r>
                </w:p>
              </w:tc>
              <w:tc>
                <w:tcPr>
                  <w:tcW w:w="1846" w:type="pct"/>
                  <w:noWrap w:val="0"/>
                  <w:vAlign w:val="center"/>
                </w:tcPr>
                <w:p>
                  <w:pPr>
                    <w:pStyle w:val="15"/>
                    <w:rPr>
                      <w:color w:val="auto"/>
                    </w:rPr>
                  </w:pPr>
                  <w:r>
                    <w:rPr>
                      <w:color w:val="auto"/>
                    </w:rPr>
                    <w:t>60</w:t>
                  </w:r>
                </w:p>
              </w:tc>
              <w:tc>
                <w:tcPr>
                  <w:tcW w:w="1745" w:type="pct"/>
                  <w:noWrap w:val="0"/>
                  <w:vAlign w:val="center"/>
                </w:tcPr>
                <w:p>
                  <w:pPr>
                    <w:pStyle w:val="15"/>
                    <w:rPr>
                      <w:color w:val="auto"/>
                    </w:rPr>
                  </w:pPr>
                  <w:r>
                    <w:rPr>
                      <w:color w:val="auto"/>
                    </w:rPr>
                    <w:t>50</w:t>
                  </w:r>
                </w:p>
              </w:tc>
            </w:tr>
          </w:tbl>
          <w:p>
            <w:pPr>
              <w:pStyle w:val="17"/>
              <w:rPr>
                <w:color w:val="auto"/>
              </w:rPr>
            </w:pPr>
            <w:r>
              <w:rPr>
                <w:color w:val="auto"/>
              </w:rPr>
              <w:t>3.3.4固体废物</w:t>
            </w:r>
          </w:p>
          <w:p>
            <w:pPr>
              <w:ind w:firstLine="480"/>
              <w:rPr>
                <w:rStyle w:val="19"/>
                <w:rFonts w:ascii="Times New Roman" w:hAnsi="Times New Roman" w:cs="Times New Roman"/>
                <w:color w:val="auto"/>
              </w:rPr>
            </w:pPr>
            <w:r>
              <w:rPr>
                <w:color w:val="auto"/>
              </w:rPr>
              <w:t>项目运营期间一般固体废物贮存、处置执行《一般工业固体废物贮存和填埋污染控制标准》（GB18599-2020）。</w:t>
            </w:r>
            <w:r>
              <w:rPr>
                <w:rStyle w:val="19"/>
                <w:rFonts w:ascii="Times New Roman" w:hAnsi="Times New Roman" w:cs="Times New Roman"/>
                <w:color w:val="auto"/>
              </w:rPr>
              <w:t>危险废物贮存执行《危险废物贮存污染控制标准》（GB18597-2001）及2013年修改单要求。</w:t>
            </w:r>
          </w:p>
          <w:p>
            <w:pPr>
              <w:pStyle w:val="16"/>
              <w:ind w:firstLine="480"/>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675" w:type="dxa"/>
            <w:noWrap w:val="0"/>
            <w:vAlign w:val="center"/>
          </w:tcPr>
          <w:p>
            <w:pPr>
              <w:pStyle w:val="15"/>
              <w:rPr>
                <w:color w:val="auto"/>
                <w:sz w:val="24"/>
                <w:szCs w:val="24"/>
              </w:rPr>
            </w:pPr>
            <w:r>
              <w:rPr>
                <w:color w:val="auto"/>
                <w:sz w:val="24"/>
                <w:szCs w:val="24"/>
              </w:rPr>
              <w:t>总量</w:t>
            </w:r>
          </w:p>
          <w:p>
            <w:pPr>
              <w:pStyle w:val="15"/>
              <w:rPr>
                <w:color w:val="auto"/>
                <w:sz w:val="24"/>
                <w:szCs w:val="24"/>
              </w:rPr>
            </w:pPr>
            <w:r>
              <w:rPr>
                <w:color w:val="auto"/>
                <w:sz w:val="24"/>
                <w:szCs w:val="24"/>
              </w:rPr>
              <w:t>控制</w:t>
            </w:r>
          </w:p>
          <w:p>
            <w:pPr>
              <w:pStyle w:val="15"/>
              <w:rPr>
                <w:color w:val="auto"/>
                <w:sz w:val="24"/>
                <w:szCs w:val="24"/>
              </w:rPr>
            </w:pPr>
            <w:r>
              <w:rPr>
                <w:color w:val="auto"/>
                <w:sz w:val="24"/>
                <w:szCs w:val="24"/>
              </w:rPr>
              <w:t>指标</w:t>
            </w:r>
          </w:p>
        </w:tc>
        <w:tc>
          <w:tcPr>
            <w:tcW w:w="8612" w:type="dxa"/>
            <w:noWrap w:val="0"/>
            <w:vAlign w:val="center"/>
          </w:tcPr>
          <w:p>
            <w:pPr>
              <w:pStyle w:val="20"/>
              <w:rPr>
                <w:color w:val="auto"/>
              </w:rPr>
            </w:pPr>
            <w:r>
              <w:rPr>
                <w:color w:val="auto"/>
              </w:rPr>
              <w:t>3.4总量控制分析</w:t>
            </w:r>
          </w:p>
          <w:p>
            <w:pPr>
              <w:pStyle w:val="17"/>
              <w:rPr>
                <w:color w:val="auto"/>
              </w:rPr>
            </w:pPr>
            <w:r>
              <w:rPr>
                <w:color w:val="auto"/>
              </w:rPr>
              <w:t>3.4.1总量控制因子</w:t>
            </w:r>
          </w:p>
          <w:p>
            <w:pPr>
              <w:ind w:firstLine="480"/>
              <w:rPr>
                <w:color w:val="auto"/>
              </w:rPr>
            </w:pPr>
            <w:r>
              <w:rPr>
                <w:color w:val="auto"/>
              </w:rPr>
              <w:t>根据国家“十四五”期间污染物总量控制要求及《福建省“十</w:t>
            </w:r>
            <w:r>
              <w:rPr>
                <w:rFonts w:hint="eastAsia"/>
                <w:color w:val="auto"/>
                <w:lang w:val="en-US" w:eastAsia="zh-CN"/>
              </w:rPr>
              <w:t>四</w:t>
            </w:r>
            <w:r>
              <w:rPr>
                <w:color w:val="auto"/>
              </w:rPr>
              <w:t>五”</w:t>
            </w:r>
            <w:r>
              <w:rPr>
                <w:rFonts w:hint="eastAsia"/>
                <w:color w:val="auto"/>
                <w:lang w:val="en-US" w:eastAsia="zh-CN"/>
              </w:rPr>
              <w:t>生态</w:t>
            </w:r>
            <w:r>
              <w:rPr>
                <w:color w:val="auto"/>
              </w:rPr>
              <w:t>环境保护</w:t>
            </w:r>
            <w:r>
              <w:rPr>
                <w:rFonts w:hint="eastAsia"/>
                <w:color w:val="auto"/>
                <w:lang w:val="en-US" w:eastAsia="zh-CN"/>
              </w:rPr>
              <w:t>专项</w:t>
            </w:r>
            <w:r>
              <w:rPr>
                <w:color w:val="auto"/>
              </w:rPr>
              <w:t>规划》（</w:t>
            </w:r>
            <w:r>
              <w:rPr>
                <w:rFonts w:hint="eastAsia"/>
                <w:color w:val="auto"/>
                <w:lang w:val="en-US" w:eastAsia="zh-CN"/>
              </w:rPr>
              <w:t>闽政办</w:t>
            </w:r>
            <w:r>
              <w:rPr>
                <w:color w:val="auto"/>
              </w:rPr>
              <w:t>[20</w:t>
            </w:r>
            <w:r>
              <w:rPr>
                <w:rFonts w:hint="eastAsia"/>
                <w:color w:val="auto"/>
                <w:lang w:val="en-US" w:eastAsia="zh-CN"/>
              </w:rPr>
              <w:t>21</w:t>
            </w:r>
            <w:r>
              <w:rPr>
                <w:color w:val="auto"/>
              </w:rPr>
              <w:t>]5</w:t>
            </w:r>
            <w:r>
              <w:rPr>
                <w:rFonts w:hint="eastAsia"/>
                <w:color w:val="auto"/>
                <w:lang w:val="en-US" w:eastAsia="zh-CN"/>
              </w:rPr>
              <w:t>9</w:t>
            </w:r>
            <w:r>
              <w:rPr>
                <w:color w:val="auto"/>
              </w:rPr>
              <w:t>号）、《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color w:val="auto"/>
                <w:vertAlign w:val="subscript"/>
              </w:rPr>
              <w:t>3</w:t>
            </w:r>
            <w:r>
              <w:rPr>
                <w:color w:val="auto"/>
              </w:rPr>
              <w:t>-N、SO</w:t>
            </w:r>
            <w:r>
              <w:rPr>
                <w:color w:val="auto"/>
                <w:vertAlign w:val="subscript"/>
              </w:rPr>
              <w:t>2</w:t>
            </w:r>
            <w:r>
              <w:rPr>
                <w:color w:val="auto"/>
              </w:rPr>
              <w:t>、NO</w:t>
            </w:r>
            <w:r>
              <w:rPr>
                <w:color w:val="auto"/>
                <w:vertAlign w:val="subscript"/>
              </w:rPr>
              <w:t>X</w:t>
            </w:r>
            <w:r>
              <w:rPr>
                <w:color w:val="auto"/>
              </w:rPr>
              <w:t>、VOC</w:t>
            </w:r>
            <w:r>
              <w:rPr>
                <w:color w:val="auto"/>
                <w:vertAlign w:val="subscript"/>
              </w:rPr>
              <w:t>S</w:t>
            </w:r>
            <w:r>
              <w:rPr>
                <w:color w:val="auto"/>
              </w:rPr>
              <w:t>。</w:t>
            </w:r>
          </w:p>
          <w:p>
            <w:pPr>
              <w:pStyle w:val="17"/>
              <w:rPr>
                <w:color w:val="auto"/>
              </w:rPr>
            </w:pPr>
            <w:r>
              <w:rPr>
                <w:color w:val="auto"/>
              </w:rPr>
              <w:t>3.4.2污染物总量控制指标</w:t>
            </w:r>
          </w:p>
          <w:p>
            <w:pPr>
              <w:pStyle w:val="16"/>
              <w:ind w:firstLine="480"/>
              <w:rPr>
                <w:rFonts w:ascii="Times New Roman" w:hAnsi="Times New Roman"/>
                <w:color w:val="auto"/>
              </w:rPr>
            </w:pPr>
            <w:r>
              <w:rPr>
                <w:rFonts w:ascii="Times New Roman" w:hAnsi="Times New Roman"/>
                <w:color w:val="auto"/>
              </w:rPr>
              <w:t>本项目生产废水（清洗废水）经二级沉淀池沉淀处理循环使用不外排；初期雨水经厂区内雨水沟收集至初期雨水沉淀池处理后回用于生产；生活污水经化粪池处理后利用槽罐车定期抽吸后运送至</w:t>
            </w:r>
            <w:r>
              <w:rPr>
                <w:rFonts w:ascii="Times New Roman" w:hAnsi="Times New Roman"/>
                <w:color w:val="auto"/>
                <w:highlight w:val="none"/>
              </w:rPr>
              <w:t>福鼎市第一污水处理厂集中处理，</w:t>
            </w:r>
            <w:r>
              <w:rPr>
                <w:rFonts w:ascii="Times New Roman" w:hAnsi="Times New Roman"/>
                <w:color w:val="auto"/>
              </w:rPr>
              <w:t>污染物总量由污水处理厂统一调度，故本项目无需申请废水总量。</w:t>
            </w:r>
          </w:p>
          <w:p>
            <w:pPr>
              <w:pStyle w:val="16"/>
              <w:ind w:firstLine="480"/>
              <w:rPr>
                <w:rFonts w:ascii="Times New Roman" w:hAnsi="Times New Roman"/>
                <w:color w:val="auto"/>
              </w:rPr>
            </w:pPr>
            <w:r>
              <w:rPr>
                <w:rFonts w:ascii="Times New Roman" w:hAnsi="Times New Roman"/>
                <w:color w:val="auto"/>
              </w:rPr>
              <w:t>项目不涉及总量控制污染物的排放（排放污染物为颗粒物），故无需申请总量。</w:t>
            </w:r>
          </w:p>
          <w:p>
            <w:pPr>
              <w:pStyle w:val="16"/>
              <w:ind w:firstLine="480"/>
              <w:rPr>
                <w:rFonts w:ascii="Times New Roman" w:hAnsi="Times New Roman"/>
                <w:color w:val="auto"/>
              </w:rPr>
            </w:pPr>
          </w:p>
        </w:tc>
      </w:tr>
    </w:tbl>
    <w:p>
      <w:pPr>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4"/>
        <w:rPr>
          <w:snapToGrid w:val="0"/>
          <w:color w:val="auto"/>
        </w:rPr>
      </w:pPr>
      <w:r>
        <w:rPr>
          <w:snapToGrid w:val="0"/>
          <w:color w:val="auto"/>
        </w:rPr>
        <w:t>四、主要环境影响和保护措施</w:t>
      </w:r>
    </w:p>
    <w:tbl>
      <w:tblPr>
        <w:tblStyle w:val="10"/>
        <w:tblW w:w="88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2"/>
        <w:gridCol w:w="83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512" w:type="dxa"/>
            <w:noWrap w:val="0"/>
            <w:tcMar>
              <w:left w:w="28" w:type="dxa"/>
              <w:right w:w="28" w:type="dxa"/>
            </w:tcMar>
            <w:vAlign w:val="center"/>
          </w:tcPr>
          <w:p>
            <w:pPr>
              <w:pStyle w:val="15"/>
              <w:rPr>
                <w:color w:val="auto"/>
                <w:sz w:val="24"/>
                <w:szCs w:val="24"/>
              </w:rPr>
            </w:pPr>
            <w:r>
              <w:rPr>
                <w:color w:val="auto"/>
                <w:sz w:val="24"/>
                <w:szCs w:val="24"/>
              </w:rPr>
              <w:t>施工</w:t>
            </w:r>
          </w:p>
          <w:p>
            <w:pPr>
              <w:pStyle w:val="15"/>
              <w:rPr>
                <w:color w:val="auto"/>
                <w:sz w:val="24"/>
                <w:szCs w:val="24"/>
              </w:rPr>
            </w:pPr>
            <w:r>
              <w:rPr>
                <w:color w:val="auto"/>
                <w:sz w:val="24"/>
                <w:szCs w:val="24"/>
              </w:rPr>
              <w:t>期环</w:t>
            </w:r>
          </w:p>
          <w:p>
            <w:pPr>
              <w:pStyle w:val="15"/>
              <w:rPr>
                <w:color w:val="auto"/>
                <w:sz w:val="24"/>
                <w:szCs w:val="24"/>
              </w:rPr>
            </w:pPr>
            <w:r>
              <w:rPr>
                <w:color w:val="auto"/>
                <w:sz w:val="24"/>
                <w:szCs w:val="24"/>
              </w:rPr>
              <w:t>境保</w:t>
            </w:r>
          </w:p>
          <w:p>
            <w:pPr>
              <w:pStyle w:val="15"/>
              <w:rPr>
                <w:color w:val="auto"/>
                <w:sz w:val="24"/>
                <w:szCs w:val="24"/>
              </w:rPr>
            </w:pPr>
            <w:r>
              <w:rPr>
                <w:color w:val="auto"/>
                <w:sz w:val="24"/>
                <w:szCs w:val="24"/>
              </w:rPr>
              <w:t>护措</w:t>
            </w:r>
          </w:p>
          <w:p>
            <w:pPr>
              <w:pStyle w:val="15"/>
              <w:rPr>
                <w:bCs/>
                <w:color w:val="auto"/>
              </w:rPr>
            </w:pPr>
            <w:r>
              <w:rPr>
                <w:color w:val="auto"/>
                <w:sz w:val="24"/>
                <w:szCs w:val="24"/>
              </w:rPr>
              <w:t>施</w:t>
            </w:r>
          </w:p>
        </w:tc>
        <w:tc>
          <w:tcPr>
            <w:tcW w:w="8326" w:type="dxa"/>
            <w:noWrap w:val="0"/>
            <w:vAlign w:val="center"/>
          </w:tcPr>
          <w:p>
            <w:pPr>
              <w:pStyle w:val="20"/>
              <w:rPr>
                <w:color w:val="auto"/>
              </w:rPr>
            </w:pPr>
            <w:r>
              <w:rPr>
                <w:color w:val="auto"/>
              </w:rPr>
              <w:t>4.1施工期环境保护措施</w:t>
            </w:r>
          </w:p>
          <w:p>
            <w:pPr>
              <w:pStyle w:val="16"/>
              <w:ind w:firstLine="480"/>
              <w:rPr>
                <w:rFonts w:ascii="Times New Roman" w:hAnsi="Times New Roman"/>
                <w:color w:val="auto"/>
              </w:rPr>
            </w:pPr>
            <w:r>
              <w:rPr>
                <w:rFonts w:ascii="Times New Roman" w:hAnsi="Times New Roman"/>
                <w:color w:val="auto"/>
              </w:rPr>
              <w:t>本项目施工期工程主要为办公</w:t>
            </w:r>
            <w:r>
              <w:rPr>
                <w:rFonts w:hint="eastAsia" w:ascii="Times New Roman" w:hAnsi="Times New Roman"/>
                <w:color w:val="auto"/>
                <w:lang w:val="en-US" w:eastAsia="zh-CN"/>
              </w:rPr>
              <w:t>区域</w:t>
            </w:r>
            <w:r>
              <w:rPr>
                <w:rFonts w:ascii="Times New Roman" w:hAnsi="Times New Roman"/>
                <w:color w:val="auto"/>
              </w:rPr>
              <w:t>建设、场内临时运输道路开拓、渣石加工生产线建设、地磅建设等。</w:t>
            </w:r>
          </w:p>
          <w:p>
            <w:pPr>
              <w:pStyle w:val="17"/>
              <w:rPr>
                <w:color w:val="auto"/>
              </w:rPr>
            </w:pPr>
            <w:r>
              <w:rPr>
                <w:color w:val="auto"/>
              </w:rPr>
              <w:t>4.1.1废水防治措施</w:t>
            </w:r>
          </w:p>
          <w:p>
            <w:pPr>
              <w:ind w:firstLine="480"/>
              <w:rPr>
                <w:color w:val="auto"/>
                <w:kern w:val="0"/>
                <w:szCs w:val="24"/>
              </w:rPr>
            </w:pPr>
            <w:r>
              <w:rPr>
                <w:color w:val="auto"/>
                <w:kern w:val="0"/>
                <w:szCs w:val="24"/>
              </w:rPr>
              <w:t>（1）建筑材料需集中堆放，采取一定的防雨淋措施，及时清扫施工运输过程中抛洒的建筑材料，以免这些物质随雨水进入附近水体。</w:t>
            </w:r>
          </w:p>
          <w:p>
            <w:pPr>
              <w:ind w:firstLine="480"/>
              <w:rPr>
                <w:rFonts w:eastAsia="黑体"/>
                <w:color w:val="auto"/>
                <w:kern w:val="0"/>
                <w:szCs w:val="24"/>
              </w:rPr>
            </w:pPr>
            <w:r>
              <w:rPr>
                <w:color w:val="auto"/>
                <w:kern w:val="0"/>
                <w:szCs w:val="24"/>
              </w:rPr>
              <w:t>（2）</w:t>
            </w:r>
            <w:r>
              <w:rPr>
                <w:rFonts w:hint="eastAsia"/>
                <w:color w:val="auto"/>
                <w:kern w:val="0"/>
                <w:szCs w:val="24"/>
                <w:lang w:val="en-US" w:eastAsia="zh-CN"/>
              </w:rPr>
              <w:t>在项目区</w:t>
            </w:r>
            <w:r>
              <w:rPr>
                <w:rFonts w:hint="eastAsia"/>
                <w:color w:val="auto"/>
                <w:kern w:val="0"/>
                <w:szCs w:val="24"/>
              </w:rPr>
              <w:t>设置施工营地，施工人员生活污水经营地内化粪池</w:t>
            </w:r>
            <w:r>
              <w:rPr>
                <w:color w:val="auto"/>
              </w:rPr>
              <w:t>处理后</w:t>
            </w:r>
            <w:r>
              <w:rPr>
                <w:rFonts w:ascii="Times New Roman" w:hAnsi="Times New Roman"/>
                <w:color w:val="auto"/>
              </w:rPr>
              <w:t>利用槽罐车定期抽吸后运送至福鼎市第一污水处理厂集中处理</w:t>
            </w:r>
            <w:r>
              <w:rPr>
                <w:color w:val="auto"/>
              </w:rPr>
              <w:t>。</w:t>
            </w:r>
          </w:p>
          <w:p>
            <w:pPr>
              <w:ind w:firstLine="0" w:firstLineChars="0"/>
              <w:outlineLvl w:val="2"/>
              <w:rPr>
                <w:rFonts w:eastAsia="黑体"/>
                <w:color w:val="auto"/>
                <w:sz w:val="28"/>
                <w:szCs w:val="28"/>
              </w:rPr>
            </w:pPr>
            <w:r>
              <w:rPr>
                <w:rFonts w:eastAsia="黑体"/>
                <w:color w:val="auto"/>
                <w:sz w:val="28"/>
                <w:szCs w:val="28"/>
              </w:rPr>
              <w:t>4.1.2废气防治措施</w:t>
            </w:r>
          </w:p>
          <w:p>
            <w:pPr>
              <w:ind w:firstLine="480"/>
              <w:rPr>
                <w:rFonts w:eastAsia="黑体"/>
                <w:color w:val="auto"/>
                <w:kern w:val="0"/>
                <w:szCs w:val="24"/>
              </w:rPr>
            </w:pPr>
            <w:r>
              <w:rPr>
                <w:color w:val="auto"/>
                <w:kern w:val="0"/>
                <w:szCs w:val="24"/>
              </w:rPr>
              <w:t>（</w:t>
            </w:r>
            <w:r>
              <w:rPr>
                <w:rFonts w:eastAsia="黑体"/>
                <w:color w:val="auto"/>
                <w:kern w:val="0"/>
                <w:szCs w:val="24"/>
              </w:rPr>
              <w:t>1</w:t>
            </w:r>
            <w:r>
              <w:rPr>
                <w:color w:val="auto"/>
                <w:kern w:val="0"/>
                <w:szCs w:val="24"/>
              </w:rPr>
              <w:t>）施工单位采取分块作业、择时施工、洒水抑尘、冲洗地面和车辆等有效防尘降尘措施。</w:t>
            </w:r>
          </w:p>
          <w:p>
            <w:pPr>
              <w:pStyle w:val="16"/>
              <w:ind w:firstLine="480"/>
              <w:rPr>
                <w:rFonts w:ascii="Times New Roman" w:hAnsi="Times New Roman"/>
                <w:color w:val="auto"/>
                <w:kern w:val="2"/>
                <w:sz w:val="21"/>
              </w:rPr>
            </w:pPr>
            <w:r>
              <w:rPr>
                <w:rFonts w:ascii="Times New Roman" w:hAnsi="Times New Roman"/>
                <w:color w:val="auto"/>
                <w:szCs w:val="24"/>
              </w:rPr>
              <w:t>（</w:t>
            </w:r>
            <w:r>
              <w:rPr>
                <w:rFonts w:ascii="Times New Roman" w:hAnsi="Times New Roman" w:eastAsia="黑体"/>
                <w:color w:val="auto"/>
                <w:szCs w:val="24"/>
              </w:rPr>
              <w:t>2</w:t>
            </w:r>
            <w:r>
              <w:rPr>
                <w:rFonts w:ascii="Times New Roman" w:hAnsi="Times New Roman"/>
                <w:color w:val="auto"/>
                <w:szCs w:val="24"/>
              </w:rPr>
              <w:t>）</w:t>
            </w:r>
            <w:r>
              <w:rPr>
                <w:rFonts w:ascii="Times New Roman" w:hAnsi="Times New Roman"/>
                <w:color w:val="auto"/>
              </w:rPr>
              <w:t>项目施工过程中依照《建筑施工现场环境与卫生标准》(JGJ146-2004)和《防治城市扬尘污染技术规范》(HJ/T393-2007)有关规定，采用“湿式施工作业”，对施工现场易产生扬尘的作业面（点）、道路等进行洒水降尘，在大风日加大洒水量及洒水次数。</w:t>
            </w:r>
          </w:p>
          <w:p>
            <w:pPr>
              <w:ind w:firstLine="0" w:firstLineChars="0"/>
              <w:outlineLvl w:val="2"/>
              <w:rPr>
                <w:rFonts w:eastAsia="黑体"/>
                <w:color w:val="auto"/>
                <w:sz w:val="28"/>
                <w:szCs w:val="28"/>
              </w:rPr>
            </w:pPr>
            <w:r>
              <w:rPr>
                <w:rFonts w:eastAsia="黑体"/>
                <w:color w:val="auto"/>
                <w:sz w:val="28"/>
                <w:szCs w:val="28"/>
              </w:rPr>
              <w:t>4.1.3噪声防治措施</w:t>
            </w:r>
          </w:p>
          <w:p>
            <w:pPr>
              <w:ind w:firstLine="480"/>
              <w:rPr>
                <w:rFonts w:eastAsia="黑体"/>
                <w:color w:val="auto"/>
                <w:kern w:val="0"/>
                <w:szCs w:val="24"/>
              </w:rPr>
            </w:pPr>
            <w:r>
              <w:rPr>
                <w:color w:val="auto"/>
                <w:kern w:val="0"/>
                <w:szCs w:val="24"/>
              </w:rPr>
              <w:t>合理安排施工时间，不在午间（</w:t>
            </w:r>
            <w:r>
              <w:rPr>
                <w:rFonts w:eastAsia="黑体"/>
                <w:color w:val="auto"/>
                <w:kern w:val="0"/>
                <w:szCs w:val="24"/>
              </w:rPr>
              <w:t>12</w:t>
            </w:r>
            <w:r>
              <w:rPr>
                <w:color w:val="auto"/>
                <w:kern w:val="0"/>
                <w:szCs w:val="24"/>
              </w:rPr>
              <w:t>时至</w:t>
            </w:r>
            <w:r>
              <w:rPr>
                <w:rFonts w:eastAsia="黑体"/>
                <w:color w:val="auto"/>
                <w:kern w:val="0"/>
                <w:szCs w:val="24"/>
              </w:rPr>
              <w:t>14</w:t>
            </w:r>
            <w:r>
              <w:rPr>
                <w:color w:val="auto"/>
                <w:kern w:val="0"/>
                <w:szCs w:val="24"/>
              </w:rPr>
              <w:t>时）和夜间（</w:t>
            </w:r>
            <w:r>
              <w:rPr>
                <w:rFonts w:eastAsia="黑体"/>
                <w:color w:val="auto"/>
                <w:kern w:val="0"/>
                <w:szCs w:val="24"/>
              </w:rPr>
              <w:t>22</w:t>
            </w:r>
            <w:r>
              <w:rPr>
                <w:color w:val="auto"/>
                <w:kern w:val="0"/>
                <w:szCs w:val="24"/>
              </w:rPr>
              <w:t>时至次日</w:t>
            </w:r>
            <w:r>
              <w:rPr>
                <w:rFonts w:eastAsia="黑体"/>
                <w:color w:val="auto"/>
                <w:kern w:val="0"/>
                <w:szCs w:val="24"/>
              </w:rPr>
              <w:t>6</w:t>
            </w:r>
            <w:r>
              <w:rPr>
                <w:color w:val="auto"/>
                <w:kern w:val="0"/>
                <w:szCs w:val="24"/>
              </w:rPr>
              <w:t>时）进行施工。</w:t>
            </w:r>
          </w:p>
          <w:p>
            <w:pPr>
              <w:ind w:firstLine="0" w:firstLineChars="0"/>
              <w:outlineLvl w:val="2"/>
              <w:rPr>
                <w:rFonts w:eastAsia="黑体"/>
                <w:color w:val="auto"/>
                <w:sz w:val="28"/>
                <w:szCs w:val="28"/>
              </w:rPr>
            </w:pPr>
            <w:r>
              <w:rPr>
                <w:rFonts w:eastAsia="黑体"/>
                <w:color w:val="auto"/>
                <w:sz w:val="28"/>
                <w:szCs w:val="28"/>
              </w:rPr>
              <w:t>4.1.4固废防治措施</w:t>
            </w:r>
          </w:p>
          <w:p>
            <w:pPr>
              <w:pStyle w:val="16"/>
              <w:ind w:firstLine="480"/>
              <w:rPr>
                <w:rFonts w:ascii="Times New Roman" w:hAnsi="Times New Roman" w:eastAsia="黑体"/>
                <w:color w:val="auto"/>
              </w:rPr>
            </w:pPr>
            <w:r>
              <w:rPr>
                <w:rFonts w:ascii="Times New Roman" w:hAnsi="Times New Roman"/>
                <w:color w:val="auto"/>
              </w:rPr>
              <w:t>施工期建筑垃圾集中堆放，及时清运。对可回用的建筑垃圾外运作为建筑材料二次利用；废金属经分拣、集中后由废旧金属回收单位回收再利用。</w:t>
            </w:r>
          </w:p>
          <w:p>
            <w:pPr>
              <w:pStyle w:val="16"/>
              <w:ind w:firstLine="480"/>
              <w:rPr>
                <w:rFonts w:ascii="Times New Roman" w:hAnsi="Times New Roman"/>
                <w:color w:val="auto"/>
              </w:rPr>
            </w:pPr>
            <w:r>
              <w:rPr>
                <w:rFonts w:hint="eastAsia" w:ascii="Times New Roman" w:hAnsi="Times New Roman"/>
                <w:color w:val="auto"/>
                <w:lang w:val="en-US" w:eastAsia="zh-CN"/>
              </w:rPr>
              <w:t>在项目区</w:t>
            </w:r>
            <w:r>
              <w:rPr>
                <w:rFonts w:hint="eastAsia" w:ascii="Times New Roman" w:hAnsi="Times New Roman"/>
                <w:color w:val="auto"/>
              </w:rPr>
              <w:t>设置施工营地</w:t>
            </w:r>
            <w:r>
              <w:rPr>
                <w:rFonts w:ascii="Times New Roman" w:hAnsi="Times New Roman"/>
                <w:color w:val="auto"/>
              </w:rPr>
              <w:t>，生活垃圾</w:t>
            </w:r>
            <w:r>
              <w:rPr>
                <w:rFonts w:hint="eastAsia" w:ascii="Times New Roman" w:hAnsi="Times New Roman"/>
                <w:color w:val="auto"/>
                <w:lang w:val="en-US" w:eastAsia="zh-CN"/>
              </w:rPr>
              <w:t>集中收集</w:t>
            </w:r>
            <w:r>
              <w:rPr>
                <w:rFonts w:hint="eastAsia" w:ascii="Times New Roman" w:hAnsi="Times New Roman"/>
                <w:color w:val="auto"/>
              </w:rPr>
              <w:t>委托</w:t>
            </w:r>
            <w:r>
              <w:rPr>
                <w:rFonts w:ascii="Times New Roman" w:hAnsi="Times New Roman"/>
                <w:color w:val="auto"/>
              </w:rPr>
              <w:t>环卫部门定期清运。</w:t>
            </w:r>
          </w:p>
          <w:p>
            <w:pPr>
              <w:ind w:firstLine="4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6" w:hRule="atLeast"/>
          <w:jc w:val="center"/>
        </w:trPr>
        <w:tc>
          <w:tcPr>
            <w:tcW w:w="512" w:type="dxa"/>
            <w:noWrap w:val="0"/>
            <w:tcMar>
              <w:left w:w="28" w:type="dxa"/>
              <w:right w:w="28" w:type="dxa"/>
            </w:tcMar>
            <w:vAlign w:val="center"/>
          </w:tcPr>
          <w:p>
            <w:pPr>
              <w:pStyle w:val="15"/>
              <w:rPr>
                <w:color w:val="auto"/>
                <w:sz w:val="24"/>
                <w:szCs w:val="24"/>
              </w:rPr>
            </w:pPr>
            <w:r>
              <w:rPr>
                <w:color w:val="auto"/>
                <w:sz w:val="24"/>
                <w:szCs w:val="24"/>
              </w:rPr>
              <w:t>运营</w:t>
            </w:r>
          </w:p>
          <w:p>
            <w:pPr>
              <w:pStyle w:val="15"/>
              <w:rPr>
                <w:color w:val="auto"/>
                <w:sz w:val="24"/>
                <w:szCs w:val="24"/>
              </w:rPr>
            </w:pPr>
            <w:r>
              <w:rPr>
                <w:color w:val="auto"/>
                <w:sz w:val="24"/>
                <w:szCs w:val="24"/>
              </w:rPr>
              <w:t>期环</w:t>
            </w:r>
          </w:p>
          <w:p>
            <w:pPr>
              <w:pStyle w:val="15"/>
              <w:rPr>
                <w:color w:val="auto"/>
                <w:sz w:val="24"/>
                <w:szCs w:val="24"/>
              </w:rPr>
            </w:pPr>
            <w:r>
              <w:rPr>
                <w:color w:val="auto"/>
                <w:sz w:val="24"/>
                <w:szCs w:val="24"/>
              </w:rPr>
              <w:t>境影</w:t>
            </w:r>
          </w:p>
          <w:p>
            <w:pPr>
              <w:pStyle w:val="15"/>
              <w:rPr>
                <w:color w:val="auto"/>
                <w:sz w:val="24"/>
                <w:szCs w:val="24"/>
              </w:rPr>
            </w:pPr>
            <w:r>
              <w:rPr>
                <w:color w:val="auto"/>
                <w:sz w:val="24"/>
                <w:szCs w:val="24"/>
              </w:rPr>
              <w:t>响和</w:t>
            </w:r>
          </w:p>
          <w:p>
            <w:pPr>
              <w:pStyle w:val="15"/>
              <w:rPr>
                <w:color w:val="auto"/>
                <w:sz w:val="24"/>
                <w:szCs w:val="24"/>
              </w:rPr>
            </w:pPr>
            <w:r>
              <w:rPr>
                <w:color w:val="auto"/>
                <w:sz w:val="24"/>
                <w:szCs w:val="24"/>
              </w:rPr>
              <w:t>保护</w:t>
            </w:r>
          </w:p>
          <w:p>
            <w:pPr>
              <w:pStyle w:val="15"/>
              <w:rPr>
                <w:color w:val="auto"/>
              </w:rPr>
            </w:pPr>
            <w:r>
              <w:rPr>
                <w:color w:val="auto"/>
                <w:sz w:val="24"/>
                <w:szCs w:val="24"/>
              </w:rPr>
              <w:t>措施</w:t>
            </w:r>
          </w:p>
        </w:tc>
        <w:tc>
          <w:tcPr>
            <w:tcW w:w="8326" w:type="dxa"/>
            <w:noWrap w:val="0"/>
            <w:vAlign w:val="top"/>
          </w:tcPr>
          <w:p>
            <w:pPr>
              <w:pStyle w:val="20"/>
              <w:rPr>
                <w:color w:val="auto"/>
              </w:rPr>
            </w:pPr>
            <w:r>
              <w:rPr>
                <w:color w:val="auto"/>
              </w:rPr>
              <w:t>4.2运营期环境影响分析及保护措施</w:t>
            </w:r>
          </w:p>
          <w:p>
            <w:pPr>
              <w:pStyle w:val="17"/>
              <w:rPr>
                <w:color w:val="auto"/>
              </w:rPr>
            </w:pPr>
            <w:r>
              <w:rPr>
                <w:color w:val="auto"/>
              </w:rPr>
              <w:t>4.2.1废水</w:t>
            </w:r>
          </w:p>
          <w:p>
            <w:pPr>
              <w:pStyle w:val="22"/>
              <w:rPr>
                <w:rFonts w:ascii="Times New Roman" w:hAnsi="Times New Roman"/>
                <w:color w:val="auto"/>
              </w:rPr>
            </w:pPr>
            <w:r>
              <w:rPr>
                <w:rFonts w:ascii="Times New Roman" w:hAnsi="Times New Roman"/>
                <w:color w:val="auto"/>
              </w:rPr>
              <w:t>4.2.1.1废水污染源强分析</w:t>
            </w:r>
          </w:p>
          <w:p>
            <w:pPr>
              <w:pStyle w:val="16"/>
              <w:ind w:firstLine="480"/>
              <w:rPr>
                <w:rFonts w:ascii="Times New Roman" w:hAnsi="Times New Roman"/>
                <w:color w:val="auto"/>
              </w:rPr>
            </w:pPr>
            <w:r>
              <w:rPr>
                <w:rFonts w:ascii="Times New Roman" w:hAnsi="Times New Roman"/>
                <w:color w:val="auto"/>
              </w:rPr>
              <w:t>（1）喷淋用水</w:t>
            </w:r>
          </w:p>
          <w:p>
            <w:pPr>
              <w:ind w:firstLine="480"/>
              <w:rPr>
                <w:color w:val="auto"/>
                <w:szCs w:val="24"/>
                <w:highlight w:val="none"/>
              </w:rPr>
            </w:pPr>
            <w:r>
              <w:rPr>
                <w:color w:val="auto"/>
                <w:kern w:val="13"/>
                <w:szCs w:val="24"/>
              </w:rPr>
              <w:t>根据业主提供的生产资料，项目采用湿法生产工艺，在破碎机、干式振动筛、制砂机等设备上方安装雾化喷淋头，对工序产生的粉尘进行降尘。</w:t>
            </w:r>
            <w:r>
              <w:rPr>
                <w:color w:val="auto"/>
                <w:szCs w:val="24"/>
              </w:rPr>
              <w:t>参考《逸散性工业粉尘控制技术》中碎石加工行业喷淋用水量</w:t>
            </w:r>
            <w:r>
              <w:rPr>
                <w:color w:val="auto"/>
                <w:szCs w:val="24"/>
                <w:highlight w:val="none"/>
              </w:rPr>
              <w:t>0.025m³/t，</w:t>
            </w:r>
            <w:r>
              <w:rPr>
                <w:rFonts w:hint="eastAsia"/>
                <w:color w:val="auto"/>
                <w:szCs w:val="24"/>
                <w:highlight w:val="none"/>
                <w:lang w:val="en-US" w:eastAsia="zh-CN"/>
              </w:rPr>
              <w:t>需加工渣石约34.58万吨，所以</w:t>
            </w:r>
            <w:r>
              <w:rPr>
                <w:color w:val="auto"/>
                <w:szCs w:val="24"/>
                <w:highlight w:val="none"/>
              </w:rPr>
              <w:t>生产喷淋用水量</w:t>
            </w:r>
            <w:r>
              <w:rPr>
                <w:rFonts w:hint="eastAsia"/>
                <w:color w:val="auto"/>
                <w:szCs w:val="24"/>
                <w:highlight w:val="none"/>
                <w:lang w:val="en-US" w:eastAsia="zh-CN"/>
              </w:rPr>
              <w:t>约为0.8645</w:t>
            </w:r>
            <w:r>
              <w:rPr>
                <w:color w:val="auto"/>
                <w:highlight w:val="none"/>
              </w:rPr>
              <w:t>万</w:t>
            </w:r>
            <w:r>
              <w:rPr>
                <w:color w:val="auto"/>
                <w:szCs w:val="24"/>
                <w:highlight w:val="none"/>
              </w:rPr>
              <w:t>m³/a</w:t>
            </w:r>
            <w:r>
              <w:rPr>
                <w:rFonts w:hint="eastAsia"/>
                <w:color w:val="auto"/>
                <w:szCs w:val="24"/>
                <w:highlight w:val="none"/>
                <w:lang w:eastAsia="zh-CN"/>
              </w:rPr>
              <w:t>（</w:t>
            </w:r>
            <w:r>
              <w:rPr>
                <w:rFonts w:hint="eastAsia"/>
                <w:color w:val="auto"/>
                <w:szCs w:val="24"/>
                <w:highlight w:val="none"/>
                <w:lang w:val="en-US" w:eastAsia="zh-CN"/>
              </w:rPr>
              <w:t>28.82</w:t>
            </w:r>
            <w:r>
              <w:rPr>
                <w:color w:val="auto"/>
                <w:highlight w:val="none"/>
              </w:rPr>
              <w:t>m³/d</w:t>
            </w:r>
            <w:r>
              <w:rPr>
                <w:rFonts w:hint="eastAsia"/>
                <w:color w:val="auto"/>
                <w:szCs w:val="24"/>
                <w:highlight w:val="none"/>
                <w:lang w:eastAsia="zh-CN"/>
              </w:rPr>
              <w:t>）</w:t>
            </w:r>
            <w:r>
              <w:rPr>
                <w:color w:val="auto"/>
                <w:szCs w:val="24"/>
                <w:highlight w:val="none"/>
              </w:rPr>
              <w:t>，该部分用水基本残留在石料中和挥发到空气中。</w:t>
            </w:r>
          </w:p>
          <w:p>
            <w:pPr>
              <w:pStyle w:val="16"/>
              <w:ind w:firstLine="480"/>
              <w:rPr>
                <w:rFonts w:ascii="Times New Roman" w:hAnsi="Times New Roman"/>
                <w:color w:val="auto"/>
              </w:rPr>
            </w:pPr>
            <w:r>
              <w:rPr>
                <w:rFonts w:ascii="Times New Roman" w:hAnsi="Times New Roman"/>
                <w:color w:val="auto"/>
              </w:rPr>
              <w:t>（2）清洗废水</w:t>
            </w:r>
          </w:p>
          <w:p>
            <w:pPr>
              <w:ind w:firstLine="480"/>
              <w:rPr>
                <w:color w:val="auto"/>
                <w:highlight w:val="none"/>
              </w:rPr>
            </w:pPr>
            <w:r>
              <w:rPr>
                <w:color w:val="auto"/>
              </w:rPr>
              <w:t>根据业主提供资料，振动筛清洗用水量约为0.25m³/t，项目年清洗石料</w:t>
            </w:r>
            <w:r>
              <w:rPr>
                <w:rFonts w:hint="eastAsia"/>
                <w:color w:val="auto"/>
                <w:lang w:val="en-US" w:eastAsia="zh-CN"/>
              </w:rPr>
              <w:t>20</w:t>
            </w:r>
            <w:r>
              <w:rPr>
                <w:color w:val="auto"/>
                <w:highlight w:val="none"/>
              </w:rPr>
              <w:t>万t，则用水量为</w:t>
            </w:r>
            <w:r>
              <w:rPr>
                <w:rFonts w:hint="eastAsia"/>
                <w:color w:val="auto"/>
                <w:highlight w:val="none"/>
                <w:lang w:val="en-US" w:eastAsia="zh-CN"/>
              </w:rPr>
              <w:t>5万</w:t>
            </w:r>
            <w:r>
              <w:rPr>
                <w:color w:val="auto"/>
                <w:highlight w:val="none"/>
              </w:rPr>
              <w:t>m³/a（</w:t>
            </w:r>
            <w:r>
              <w:rPr>
                <w:rFonts w:hint="eastAsia"/>
                <w:color w:val="auto"/>
                <w:highlight w:val="none"/>
                <w:lang w:val="en-US" w:eastAsia="zh-CN"/>
              </w:rPr>
              <w:t>166.67</w:t>
            </w:r>
            <w:r>
              <w:rPr>
                <w:color w:val="auto"/>
                <w:highlight w:val="none"/>
              </w:rPr>
              <w:t>m³/d）。清洗产生的废水采用沉淀处理后，循环使用不外排。在清洗过程中蒸发、石料吸收等损耗水量约15%，则损耗水量</w:t>
            </w:r>
            <w:r>
              <w:rPr>
                <w:rFonts w:hint="eastAsia"/>
                <w:color w:val="auto"/>
                <w:highlight w:val="none"/>
                <w:lang w:val="en-US" w:eastAsia="zh-CN"/>
              </w:rPr>
              <w:t>0.75</w:t>
            </w:r>
            <w:r>
              <w:rPr>
                <w:color w:val="auto"/>
                <w:highlight w:val="none"/>
              </w:rPr>
              <w:t>万m³/a（</w:t>
            </w:r>
            <w:r>
              <w:rPr>
                <w:rFonts w:hint="eastAsia"/>
                <w:color w:val="auto"/>
                <w:highlight w:val="none"/>
                <w:lang w:val="en-US" w:eastAsia="zh-CN"/>
              </w:rPr>
              <w:t>25</w:t>
            </w:r>
            <w:r>
              <w:rPr>
                <w:color w:val="auto"/>
                <w:highlight w:val="none"/>
              </w:rPr>
              <w:t>m³/d），则每日需补充新鲜水为</w:t>
            </w:r>
            <w:r>
              <w:rPr>
                <w:rFonts w:hint="eastAsia"/>
                <w:color w:val="auto"/>
                <w:highlight w:val="none"/>
                <w:lang w:val="en-US" w:eastAsia="zh-CN"/>
              </w:rPr>
              <w:t>25</w:t>
            </w:r>
            <w:r>
              <w:rPr>
                <w:color w:val="auto"/>
                <w:highlight w:val="none"/>
              </w:rPr>
              <w:t>m³，每日循环水量</w:t>
            </w:r>
            <w:r>
              <w:rPr>
                <w:rFonts w:hint="eastAsia"/>
                <w:color w:val="auto"/>
                <w:highlight w:val="none"/>
                <w:lang w:val="en-US" w:eastAsia="zh-CN"/>
              </w:rPr>
              <w:t>141.67</w:t>
            </w:r>
            <w:r>
              <w:rPr>
                <w:color w:val="auto"/>
                <w:highlight w:val="none"/>
              </w:rPr>
              <w:t>m³。</w:t>
            </w:r>
          </w:p>
          <w:p>
            <w:pPr>
              <w:pStyle w:val="16"/>
              <w:ind w:firstLine="480"/>
              <w:rPr>
                <w:rFonts w:ascii="Times New Roman" w:hAnsi="Times New Roman"/>
                <w:color w:val="auto"/>
              </w:rPr>
            </w:pPr>
            <w:r>
              <w:rPr>
                <w:rFonts w:ascii="Times New Roman" w:hAnsi="Times New Roman"/>
                <w:color w:val="auto"/>
              </w:rPr>
              <w:t>（3）生活污水</w:t>
            </w:r>
          </w:p>
          <w:p>
            <w:pPr>
              <w:pStyle w:val="16"/>
              <w:ind w:firstLine="480"/>
              <w:rPr>
                <w:rFonts w:ascii="Times New Roman" w:hAnsi="Times New Roman"/>
                <w:color w:val="auto"/>
              </w:rPr>
            </w:pPr>
            <w:r>
              <w:rPr>
                <w:rFonts w:ascii="Times New Roman" w:hAnsi="Times New Roman"/>
                <w:color w:val="auto"/>
                <w:highlight w:val="none"/>
              </w:rPr>
              <w:t>项目定员</w:t>
            </w:r>
            <w:r>
              <w:rPr>
                <w:rFonts w:hint="eastAsia" w:ascii="Times New Roman" w:hAnsi="Times New Roman"/>
                <w:color w:val="auto"/>
                <w:highlight w:val="none"/>
                <w:lang w:val="en-US" w:eastAsia="zh-CN"/>
              </w:rPr>
              <w:t>10</w:t>
            </w:r>
            <w:r>
              <w:rPr>
                <w:rFonts w:ascii="Times New Roman" w:hAnsi="Times New Roman"/>
                <w:color w:val="auto"/>
                <w:highlight w:val="none"/>
              </w:rPr>
              <w:t>人，其中</w:t>
            </w:r>
            <w:r>
              <w:rPr>
                <w:rFonts w:hint="eastAsia" w:ascii="Times New Roman" w:hAnsi="Times New Roman"/>
                <w:color w:val="auto"/>
                <w:highlight w:val="none"/>
                <w:lang w:val="en-US" w:eastAsia="zh-CN"/>
              </w:rPr>
              <w:t>2</w:t>
            </w:r>
            <w:r>
              <w:rPr>
                <w:rFonts w:ascii="Times New Roman" w:hAnsi="Times New Roman"/>
                <w:color w:val="auto"/>
                <w:highlight w:val="none"/>
              </w:rPr>
              <w:t>人住厂，根据</w:t>
            </w:r>
            <w:r>
              <w:rPr>
                <w:rFonts w:ascii="Times New Roman" w:hAnsi="Times New Roman"/>
                <w:color w:val="auto"/>
              </w:rPr>
              <w:t>《</w:t>
            </w:r>
            <w:r>
              <w:rPr>
                <w:rFonts w:hint="eastAsia" w:ascii="Times New Roman" w:hAnsi="Times New Roman"/>
                <w:color w:val="auto"/>
                <w:lang w:val="en-US" w:eastAsia="zh-CN"/>
              </w:rPr>
              <w:t>福建省行业用水定额</w:t>
            </w:r>
            <w:r>
              <w:rPr>
                <w:rFonts w:ascii="Times New Roman" w:hAnsi="Times New Roman"/>
                <w:color w:val="auto"/>
              </w:rPr>
              <w:t>》，住厂职工每人每天用水量按150L/d计，不住厂职工每人每天用水量按50L/d计，则生活用水量为</w:t>
            </w:r>
            <w:r>
              <w:rPr>
                <w:rFonts w:hint="eastAsia" w:ascii="Times New Roman" w:hAnsi="Times New Roman"/>
                <w:color w:val="auto"/>
                <w:lang w:val="en-US" w:eastAsia="zh-CN"/>
              </w:rPr>
              <w:t>0.7</w:t>
            </w:r>
            <w:r>
              <w:rPr>
                <w:rFonts w:ascii="Times New Roman" w:hAnsi="Times New Roman"/>
                <w:color w:val="auto"/>
              </w:rPr>
              <w:t>t/d（</w:t>
            </w:r>
            <w:r>
              <w:rPr>
                <w:rFonts w:hint="eastAsia" w:ascii="Times New Roman" w:hAnsi="Times New Roman"/>
                <w:color w:val="auto"/>
                <w:lang w:val="en-US" w:eastAsia="zh-CN"/>
              </w:rPr>
              <w:t>210</w:t>
            </w:r>
            <w:r>
              <w:rPr>
                <w:rFonts w:ascii="Times New Roman" w:hAnsi="Times New Roman"/>
                <w:color w:val="auto"/>
              </w:rPr>
              <w:t>t/a），排污系数按0.8计算，则污水排放量为</w:t>
            </w:r>
            <w:r>
              <w:rPr>
                <w:rFonts w:hint="eastAsia" w:ascii="Times New Roman" w:hAnsi="Times New Roman"/>
                <w:color w:val="auto"/>
                <w:lang w:val="en-US" w:eastAsia="zh-CN"/>
              </w:rPr>
              <w:t>0.56</w:t>
            </w:r>
            <w:r>
              <w:rPr>
                <w:rFonts w:ascii="Times New Roman" w:hAnsi="Times New Roman"/>
                <w:color w:val="auto"/>
              </w:rPr>
              <w:t>t/d（</w:t>
            </w:r>
            <w:r>
              <w:rPr>
                <w:rFonts w:hint="eastAsia" w:ascii="Times New Roman" w:hAnsi="Times New Roman"/>
                <w:color w:val="auto"/>
                <w:lang w:val="en-US" w:eastAsia="zh-CN"/>
              </w:rPr>
              <w:t>168</w:t>
            </w:r>
            <w:r>
              <w:rPr>
                <w:rFonts w:ascii="Times New Roman" w:hAnsi="Times New Roman"/>
                <w:color w:val="auto"/>
              </w:rPr>
              <w:t>t/a）。本项目员工生活污水经厂区内化粪池处理后利用槽罐车定期抽吸后运送至福鼎市第一污水处理厂集中处理，转运过程需全程监管，避免滴撒漏，错开交通高峰期进行转运。</w:t>
            </w:r>
          </w:p>
          <w:p>
            <w:pPr>
              <w:pStyle w:val="16"/>
              <w:ind w:firstLine="480"/>
              <w:rPr>
                <w:rFonts w:ascii="Times New Roman" w:hAnsi="Times New Roman"/>
                <w:color w:val="auto"/>
              </w:rPr>
            </w:pPr>
            <w:r>
              <w:rPr>
                <w:rFonts w:ascii="Times New Roman" w:hAnsi="Times New Roman"/>
                <w:color w:val="auto"/>
              </w:rPr>
              <w:t>生活污水主要是职工冲厕、洗涤用水等，有机物含量较高，参考《给排水设计手册》（第五册城镇排水）典型生活污水水质，确定本项目污水污染物浓度为：COD400mg/L、BOD</w:t>
            </w:r>
            <w:r>
              <w:rPr>
                <w:rFonts w:ascii="Times New Roman" w:hAnsi="Times New Roman"/>
                <w:color w:val="auto"/>
                <w:vertAlign w:val="subscript"/>
              </w:rPr>
              <w:t>5</w:t>
            </w:r>
            <w:r>
              <w:rPr>
                <w:rFonts w:ascii="Times New Roman" w:hAnsi="Times New Roman"/>
                <w:color w:val="auto"/>
              </w:rPr>
              <w:t>250mg/L、氨氮35mg/L、SS220mg/L，产排情况见表4.2-1。</w:t>
            </w:r>
          </w:p>
          <w:p>
            <w:pPr>
              <w:pStyle w:val="13"/>
              <w:rPr>
                <w:color w:val="auto"/>
              </w:rPr>
            </w:pPr>
            <w:r>
              <w:rPr>
                <w:color w:val="auto"/>
              </w:rPr>
              <w:t>表4.2-1运营期生活污水产生和排放情况表</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2465"/>
              <w:gridCol w:w="847"/>
              <w:gridCol w:w="1006"/>
              <w:gridCol w:w="882"/>
              <w:gridCol w:w="9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19" w:type="dxa"/>
                  <w:noWrap w:val="0"/>
                  <w:vAlign w:val="center"/>
                </w:tcPr>
                <w:p>
                  <w:pPr>
                    <w:pStyle w:val="15"/>
                    <w:ind w:firstLine="0" w:firstLineChars="0"/>
                    <w:rPr>
                      <w:color w:val="auto"/>
                    </w:rPr>
                  </w:pPr>
                  <w:r>
                    <w:rPr>
                      <w:color w:val="auto"/>
                    </w:rPr>
                    <w:t>废水量</w:t>
                  </w:r>
                </w:p>
              </w:tc>
              <w:tc>
                <w:tcPr>
                  <w:tcW w:w="2465" w:type="dxa"/>
                  <w:noWrap w:val="0"/>
                  <w:vAlign w:val="center"/>
                </w:tcPr>
                <w:p>
                  <w:pPr>
                    <w:pStyle w:val="15"/>
                    <w:ind w:firstLine="0" w:firstLineChars="0"/>
                    <w:rPr>
                      <w:color w:val="auto"/>
                    </w:rPr>
                  </w:pPr>
                  <w:r>
                    <w:rPr>
                      <w:color w:val="auto"/>
                    </w:rPr>
                    <w:t>项目</w:t>
                  </w:r>
                </w:p>
              </w:tc>
              <w:tc>
                <w:tcPr>
                  <w:tcW w:w="847" w:type="dxa"/>
                  <w:noWrap w:val="0"/>
                  <w:vAlign w:val="center"/>
                </w:tcPr>
                <w:p>
                  <w:pPr>
                    <w:pStyle w:val="15"/>
                    <w:ind w:firstLine="0" w:firstLineChars="0"/>
                    <w:rPr>
                      <w:color w:val="auto"/>
                    </w:rPr>
                  </w:pPr>
                  <w:r>
                    <w:rPr>
                      <w:color w:val="auto"/>
                    </w:rPr>
                    <w:t>COD</w:t>
                  </w:r>
                </w:p>
              </w:tc>
              <w:tc>
                <w:tcPr>
                  <w:tcW w:w="1006" w:type="dxa"/>
                  <w:noWrap w:val="0"/>
                  <w:vAlign w:val="center"/>
                </w:tcPr>
                <w:p>
                  <w:pPr>
                    <w:pStyle w:val="15"/>
                    <w:ind w:firstLine="0" w:firstLineChars="0"/>
                    <w:rPr>
                      <w:color w:val="auto"/>
                    </w:rPr>
                  </w:pPr>
                  <w:r>
                    <w:rPr>
                      <w:color w:val="auto"/>
                    </w:rPr>
                    <w:t>BOD</w:t>
                  </w:r>
                  <w:r>
                    <w:rPr>
                      <w:color w:val="auto"/>
                      <w:vertAlign w:val="subscript"/>
                    </w:rPr>
                    <w:t>5</w:t>
                  </w:r>
                </w:p>
              </w:tc>
              <w:tc>
                <w:tcPr>
                  <w:tcW w:w="882" w:type="dxa"/>
                  <w:noWrap w:val="0"/>
                  <w:vAlign w:val="center"/>
                </w:tcPr>
                <w:p>
                  <w:pPr>
                    <w:pStyle w:val="15"/>
                    <w:ind w:firstLine="0" w:firstLineChars="0"/>
                    <w:rPr>
                      <w:color w:val="auto"/>
                    </w:rPr>
                  </w:pPr>
                  <w:r>
                    <w:rPr>
                      <w:color w:val="auto"/>
                    </w:rPr>
                    <w:t>SS</w:t>
                  </w:r>
                </w:p>
              </w:tc>
              <w:tc>
                <w:tcPr>
                  <w:tcW w:w="960" w:type="dxa"/>
                  <w:noWrap w:val="0"/>
                  <w:vAlign w:val="center"/>
                </w:tcPr>
                <w:p>
                  <w:pPr>
                    <w:pStyle w:val="15"/>
                    <w:ind w:firstLine="0" w:firstLineChars="0"/>
                    <w:rPr>
                      <w:color w:val="auto"/>
                    </w:rPr>
                  </w:pPr>
                  <w:r>
                    <w:rPr>
                      <w:color w:val="auto"/>
                    </w:rPr>
                    <w:t>NH</w:t>
                  </w:r>
                  <w:r>
                    <w:rPr>
                      <w:color w:val="auto"/>
                      <w:vertAlign w:val="subscript"/>
                    </w:rPr>
                    <w:t>3</w:t>
                  </w:r>
                  <w:r>
                    <w:rPr>
                      <w:color w:val="auto"/>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19" w:type="dxa"/>
                  <w:vMerge w:val="restart"/>
                  <w:noWrap w:val="0"/>
                  <w:vAlign w:val="center"/>
                </w:tcPr>
                <w:p>
                  <w:pPr>
                    <w:pStyle w:val="15"/>
                    <w:ind w:firstLine="0" w:firstLineChars="0"/>
                    <w:rPr>
                      <w:color w:val="auto"/>
                    </w:rPr>
                  </w:pPr>
                  <w:r>
                    <w:rPr>
                      <w:color w:val="auto"/>
                    </w:rPr>
                    <w:t>生活污水（</w:t>
                  </w:r>
                  <w:r>
                    <w:rPr>
                      <w:rFonts w:hint="eastAsia"/>
                      <w:color w:val="auto"/>
                      <w:lang w:val="en-US" w:eastAsia="zh-CN"/>
                    </w:rPr>
                    <w:t>168</w:t>
                  </w:r>
                  <w:r>
                    <w:rPr>
                      <w:color w:val="auto"/>
                    </w:rPr>
                    <w:t>t/a）</w:t>
                  </w:r>
                </w:p>
              </w:tc>
              <w:tc>
                <w:tcPr>
                  <w:tcW w:w="2465" w:type="dxa"/>
                  <w:noWrap w:val="0"/>
                  <w:vAlign w:val="center"/>
                </w:tcPr>
                <w:p>
                  <w:pPr>
                    <w:pStyle w:val="15"/>
                    <w:ind w:firstLine="0" w:firstLineChars="0"/>
                    <w:rPr>
                      <w:color w:val="auto"/>
                    </w:rPr>
                  </w:pPr>
                  <w:r>
                    <w:rPr>
                      <w:color w:val="auto"/>
                    </w:rPr>
                    <w:t>污染物产生浓度(mg/L)</w:t>
                  </w:r>
                </w:p>
              </w:tc>
              <w:tc>
                <w:tcPr>
                  <w:tcW w:w="847" w:type="dxa"/>
                  <w:noWrap w:val="0"/>
                  <w:vAlign w:val="center"/>
                </w:tcPr>
                <w:p>
                  <w:pPr>
                    <w:pStyle w:val="15"/>
                    <w:ind w:firstLine="0" w:firstLineChars="0"/>
                    <w:rPr>
                      <w:color w:val="auto"/>
                    </w:rPr>
                  </w:pPr>
                  <w:r>
                    <w:rPr>
                      <w:color w:val="auto"/>
                    </w:rPr>
                    <w:t>400</w:t>
                  </w:r>
                </w:p>
              </w:tc>
              <w:tc>
                <w:tcPr>
                  <w:tcW w:w="1006" w:type="dxa"/>
                  <w:noWrap w:val="0"/>
                  <w:vAlign w:val="center"/>
                </w:tcPr>
                <w:p>
                  <w:pPr>
                    <w:pStyle w:val="15"/>
                    <w:ind w:firstLine="0" w:firstLineChars="0"/>
                    <w:rPr>
                      <w:color w:val="auto"/>
                    </w:rPr>
                  </w:pPr>
                  <w:r>
                    <w:rPr>
                      <w:color w:val="auto"/>
                    </w:rPr>
                    <w:t>250</w:t>
                  </w:r>
                </w:p>
              </w:tc>
              <w:tc>
                <w:tcPr>
                  <w:tcW w:w="882" w:type="dxa"/>
                  <w:noWrap w:val="0"/>
                  <w:vAlign w:val="center"/>
                </w:tcPr>
                <w:p>
                  <w:pPr>
                    <w:pStyle w:val="15"/>
                    <w:ind w:firstLine="0" w:firstLineChars="0"/>
                    <w:rPr>
                      <w:color w:val="auto"/>
                    </w:rPr>
                  </w:pPr>
                  <w:r>
                    <w:rPr>
                      <w:color w:val="auto"/>
                    </w:rPr>
                    <w:t>220</w:t>
                  </w:r>
                </w:p>
              </w:tc>
              <w:tc>
                <w:tcPr>
                  <w:tcW w:w="960" w:type="dxa"/>
                  <w:noWrap w:val="0"/>
                  <w:vAlign w:val="center"/>
                </w:tcPr>
                <w:p>
                  <w:pPr>
                    <w:pStyle w:val="15"/>
                    <w:ind w:firstLine="0" w:firstLineChars="0"/>
                    <w:rPr>
                      <w:color w:val="auto"/>
                    </w:rPr>
                  </w:pPr>
                  <w:r>
                    <w:rPr>
                      <w:color w:val="auto"/>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919" w:type="dxa"/>
                  <w:vMerge w:val="continue"/>
                  <w:noWrap w:val="0"/>
                  <w:vAlign w:val="center"/>
                </w:tcPr>
                <w:p>
                  <w:pPr>
                    <w:pStyle w:val="15"/>
                    <w:ind w:firstLine="0" w:firstLineChars="0"/>
                    <w:rPr>
                      <w:color w:val="auto"/>
                    </w:rPr>
                  </w:pPr>
                </w:p>
              </w:tc>
              <w:tc>
                <w:tcPr>
                  <w:tcW w:w="2465" w:type="dxa"/>
                  <w:noWrap w:val="0"/>
                  <w:vAlign w:val="center"/>
                </w:tcPr>
                <w:p>
                  <w:pPr>
                    <w:pStyle w:val="15"/>
                    <w:ind w:firstLine="0" w:firstLineChars="0"/>
                    <w:rPr>
                      <w:color w:val="auto"/>
                    </w:rPr>
                  </w:pPr>
                  <w:r>
                    <w:rPr>
                      <w:color w:val="auto"/>
                    </w:rPr>
                    <w:t>污染物产生量(t/a)</w:t>
                  </w:r>
                </w:p>
              </w:tc>
              <w:tc>
                <w:tcPr>
                  <w:tcW w:w="847" w:type="dxa"/>
                  <w:noWrap w:val="0"/>
                  <w:vAlign w:val="center"/>
                </w:tcPr>
                <w:p>
                  <w:pPr>
                    <w:pStyle w:val="15"/>
                    <w:ind w:firstLine="0" w:firstLineChars="0"/>
                    <w:rPr>
                      <w:rFonts w:hint="default"/>
                      <w:color w:val="auto"/>
                      <w:lang w:val="en-US" w:eastAsia="zh-CN"/>
                    </w:rPr>
                  </w:pPr>
                  <w:r>
                    <w:rPr>
                      <w:rFonts w:hint="eastAsia"/>
                      <w:color w:val="auto"/>
                      <w:lang w:val="en-US" w:eastAsia="zh-CN"/>
                    </w:rPr>
                    <w:t>0.0672</w:t>
                  </w:r>
                </w:p>
              </w:tc>
              <w:tc>
                <w:tcPr>
                  <w:tcW w:w="1006" w:type="dxa"/>
                  <w:noWrap w:val="0"/>
                  <w:vAlign w:val="center"/>
                </w:tcPr>
                <w:p>
                  <w:pPr>
                    <w:pStyle w:val="15"/>
                    <w:ind w:firstLine="0" w:firstLineChars="0"/>
                    <w:rPr>
                      <w:color w:val="auto"/>
                      <w:lang w:val="en-US" w:eastAsia="zh-CN"/>
                    </w:rPr>
                  </w:pPr>
                  <w:r>
                    <w:rPr>
                      <w:rFonts w:hint="eastAsia"/>
                      <w:color w:val="auto"/>
                      <w:lang w:val="en-US" w:eastAsia="zh-CN"/>
                    </w:rPr>
                    <w:t>0.042</w:t>
                  </w:r>
                  <w:r>
                    <w:rPr>
                      <w:color w:val="auto"/>
                    </w:rPr>
                    <w:t xml:space="preserve"> </w:t>
                  </w:r>
                </w:p>
              </w:tc>
              <w:tc>
                <w:tcPr>
                  <w:tcW w:w="882" w:type="dxa"/>
                  <w:noWrap w:val="0"/>
                  <w:vAlign w:val="center"/>
                </w:tcPr>
                <w:p>
                  <w:pPr>
                    <w:pStyle w:val="15"/>
                    <w:ind w:firstLine="0" w:firstLineChars="0"/>
                    <w:rPr>
                      <w:color w:val="auto"/>
                      <w:lang w:val="en-US" w:eastAsia="zh-CN"/>
                    </w:rPr>
                  </w:pPr>
                  <w:r>
                    <w:rPr>
                      <w:rFonts w:hint="eastAsia"/>
                      <w:color w:val="auto"/>
                      <w:lang w:val="en-US" w:eastAsia="zh-CN"/>
                    </w:rPr>
                    <w:t>0.0370</w:t>
                  </w:r>
                  <w:r>
                    <w:rPr>
                      <w:color w:val="auto"/>
                    </w:rPr>
                    <w:t xml:space="preserve"> </w:t>
                  </w:r>
                </w:p>
              </w:tc>
              <w:tc>
                <w:tcPr>
                  <w:tcW w:w="960" w:type="dxa"/>
                  <w:noWrap w:val="0"/>
                  <w:vAlign w:val="center"/>
                </w:tcPr>
                <w:p>
                  <w:pPr>
                    <w:pStyle w:val="15"/>
                    <w:ind w:firstLine="0" w:firstLineChars="0"/>
                    <w:rPr>
                      <w:color w:val="auto"/>
                      <w:lang w:val="en-US" w:eastAsia="zh-CN"/>
                    </w:rPr>
                  </w:pPr>
                  <w:r>
                    <w:rPr>
                      <w:rFonts w:hint="eastAsia"/>
                      <w:color w:val="auto"/>
                      <w:lang w:val="en-US" w:eastAsia="zh-CN"/>
                    </w:rPr>
                    <w:t>0.0059</w:t>
                  </w:r>
                  <w:r>
                    <w:rPr>
                      <w:color w:val="auto"/>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384" w:type="dxa"/>
                  <w:gridSpan w:val="2"/>
                  <w:noWrap w:val="0"/>
                  <w:vAlign w:val="center"/>
                </w:tcPr>
                <w:p>
                  <w:pPr>
                    <w:pStyle w:val="15"/>
                    <w:ind w:firstLine="0" w:firstLineChars="0"/>
                    <w:rPr>
                      <w:color w:val="auto"/>
                    </w:rPr>
                  </w:pPr>
                  <w:r>
                    <w:rPr>
                      <w:color w:val="auto"/>
                    </w:rPr>
                    <w:t>经化粪池处理后废水排放浓度(mg/L)</w:t>
                  </w:r>
                </w:p>
              </w:tc>
              <w:tc>
                <w:tcPr>
                  <w:tcW w:w="847" w:type="dxa"/>
                  <w:noWrap w:val="0"/>
                  <w:vAlign w:val="center"/>
                </w:tcPr>
                <w:p>
                  <w:pPr>
                    <w:pStyle w:val="15"/>
                    <w:ind w:firstLine="0" w:firstLineChars="0"/>
                    <w:rPr>
                      <w:color w:val="auto"/>
                      <w:lang w:val="en-US" w:eastAsia="zh-CN"/>
                    </w:rPr>
                  </w:pPr>
                  <w:r>
                    <w:rPr>
                      <w:color w:val="auto"/>
                    </w:rPr>
                    <w:t>200</w:t>
                  </w:r>
                </w:p>
              </w:tc>
              <w:tc>
                <w:tcPr>
                  <w:tcW w:w="1006" w:type="dxa"/>
                  <w:noWrap w:val="0"/>
                  <w:vAlign w:val="center"/>
                </w:tcPr>
                <w:p>
                  <w:pPr>
                    <w:pStyle w:val="15"/>
                    <w:ind w:firstLine="0" w:firstLineChars="0"/>
                    <w:rPr>
                      <w:color w:val="auto"/>
                      <w:lang w:val="en-US" w:eastAsia="zh-CN"/>
                    </w:rPr>
                  </w:pPr>
                  <w:r>
                    <w:rPr>
                      <w:color w:val="auto"/>
                    </w:rPr>
                    <w:t>100</w:t>
                  </w:r>
                </w:p>
              </w:tc>
              <w:tc>
                <w:tcPr>
                  <w:tcW w:w="882" w:type="dxa"/>
                  <w:noWrap w:val="0"/>
                  <w:vAlign w:val="center"/>
                </w:tcPr>
                <w:p>
                  <w:pPr>
                    <w:pStyle w:val="15"/>
                    <w:ind w:firstLine="0" w:firstLineChars="0"/>
                    <w:rPr>
                      <w:color w:val="auto"/>
                      <w:lang w:val="en-US" w:eastAsia="zh-CN"/>
                    </w:rPr>
                  </w:pPr>
                  <w:r>
                    <w:rPr>
                      <w:color w:val="auto"/>
                    </w:rPr>
                    <w:t>100</w:t>
                  </w:r>
                </w:p>
              </w:tc>
              <w:tc>
                <w:tcPr>
                  <w:tcW w:w="960" w:type="dxa"/>
                  <w:noWrap w:val="0"/>
                  <w:vAlign w:val="center"/>
                </w:tcPr>
                <w:p>
                  <w:pPr>
                    <w:pStyle w:val="15"/>
                    <w:ind w:firstLine="0" w:firstLineChars="0"/>
                    <w:rPr>
                      <w:color w:val="auto"/>
                      <w:lang w:val="en-US" w:eastAsia="zh-CN"/>
                    </w:rPr>
                  </w:pPr>
                  <w:r>
                    <w:rPr>
                      <w:color w:val="auto"/>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384" w:type="dxa"/>
                  <w:gridSpan w:val="2"/>
                  <w:noWrap w:val="0"/>
                  <w:vAlign w:val="center"/>
                </w:tcPr>
                <w:p>
                  <w:pPr>
                    <w:pStyle w:val="15"/>
                    <w:ind w:firstLine="0" w:firstLineChars="0"/>
                    <w:rPr>
                      <w:color w:val="auto"/>
                    </w:rPr>
                  </w:pPr>
                  <w:r>
                    <w:rPr>
                      <w:color w:val="auto"/>
                    </w:rPr>
                    <w:t>经化粪池处理后废水排放量(t/a)</w:t>
                  </w:r>
                </w:p>
              </w:tc>
              <w:tc>
                <w:tcPr>
                  <w:tcW w:w="847" w:type="dxa"/>
                  <w:noWrap w:val="0"/>
                  <w:vAlign w:val="center"/>
                </w:tcPr>
                <w:p>
                  <w:pPr>
                    <w:pStyle w:val="15"/>
                    <w:ind w:firstLine="0" w:firstLineChars="0"/>
                    <w:rPr>
                      <w:rFonts w:hint="default" w:eastAsia="宋体"/>
                      <w:color w:val="auto"/>
                      <w:lang w:val="en-US" w:eastAsia="zh-CN"/>
                    </w:rPr>
                  </w:pPr>
                  <w:r>
                    <w:rPr>
                      <w:rFonts w:hint="eastAsia"/>
                      <w:color w:val="auto"/>
                      <w:lang w:val="en-US" w:eastAsia="zh-CN"/>
                    </w:rPr>
                    <w:t>0.0504</w:t>
                  </w:r>
                </w:p>
              </w:tc>
              <w:tc>
                <w:tcPr>
                  <w:tcW w:w="1006" w:type="dxa"/>
                  <w:noWrap w:val="0"/>
                  <w:vAlign w:val="center"/>
                </w:tcPr>
                <w:p>
                  <w:pPr>
                    <w:pStyle w:val="15"/>
                    <w:ind w:firstLine="0" w:firstLineChars="0"/>
                    <w:rPr>
                      <w:color w:val="auto"/>
                      <w:lang w:val="en-US" w:eastAsia="zh-CN"/>
                    </w:rPr>
                  </w:pPr>
                  <w:r>
                    <w:rPr>
                      <w:rFonts w:hint="eastAsia"/>
                      <w:color w:val="auto"/>
                      <w:lang w:val="en-US" w:eastAsia="zh-CN"/>
                    </w:rPr>
                    <w:t>0.0252</w:t>
                  </w:r>
                  <w:r>
                    <w:rPr>
                      <w:color w:val="auto"/>
                    </w:rPr>
                    <w:t xml:space="preserve"> </w:t>
                  </w:r>
                </w:p>
              </w:tc>
              <w:tc>
                <w:tcPr>
                  <w:tcW w:w="882" w:type="dxa"/>
                  <w:noWrap w:val="0"/>
                  <w:vAlign w:val="center"/>
                </w:tcPr>
                <w:p>
                  <w:pPr>
                    <w:pStyle w:val="15"/>
                    <w:ind w:firstLine="0" w:firstLineChars="0"/>
                    <w:jc w:val="both"/>
                    <w:rPr>
                      <w:rFonts w:hint="default" w:eastAsia="宋体"/>
                      <w:color w:val="auto"/>
                      <w:lang w:val="en-US" w:eastAsia="zh-CN"/>
                    </w:rPr>
                  </w:pPr>
                  <w:r>
                    <w:rPr>
                      <w:rFonts w:hint="eastAsia"/>
                      <w:color w:val="auto"/>
                      <w:lang w:val="en-US" w:eastAsia="zh-CN"/>
                    </w:rPr>
                    <w:t>0.0302</w:t>
                  </w:r>
                </w:p>
              </w:tc>
              <w:tc>
                <w:tcPr>
                  <w:tcW w:w="960" w:type="dxa"/>
                  <w:noWrap w:val="0"/>
                  <w:vAlign w:val="center"/>
                </w:tcPr>
                <w:p>
                  <w:pPr>
                    <w:pStyle w:val="15"/>
                    <w:ind w:firstLine="0" w:firstLineChars="0"/>
                    <w:rPr>
                      <w:color w:val="auto"/>
                      <w:lang w:val="en-US" w:eastAsia="zh-CN"/>
                    </w:rPr>
                  </w:pPr>
                  <w:r>
                    <w:rPr>
                      <w:rFonts w:hint="eastAsia"/>
                      <w:color w:val="auto"/>
                      <w:lang w:val="en-US" w:eastAsia="zh-CN"/>
                    </w:rPr>
                    <w:t>0.0059</w:t>
                  </w:r>
                  <w:r>
                    <w:rPr>
                      <w:color w:val="auto"/>
                    </w:rPr>
                    <w:t xml:space="preserve"> </w:t>
                  </w:r>
                </w:p>
              </w:tc>
            </w:tr>
          </w:tbl>
          <w:p>
            <w:pPr>
              <w:pStyle w:val="16"/>
              <w:ind w:firstLine="480"/>
              <w:rPr>
                <w:rFonts w:ascii="Times New Roman" w:hAnsi="Times New Roman"/>
                <w:color w:val="auto"/>
                <w:kern w:val="2"/>
                <w:szCs w:val="24"/>
              </w:rPr>
            </w:pPr>
            <w:r>
              <w:rPr>
                <w:rFonts w:ascii="Times New Roman" w:hAnsi="Times New Roman"/>
                <w:color w:val="auto"/>
              </w:rPr>
              <w:t>（4）初期雨水</w:t>
            </w:r>
          </w:p>
          <w:p>
            <w:pPr>
              <w:pStyle w:val="16"/>
              <w:ind w:firstLine="480"/>
              <w:rPr>
                <w:rFonts w:ascii="Times New Roman" w:hAnsi="Times New Roman"/>
                <w:b/>
                <w:bCs/>
                <w:color w:val="auto"/>
                <w:kern w:val="2"/>
              </w:rPr>
            </w:pPr>
            <w:r>
              <w:rPr>
                <w:rFonts w:ascii="Times New Roman" w:hAnsi="Times New Roman"/>
                <w:color w:val="auto"/>
              </w:rPr>
              <w:t>根据《福建省城市及部分县城暴雨强度计算公式》，福鼎市暴雨强度计算公式为：</w:t>
            </w:r>
            <w:r>
              <w:rPr>
                <w:rFonts w:ascii="Times New Roman" w:hAnsi="Times New Roman"/>
                <w:color w:val="auto"/>
              </w:rPr>
              <w:fldChar w:fldCharType="begin"/>
            </w:r>
            <w:r>
              <w:rPr>
                <w:rFonts w:ascii="Times New Roman" w:hAnsi="Times New Roman"/>
                <w:color w:val="auto"/>
              </w:rPr>
              <w:instrText xml:space="preserve"> INCLUDEPICTURE "C:\\Users\\ADMINI~1\\AppData\\Local\\Temp\\ksohtml\\wps5A96.tmp.jpg" \* MERGEFORMATINET </w:instrText>
            </w:r>
            <w:r>
              <w:rPr>
                <w:rFonts w:ascii="Times New Roman" w:hAnsi="Times New Roman"/>
                <w:color w:val="auto"/>
              </w:rPr>
              <w:fldChar w:fldCharType="separate"/>
            </w:r>
            <w:r>
              <w:rPr>
                <w:rFonts w:ascii="Times New Roman" w:hAnsi="Times New Roman"/>
                <w:color w:val="auto"/>
              </w:rPr>
              <w:drawing>
                <wp:inline distT="0" distB="0" distL="114300" distR="114300">
                  <wp:extent cx="1922780" cy="457835"/>
                  <wp:effectExtent l="0" t="0" r="1270" b="18415"/>
                  <wp:docPr id="1" name="图片 1" descr="wps5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5A96"/>
                          <pic:cNvPicPr>
                            <a:picLocks noChangeAspect="1"/>
                          </pic:cNvPicPr>
                        </pic:nvPicPr>
                        <pic:blipFill>
                          <a:blip r:embed="rId17"/>
                          <a:stretch>
                            <a:fillRect/>
                          </a:stretch>
                        </pic:blipFill>
                        <pic:spPr>
                          <a:xfrm>
                            <a:off x="0" y="0"/>
                            <a:ext cx="1922780" cy="457835"/>
                          </a:xfrm>
                          <a:prstGeom prst="rect">
                            <a:avLst/>
                          </a:prstGeom>
                          <a:noFill/>
                          <a:ln>
                            <a:noFill/>
                          </a:ln>
                        </pic:spPr>
                      </pic:pic>
                    </a:graphicData>
                  </a:graphic>
                </wp:inline>
              </w:drawing>
            </w:r>
            <w:r>
              <w:rPr>
                <w:rFonts w:ascii="Times New Roman" w:hAnsi="Times New Roman"/>
                <w:color w:val="auto"/>
              </w:rPr>
              <w:fldChar w:fldCharType="end"/>
            </w:r>
          </w:p>
          <w:p>
            <w:pPr>
              <w:pStyle w:val="16"/>
              <w:ind w:firstLine="480"/>
              <w:rPr>
                <w:rFonts w:ascii="Times New Roman" w:hAnsi="Times New Roman"/>
                <w:color w:val="auto"/>
              </w:rPr>
            </w:pPr>
            <w:r>
              <w:rPr>
                <w:rFonts w:ascii="Times New Roman" w:hAnsi="Times New Roman"/>
                <w:color w:val="auto"/>
              </w:rPr>
              <w:t>式中：q：暴雨强度，L/s·公顷；</w:t>
            </w:r>
          </w:p>
          <w:p>
            <w:pPr>
              <w:pStyle w:val="16"/>
              <w:ind w:firstLine="480"/>
              <w:rPr>
                <w:rFonts w:ascii="Times New Roman" w:hAnsi="Times New Roman"/>
                <w:color w:val="auto"/>
              </w:rPr>
            </w:pPr>
            <w:r>
              <w:rPr>
                <w:rFonts w:ascii="Times New Roman" w:hAnsi="Times New Roman"/>
                <w:color w:val="auto"/>
              </w:rPr>
              <w:t>Te：降雨的重现期，取1年；</w:t>
            </w:r>
          </w:p>
          <w:p>
            <w:pPr>
              <w:pStyle w:val="16"/>
              <w:ind w:firstLine="480"/>
              <w:rPr>
                <w:rFonts w:ascii="Times New Roman" w:hAnsi="Times New Roman"/>
                <w:b/>
                <w:bCs/>
                <w:color w:val="auto"/>
              </w:rPr>
            </w:pPr>
            <w:r>
              <w:rPr>
                <w:rFonts w:ascii="Times New Roman" w:hAnsi="Times New Roman"/>
                <w:color w:val="auto"/>
              </w:rPr>
              <w:t>t：降雨历时，取5分钟。</w:t>
            </w:r>
          </w:p>
          <w:p>
            <w:pPr>
              <w:pStyle w:val="16"/>
              <w:ind w:firstLine="480"/>
              <w:rPr>
                <w:rFonts w:ascii="Times New Roman" w:hAnsi="Times New Roman"/>
                <w:color w:val="auto"/>
              </w:rPr>
            </w:pPr>
            <w:r>
              <w:rPr>
                <w:rFonts w:ascii="Times New Roman" w:hAnsi="Times New Roman"/>
                <w:color w:val="auto"/>
              </w:rPr>
              <w:t>由上式计算出，项目区域暴雨强度为374.283升/秒·公顷。</w:t>
            </w:r>
          </w:p>
          <w:p>
            <w:pPr>
              <w:pStyle w:val="16"/>
              <w:ind w:firstLine="480"/>
              <w:rPr>
                <w:rFonts w:ascii="Times New Roman" w:hAnsi="Times New Roman"/>
                <w:color w:val="auto"/>
              </w:rPr>
            </w:pPr>
            <w:r>
              <w:rPr>
                <w:rFonts w:ascii="Times New Roman" w:hAnsi="Times New Roman"/>
                <w:color w:val="auto"/>
              </w:rPr>
              <w:t>根据《室外排水工程规范》(中国建筑工业出版社)，雨水流量计算公式如下：</w:t>
            </w:r>
          </w:p>
          <w:p>
            <w:pPr>
              <w:pStyle w:val="16"/>
              <w:ind w:firstLine="480"/>
              <w:rPr>
                <w:rFonts w:ascii="Times New Roman" w:hAnsi="Times New Roman"/>
                <w:color w:val="auto"/>
              </w:rPr>
            </w:pPr>
            <w:r>
              <w:rPr>
                <w:rFonts w:ascii="Times New Roman" w:hAnsi="Times New Roman"/>
                <w:color w:val="auto"/>
              </w:rPr>
              <w:t>Q=q×Ψ×F</w:t>
            </w:r>
          </w:p>
          <w:p>
            <w:pPr>
              <w:pStyle w:val="16"/>
              <w:ind w:firstLine="480"/>
              <w:rPr>
                <w:rFonts w:ascii="Times New Roman" w:hAnsi="Times New Roman"/>
                <w:color w:val="auto"/>
              </w:rPr>
            </w:pPr>
            <w:r>
              <w:rPr>
                <w:rFonts w:ascii="Times New Roman" w:hAnsi="Times New Roman"/>
                <w:color w:val="auto"/>
              </w:rPr>
              <w:t>式中：Q：雨水流量，L/s；</w:t>
            </w:r>
          </w:p>
          <w:p>
            <w:pPr>
              <w:pStyle w:val="16"/>
              <w:ind w:firstLine="480"/>
              <w:rPr>
                <w:rFonts w:ascii="Times New Roman" w:hAnsi="Times New Roman"/>
                <w:color w:val="auto"/>
              </w:rPr>
            </w:pPr>
            <w:r>
              <w:rPr>
                <w:rFonts w:ascii="Times New Roman" w:hAnsi="Times New Roman"/>
                <w:color w:val="auto"/>
              </w:rPr>
              <w:t>q：暴雨强度，L/s·公顷；</w:t>
            </w:r>
          </w:p>
          <w:p>
            <w:pPr>
              <w:pStyle w:val="16"/>
              <w:ind w:firstLine="480"/>
              <w:rPr>
                <w:rFonts w:ascii="Times New Roman" w:hAnsi="Times New Roman"/>
                <w:color w:val="auto"/>
              </w:rPr>
            </w:pPr>
            <w:r>
              <w:rPr>
                <w:rFonts w:ascii="Times New Roman" w:hAnsi="Times New Roman"/>
                <w:color w:val="auto"/>
              </w:rPr>
              <w:t>Ψ：径流系数，取0.6；</w:t>
            </w:r>
          </w:p>
          <w:p>
            <w:pPr>
              <w:pStyle w:val="16"/>
              <w:ind w:firstLine="480"/>
              <w:rPr>
                <w:rFonts w:ascii="Times New Roman" w:hAnsi="Times New Roman"/>
                <w:color w:val="auto"/>
              </w:rPr>
            </w:pPr>
            <w:r>
              <w:rPr>
                <w:rFonts w:ascii="Times New Roman" w:hAnsi="Times New Roman"/>
                <w:color w:val="auto"/>
              </w:rPr>
              <w:t>F：汇水面积，公顷。</w:t>
            </w:r>
          </w:p>
          <w:p>
            <w:pPr>
              <w:pStyle w:val="16"/>
              <w:ind w:firstLine="480"/>
              <w:rPr>
                <w:rFonts w:ascii="Times New Roman" w:hAnsi="Times New Roman"/>
                <w:color w:val="auto"/>
              </w:rPr>
            </w:pPr>
            <w:r>
              <w:rPr>
                <w:rFonts w:ascii="Times New Roman" w:hAnsi="Times New Roman"/>
                <w:color w:val="auto"/>
              </w:rPr>
              <w:t>一般采用降雨的前15分钟雨量为初期雨水量。</w:t>
            </w:r>
          </w:p>
          <w:p>
            <w:pPr>
              <w:pStyle w:val="16"/>
              <w:ind w:firstLine="480"/>
              <w:rPr>
                <w:rFonts w:ascii="Times New Roman" w:hAnsi="Times New Roman"/>
                <w:color w:val="auto"/>
                <w:highlight w:val="none"/>
              </w:rPr>
            </w:pPr>
            <w:r>
              <w:rPr>
                <w:rFonts w:ascii="Times New Roman" w:hAnsi="Times New Roman"/>
                <w:color w:val="auto"/>
                <w:highlight w:val="none"/>
              </w:rPr>
              <w:t>渣石加工区可能产生初期雨水的面积约为</w:t>
            </w:r>
            <w:r>
              <w:rPr>
                <w:rFonts w:hint="eastAsia" w:ascii="Times New Roman" w:hAnsi="Times New Roman"/>
                <w:color w:val="auto"/>
                <w:highlight w:val="none"/>
                <w:lang w:val="en-US" w:eastAsia="zh-CN"/>
              </w:rPr>
              <w:t>10328m</w:t>
            </w:r>
            <w:r>
              <w:rPr>
                <w:rFonts w:hint="eastAsia" w:ascii="Times New Roman" w:hAnsi="Times New Roman"/>
                <w:color w:val="auto"/>
                <w:highlight w:val="none"/>
                <w:vertAlign w:val="superscript"/>
                <w:lang w:val="en-US" w:eastAsia="zh-CN"/>
              </w:rPr>
              <w:t>2</w:t>
            </w:r>
            <w:r>
              <w:rPr>
                <w:rFonts w:hint="eastAsia" w:ascii="Times New Roman" w:hAnsi="Times New Roman"/>
                <w:color w:val="auto"/>
                <w:highlight w:val="none"/>
                <w:vertAlign w:val="baseline"/>
                <w:lang w:val="en-US" w:eastAsia="zh-CN"/>
              </w:rPr>
              <w:t>（1.0328公顷）</w:t>
            </w:r>
            <w:r>
              <w:rPr>
                <w:rFonts w:ascii="Times New Roman" w:hAnsi="Times New Roman"/>
                <w:color w:val="auto"/>
                <w:highlight w:val="none"/>
              </w:rPr>
              <w:t>，径流系数取0.6，故初期雨水量为</w:t>
            </w:r>
            <w:r>
              <w:rPr>
                <w:rFonts w:hint="eastAsia" w:ascii="Times New Roman" w:hAnsi="Times New Roman"/>
                <w:color w:val="auto"/>
                <w:highlight w:val="none"/>
                <w:lang w:val="en-US" w:eastAsia="zh-CN"/>
              </w:rPr>
              <w:t>231.94</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w:t>
            </w:r>
          </w:p>
          <w:p>
            <w:pPr>
              <w:pStyle w:val="16"/>
              <w:ind w:firstLine="480"/>
              <w:rPr>
                <w:rFonts w:ascii="Times New Roman" w:hAnsi="Times New Roman"/>
                <w:color w:val="auto"/>
                <w:highlight w:val="none"/>
              </w:rPr>
            </w:pPr>
            <w:r>
              <w:rPr>
                <w:rFonts w:ascii="Times New Roman" w:hAnsi="Times New Roman"/>
                <w:color w:val="auto"/>
                <w:highlight w:val="none"/>
              </w:rPr>
              <w:t>项目在厂区露天区域设置环状雨水收集沟，将初期雨水引入初期雨水沉淀池处理后回用于生产，不外排。</w:t>
            </w:r>
          </w:p>
          <w:p>
            <w:pPr>
              <w:pStyle w:val="16"/>
              <w:ind w:firstLine="480"/>
              <w:rPr>
                <w:rFonts w:ascii="Times New Roman" w:hAnsi="Times New Roman"/>
                <w:color w:val="auto"/>
                <w:szCs w:val="24"/>
                <w:highlight w:val="none"/>
              </w:rPr>
            </w:pPr>
            <w:r>
              <w:rPr>
                <w:rFonts w:ascii="Times New Roman" w:hAnsi="Times New Roman"/>
                <w:color w:val="auto"/>
                <w:highlight w:val="none"/>
              </w:rPr>
              <w:t>（5）地面洒水</w:t>
            </w:r>
          </w:p>
          <w:p>
            <w:pPr>
              <w:pStyle w:val="16"/>
              <w:ind w:firstLine="480"/>
              <w:rPr>
                <w:rFonts w:ascii="Times New Roman" w:hAnsi="Times New Roman"/>
                <w:color w:val="auto"/>
                <w:highlight w:val="none"/>
              </w:rPr>
            </w:pPr>
            <w:r>
              <w:rPr>
                <w:rFonts w:ascii="Times New Roman" w:hAnsi="Times New Roman"/>
                <w:color w:val="auto"/>
                <w:kern w:val="13"/>
                <w:highlight w:val="none"/>
              </w:rPr>
              <w:t>项目渣石加工区占地面积</w:t>
            </w:r>
            <w:r>
              <w:rPr>
                <w:rFonts w:hint="eastAsia" w:ascii="Times New Roman" w:hAnsi="Times New Roman"/>
                <w:color w:val="auto"/>
                <w:kern w:val="13"/>
                <w:highlight w:val="none"/>
                <w:lang w:val="en-US" w:eastAsia="zh-CN"/>
              </w:rPr>
              <w:t>10328</w:t>
            </w:r>
            <w:r>
              <w:rPr>
                <w:rFonts w:ascii="Times New Roman" w:hAnsi="Times New Roman"/>
                <w:color w:val="auto"/>
                <w:kern w:val="13"/>
                <w:highlight w:val="none"/>
              </w:rPr>
              <w:t>m</w:t>
            </w:r>
            <w:r>
              <w:rPr>
                <w:rFonts w:ascii="Times New Roman" w:hAnsi="Times New Roman"/>
                <w:color w:val="auto"/>
                <w:kern w:val="13"/>
                <w:highlight w:val="none"/>
                <w:vertAlign w:val="superscript"/>
              </w:rPr>
              <w:t>2</w:t>
            </w:r>
            <w:r>
              <w:rPr>
                <w:rFonts w:ascii="Times New Roman" w:hAnsi="Times New Roman"/>
                <w:color w:val="auto"/>
                <w:kern w:val="13"/>
                <w:highlight w:val="none"/>
              </w:rPr>
              <w:t>，生产区域和区域内道路采用地面硬化，成品堆场未采取硬化，厂区内非硬化地面约</w:t>
            </w:r>
            <w:r>
              <w:rPr>
                <w:rFonts w:hint="eastAsia" w:ascii="Times New Roman" w:hAnsi="Times New Roman"/>
                <w:color w:val="auto"/>
                <w:kern w:val="13"/>
                <w:highlight w:val="none"/>
                <w:lang w:val="en-US" w:eastAsia="zh-CN"/>
              </w:rPr>
              <w:t>7000</w:t>
            </w:r>
            <w:r>
              <w:rPr>
                <w:rFonts w:ascii="Times New Roman" w:hAnsi="Times New Roman"/>
                <w:color w:val="auto"/>
                <w:kern w:val="13"/>
                <w:highlight w:val="none"/>
              </w:rPr>
              <w:t>m</w:t>
            </w:r>
            <w:r>
              <w:rPr>
                <w:rFonts w:ascii="Times New Roman" w:hAnsi="Times New Roman"/>
                <w:color w:val="auto"/>
                <w:kern w:val="13"/>
                <w:highlight w:val="none"/>
                <w:vertAlign w:val="superscript"/>
              </w:rPr>
              <w:t>2</w:t>
            </w:r>
            <w:r>
              <w:rPr>
                <w:rFonts w:ascii="Times New Roman" w:hAnsi="Times New Roman"/>
                <w:color w:val="auto"/>
                <w:kern w:val="13"/>
                <w:highlight w:val="none"/>
              </w:rPr>
              <w:t>。</w:t>
            </w:r>
            <w:r>
              <w:rPr>
                <w:rFonts w:ascii="Times New Roman" w:hAnsi="Times New Roman"/>
                <w:color w:val="auto"/>
                <w:highlight w:val="none"/>
              </w:rPr>
              <w:t>按平均2L/m</w:t>
            </w:r>
            <w:r>
              <w:rPr>
                <w:rFonts w:ascii="Times New Roman" w:hAnsi="Times New Roman"/>
                <w:color w:val="auto"/>
                <w:highlight w:val="none"/>
                <w:vertAlign w:val="superscript"/>
              </w:rPr>
              <w:t>2</w:t>
            </w:r>
            <w:r>
              <w:rPr>
                <w:rFonts w:ascii="Times New Roman" w:hAnsi="Times New Roman"/>
                <w:color w:val="auto"/>
                <w:highlight w:val="none"/>
              </w:rPr>
              <w:t>/次，每天洒水2次（雨天不进行喷洒），本项目工作日为</w:t>
            </w:r>
            <w:r>
              <w:rPr>
                <w:rFonts w:hint="eastAsia" w:ascii="Times New Roman" w:hAnsi="Times New Roman"/>
                <w:color w:val="auto"/>
                <w:highlight w:val="none"/>
                <w:lang w:val="en-US" w:eastAsia="zh-CN"/>
              </w:rPr>
              <w:t>300</w:t>
            </w:r>
            <w:r>
              <w:rPr>
                <w:rFonts w:ascii="Times New Roman" w:hAnsi="Times New Roman"/>
                <w:color w:val="auto"/>
                <w:highlight w:val="none"/>
              </w:rPr>
              <w:t>天，非雨天按1</w:t>
            </w:r>
            <w:r>
              <w:rPr>
                <w:rFonts w:hint="eastAsia" w:ascii="Times New Roman" w:hAnsi="Times New Roman"/>
                <w:color w:val="auto"/>
                <w:highlight w:val="none"/>
                <w:lang w:val="en-US" w:eastAsia="zh-CN"/>
              </w:rPr>
              <w:t>50</w:t>
            </w:r>
            <w:r>
              <w:rPr>
                <w:rFonts w:ascii="Times New Roman" w:hAnsi="Times New Roman"/>
                <w:color w:val="auto"/>
                <w:highlight w:val="none"/>
              </w:rPr>
              <w:t>天计算，洒水抑尘用水量为</w:t>
            </w:r>
            <w:r>
              <w:rPr>
                <w:rFonts w:hint="eastAsia" w:ascii="Times New Roman" w:hAnsi="Times New Roman"/>
                <w:color w:val="auto"/>
                <w:highlight w:val="none"/>
                <w:lang w:val="en-US" w:eastAsia="zh-CN"/>
              </w:rPr>
              <w:t>14</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/d（</w:t>
            </w:r>
            <w:r>
              <w:rPr>
                <w:rFonts w:hint="eastAsia" w:ascii="Times New Roman" w:hAnsi="Times New Roman"/>
                <w:color w:val="auto"/>
                <w:highlight w:val="none"/>
                <w:lang w:val="en-US" w:eastAsia="zh-CN"/>
              </w:rPr>
              <w:t>4200</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/a），这部分水全部蒸发或渗漏损失。</w:t>
            </w:r>
          </w:p>
          <w:p>
            <w:pPr>
              <w:pStyle w:val="13"/>
              <w:rPr>
                <w:color w:val="auto"/>
                <w:highlight w:val="none"/>
              </w:rPr>
            </w:pPr>
            <w:r>
              <w:rPr>
                <w:color w:val="auto"/>
                <w:highlight w:val="none"/>
              </w:rPr>
              <w:object>
                <v:shape id="_x0000_i1027" o:spt="75" type="#_x0000_t75" style="height:303.05pt;width:405.2pt;" o:ole="t" filled="f" o:preferrelative="t" stroked="f" coordsize="21600,21600">
                  <v:path/>
                  <v:fill on="f" focussize="0,0"/>
                  <v:stroke on="f"/>
                  <v:imagedata r:id="rId19" o:title=""/>
                  <o:lock v:ext="edit" aspectratio="f"/>
                  <w10:wrap type="none"/>
                  <w10:anchorlock/>
                </v:shape>
                <o:OLEObject Type="Embed" ProgID="Visio.Drawing.11" ShapeID="_x0000_i1027" DrawAspect="Content" ObjectID="_1468075727" r:id="rId18">
                  <o:LockedField>false</o:LockedField>
                </o:OLEObject>
              </w:object>
            </w:r>
          </w:p>
          <w:p>
            <w:pPr>
              <w:pStyle w:val="13"/>
              <w:rPr>
                <w:color w:val="auto"/>
                <w:highlight w:val="none"/>
              </w:rPr>
            </w:pPr>
            <w:r>
              <w:rPr>
                <w:color w:val="auto"/>
                <w:highlight w:val="none"/>
              </w:rPr>
              <w:t>图4.2-1水平衡图（t/</w:t>
            </w:r>
            <w:r>
              <w:rPr>
                <w:rFonts w:hint="eastAsia"/>
                <w:color w:val="auto"/>
                <w:highlight w:val="none"/>
                <w:lang w:val="en-US" w:eastAsia="zh-CN"/>
              </w:rPr>
              <w:t>d</w:t>
            </w:r>
            <w:r>
              <w:rPr>
                <w:color w:val="auto"/>
                <w:highlight w:val="none"/>
              </w:rPr>
              <w:t>）</w:t>
            </w:r>
          </w:p>
          <w:p>
            <w:pPr>
              <w:pStyle w:val="22"/>
              <w:rPr>
                <w:rFonts w:ascii="Times New Roman" w:hAnsi="Times New Roman"/>
                <w:color w:val="auto"/>
              </w:rPr>
            </w:pPr>
            <w:r>
              <w:rPr>
                <w:rFonts w:ascii="Times New Roman" w:hAnsi="Times New Roman"/>
                <w:color w:val="auto"/>
              </w:rPr>
              <w:t>4.2.1.2水环境影响分析及保护措施</w:t>
            </w:r>
          </w:p>
          <w:p>
            <w:pPr>
              <w:pStyle w:val="16"/>
              <w:ind w:firstLine="480"/>
              <w:rPr>
                <w:rFonts w:ascii="Times New Roman" w:hAnsi="Times New Roman"/>
                <w:color w:val="auto"/>
              </w:rPr>
            </w:pPr>
            <w:r>
              <w:rPr>
                <w:rFonts w:ascii="Times New Roman" w:hAnsi="Times New Roman"/>
                <w:color w:val="auto"/>
              </w:rPr>
              <w:t>（1）废水排污方案</w:t>
            </w:r>
          </w:p>
          <w:p>
            <w:pPr>
              <w:pStyle w:val="16"/>
              <w:ind w:firstLine="480"/>
              <w:rPr>
                <w:rFonts w:ascii="Times New Roman" w:hAnsi="Times New Roman"/>
                <w:color w:val="auto"/>
              </w:rPr>
            </w:pPr>
            <w:r>
              <w:rPr>
                <w:rFonts w:ascii="Times New Roman" w:hAnsi="Times New Roman"/>
                <w:color w:val="auto"/>
              </w:rPr>
              <w:t>项目厂区内实行雨污分流，雨水经雨水沟收集后引入初期雨水沉淀池处理后回用于生产；</w:t>
            </w:r>
            <w:r>
              <w:rPr>
                <w:rFonts w:ascii="Times New Roman" w:hAnsi="Times New Roman"/>
                <w:color w:val="auto"/>
                <w:szCs w:val="24"/>
              </w:rPr>
              <w:t>清洗废水经二级沉淀池处理后回用生产；</w:t>
            </w:r>
            <w:r>
              <w:rPr>
                <w:rFonts w:ascii="Times New Roman" w:hAnsi="Times New Roman"/>
                <w:color w:val="auto"/>
                <w:szCs w:val="24"/>
                <w:highlight w:val="none"/>
              </w:rPr>
              <w:t>生活污水</w:t>
            </w:r>
            <w:r>
              <w:rPr>
                <w:rFonts w:ascii="Times New Roman" w:hAnsi="Times New Roman"/>
                <w:color w:val="auto"/>
                <w:highlight w:val="none"/>
              </w:rPr>
              <w:t>经化粪池处理后利用槽罐车定期抽吸后运送至福鼎市第一污水处理厂集中处理。</w:t>
            </w:r>
          </w:p>
          <w:p>
            <w:pPr>
              <w:bidi w:val="0"/>
              <w:rPr>
                <w:color w:val="auto"/>
              </w:rPr>
            </w:pPr>
            <w:r>
              <w:rPr>
                <w:color w:val="auto"/>
              </w:rPr>
              <w:t>（2）清洗废水循环使用可行性分析</w:t>
            </w:r>
          </w:p>
          <w:p>
            <w:pPr>
              <w:pStyle w:val="16"/>
              <w:ind w:firstLine="480"/>
              <w:rPr>
                <w:rFonts w:ascii="Times New Roman" w:hAnsi="Times New Roman"/>
                <w:color w:val="auto"/>
              </w:rPr>
            </w:pPr>
            <w:r>
              <w:rPr>
                <w:rFonts w:ascii="Times New Roman" w:hAnsi="Times New Roman"/>
                <w:color w:val="auto"/>
              </w:rPr>
              <w:t>项目在振动筛下方挖设清洗废水收集池，池子配套2个自动感应泵，收集池内的污水水位满足感应泵工作要求时，由自动感应泵抽取至二级沉淀池处理。项目拟于厂区</w:t>
            </w:r>
            <w:r>
              <w:rPr>
                <w:rFonts w:hint="eastAsia" w:ascii="Times New Roman" w:hAnsi="Times New Roman"/>
                <w:color w:val="auto"/>
                <w:lang w:val="en-US" w:eastAsia="zh-CN"/>
              </w:rPr>
              <w:t>西</w:t>
            </w:r>
            <w:r>
              <w:rPr>
                <w:rFonts w:ascii="Times New Roman" w:hAnsi="Times New Roman"/>
                <w:color w:val="auto"/>
              </w:rPr>
              <w:t>北侧设置一处二级沉淀池，清洗废水循环水量</w:t>
            </w:r>
            <w:r>
              <w:rPr>
                <w:rFonts w:hint="eastAsia" w:ascii="Times New Roman" w:hAnsi="Times New Roman"/>
                <w:color w:val="auto"/>
                <w:lang w:val="en-US" w:eastAsia="zh-CN"/>
              </w:rPr>
              <w:t>141.67</w:t>
            </w:r>
            <w:r>
              <w:rPr>
                <w:rFonts w:ascii="Times New Roman" w:hAnsi="Times New Roman"/>
                <w:color w:val="auto"/>
              </w:rPr>
              <w:t>m³/d，1#沉淀池容积</w:t>
            </w:r>
            <w:r>
              <w:rPr>
                <w:rFonts w:hint="eastAsia" w:ascii="Times New Roman" w:hAnsi="Times New Roman"/>
                <w:color w:val="auto"/>
                <w:lang w:val="en-US" w:eastAsia="zh-CN"/>
              </w:rPr>
              <w:t>282.6</w:t>
            </w:r>
            <w:r>
              <w:rPr>
                <w:rFonts w:ascii="Times New Roman" w:hAnsi="Times New Roman"/>
                <w:color w:val="auto"/>
              </w:rPr>
              <w:t>m³（尺寸：φ</w:t>
            </w:r>
            <w:r>
              <w:rPr>
                <w:rFonts w:hint="eastAsia" w:ascii="Times New Roman" w:hAnsi="Times New Roman"/>
                <w:color w:val="auto"/>
                <w:lang w:val="en-US" w:eastAsia="zh-CN"/>
              </w:rPr>
              <w:t>=9</w:t>
            </w:r>
            <w:r>
              <w:rPr>
                <w:rFonts w:ascii="Times New Roman" w:hAnsi="Times New Roman"/>
                <w:color w:val="auto"/>
              </w:rPr>
              <w:t>m、H=</w:t>
            </w:r>
            <w:r>
              <w:rPr>
                <w:rFonts w:hint="eastAsia" w:ascii="Times New Roman" w:hAnsi="Times New Roman"/>
                <w:color w:val="auto"/>
                <w:lang w:val="en-US" w:eastAsia="zh-CN"/>
              </w:rPr>
              <w:t>10</w:t>
            </w:r>
            <w:r>
              <w:rPr>
                <w:rFonts w:ascii="Times New Roman" w:hAnsi="Times New Roman"/>
                <w:color w:val="auto"/>
              </w:rPr>
              <w:t>m），2#沉淀池容</w:t>
            </w:r>
            <w:r>
              <w:rPr>
                <w:rFonts w:hint="eastAsia" w:ascii="Times New Roman" w:hAnsi="Times New Roman"/>
                <w:color w:val="auto"/>
                <w:lang w:val="en-US" w:eastAsia="zh-CN"/>
              </w:rPr>
              <w:t xml:space="preserve">141.3 </w:t>
            </w:r>
            <w:r>
              <w:rPr>
                <w:rFonts w:ascii="Times New Roman" w:hAnsi="Times New Roman"/>
                <w:color w:val="auto"/>
              </w:rPr>
              <w:t>m³（尺寸：φ</w:t>
            </w:r>
            <w:r>
              <w:rPr>
                <w:rFonts w:hint="eastAsia" w:ascii="Times New Roman" w:hAnsi="Times New Roman"/>
                <w:color w:val="auto"/>
                <w:lang w:val="en-US" w:eastAsia="zh-CN"/>
              </w:rPr>
              <w:t>=9</w:t>
            </w:r>
            <w:r>
              <w:rPr>
                <w:rFonts w:ascii="Times New Roman" w:hAnsi="Times New Roman"/>
                <w:color w:val="auto"/>
              </w:rPr>
              <w:t>m、H=</w:t>
            </w:r>
            <w:r>
              <w:rPr>
                <w:rFonts w:hint="eastAsia" w:ascii="Times New Roman" w:hAnsi="Times New Roman"/>
                <w:color w:val="auto"/>
                <w:lang w:val="en-US" w:eastAsia="zh-CN"/>
              </w:rPr>
              <w:t>5</w:t>
            </w:r>
            <w:r>
              <w:rPr>
                <w:rFonts w:ascii="Times New Roman" w:hAnsi="Times New Roman"/>
                <w:color w:val="auto"/>
              </w:rPr>
              <w:t>m），按水力停留3h计，二级沉淀池可处理清洗废水水量约</w:t>
            </w:r>
            <w:r>
              <w:rPr>
                <w:rFonts w:hint="eastAsia" w:ascii="Times New Roman" w:hAnsi="Times New Roman"/>
                <w:color w:val="auto"/>
                <w:lang w:val="en-US" w:eastAsia="zh-CN"/>
              </w:rPr>
              <w:t xml:space="preserve">423.9         </w:t>
            </w:r>
            <w:r>
              <w:rPr>
                <w:rFonts w:ascii="Times New Roman" w:hAnsi="Times New Roman"/>
                <w:color w:val="auto"/>
              </w:rPr>
              <w:t>m³/d，项目清洗废水需处理量</w:t>
            </w:r>
            <w:r>
              <w:rPr>
                <w:rFonts w:hint="eastAsia" w:ascii="Times New Roman" w:hAnsi="Times New Roman"/>
                <w:color w:val="auto"/>
                <w:lang w:val="en-US" w:eastAsia="zh-CN"/>
              </w:rPr>
              <w:t>423.9</w:t>
            </w:r>
            <w:r>
              <w:rPr>
                <w:rFonts w:ascii="Times New Roman" w:hAnsi="Times New Roman"/>
                <w:color w:val="auto"/>
              </w:rPr>
              <w:t>m³/d，</w:t>
            </w:r>
            <w:r>
              <w:rPr>
                <w:rFonts w:ascii="Times New Roman" w:hAnsi="Times New Roman"/>
                <w:color w:val="auto"/>
                <w:szCs w:val="24"/>
              </w:rPr>
              <w:t>项目所设置的沉淀池可满足清洗废水的处理要求。</w:t>
            </w:r>
          </w:p>
          <w:p>
            <w:pPr>
              <w:pStyle w:val="16"/>
              <w:ind w:firstLine="480"/>
              <w:rPr>
                <w:rFonts w:ascii="Times New Roman" w:hAnsi="Times New Roman"/>
                <w:color w:val="auto"/>
              </w:rPr>
            </w:pPr>
            <w:r>
              <w:rPr>
                <w:rFonts w:ascii="Times New Roman" w:hAnsi="Times New Roman"/>
                <w:color w:val="auto"/>
              </w:rPr>
              <w:t>清洗废水的污染物主要为SS，成分比较简单，通过二级沉淀处理后，废水中的悬浮物均可得到有效沉淀，形成沉渣纳入固体废物管理，沉淀后的上清液可满足项目原料清洗用水水质要求。该措施合理、可行。</w:t>
            </w:r>
          </w:p>
          <w:p>
            <w:pPr>
              <w:pStyle w:val="16"/>
              <w:ind w:firstLine="480"/>
              <w:rPr>
                <w:rFonts w:ascii="Times New Roman" w:hAnsi="Times New Roman"/>
                <w:color w:val="auto"/>
              </w:rPr>
            </w:pPr>
            <w:r>
              <w:rPr>
                <w:rFonts w:ascii="Times New Roman" w:hAnsi="Times New Roman"/>
                <w:color w:val="auto"/>
              </w:rPr>
              <w:t>（3）初期雨水处理可行性分析</w:t>
            </w:r>
          </w:p>
          <w:p>
            <w:pPr>
              <w:pStyle w:val="16"/>
              <w:ind w:firstLine="480"/>
              <w:rPr>
                <w:rFonts w:ascii="Times New Roman" w:hAnsi="Times New Roman"/>
                <w:color w:val="auto"/>
              </w:rPr>
            </w:pPr>
            <w:r>
              <w:rPr>
                <w:rFonts w:ascii="Times New Roman" w:hAnsi="Times New Roman"/>
                <w:color w:val="auto"/>
              </w:rPr>
              <w:t>项目在厂区东侧（地势最低处）设置一处初期雨水沉淀池，沉淀池大小≥</w:t>
            </w:r>
            <w:r>
              <w:rPr>
                <w:rFonts w:hint="eastAsia" w:ascii="Times New Roman" w:hAnsi="Times New Roman"/>
                <w:color w:val="auto"/>
                <w:lang w:val="en-US" w:eastAsia="zh-CN"/>
              </w:rPr>
              <w:t>231.94</w:t>
            </w:r>
            <w:r>
              <w:rPr>
                <w:rFonts w:ascii="Times New Roman" w:hAnsi="Times New Roman"/>
                <w:color w:val="auto"/>
              </w:rPr>
              <w:t>m³，初期雨水沉淀池配套2个自动感应泵，初期雨水沉淀池内的雨水水位满足感应泵工作要求时，由自动感应泵抽取至</w:t>
            </w:r>
            <w:r>
              <w:rPr>
                <w:rFonts w:hint="eastAsia" w:ascii="Times New Roman" w:hAnsi="Times New Roman"/>
                <w:color w:val="auto"/>
                <w:lang w:val="en-US" w:eastAsia="zh-CN"/>
              </w:rPr>
              <w:t>二</w:t>
            </w:r>
            <w:r>
              <w:rPr>
                <w:rFonts w:ascii="Times New Roman" w:hAnsi="Times New Roman"/>
                <w:color w:val="auto"/>
              </w:rPr>
              <w:t>级沉淀罐处理。初期雨水沉淀池进口处设置阀门，15分钟后的雨水可通过切换阀门，由雨水沟直接排入市政雨水管网。</w:t>
            </w:r>
          </w:p>
          <w:p>
            <w:pPr>
              <w:ind w:firstLine="480"/>
              <w:rPr>
                <w:color w:val="auto"/>
                <w:szCs w:val="24"/>
                <w:highlight w:val="none"/>
              </w:rPr>
            </w:pPr>
            <w:r>
              <w:rPr>
                <w:color w:val="auto"/>
                <w:szCs w:val="24"/>
                <w:highlight w:val="none"/>
              </w:rPr>
              <w:t>（</w:t>
            </w:r>
            <w:r>
              <w:rPr>
                <w:rFonts w:hint="eastAsia"/>
                <w:color w:val="auto"/>
                <w:szCs w:val="24"/>
                <w:highlight w:val="none"/>
                <w:lang w:val="en-US" w:eastAsia="zh-CN"/>
              </w:rPr>
              <w:t>4</w:t>
            </w:r>
            <w:r>
              <w:rPr>
                <w:color w:val="auto"/>
                <w:szCs w:val="24"/>
                <w:highlight w:val="none"/>
              </w:rPr>
              <w:t>）依托福鼎市第一污水处理厂可行性分析</w:t>
            </w:r>
          </w:p>
          <w:p>
            <w:pPr>
              <w:ind w:firstLine="480"/>
              <w:rPr>
                <w:color w:val="auto"/>
                <w:kern w:val="0"/>
                <w:szCs w:val="24"/>
              </w:rPr>
            </w:pPr>
            <w:r>
              <w:rPr>
                <w:rFonts w:hint="eastAsia" w:ascii="宋体" w:hAnsi="宋体" w:cs="宋体"/>
                <w:color w:val="auto"/>
                <w:kern w:val="0"/>
                <w:szCs w:val="24"/>
              </w:rPr>
              <w:t>①</w:t>
            </w:r>
            <w:r>
              <w:rPr>
                <w:color w:val="auto"/>
                <w:kern w:val="0"/>
                <w:szCs w:val="24"/>
              </w:rPr>
              <w:t>福鼎市第一污水处理厂概况</w:t>
            </w:r>
          </w:p>
          <w:p>
            <w:pPr>
              <w:ind w:firstLine="480"/>
              <w:rPr>
                <w:color w:val="auto"/>
                <w:kern w:val="0"/>
                <w:szCs w:val="24"/>
              </w:rPr>
            </w:pPr>
            <w:r>
              <w:rPr>
                <w:color w:val="auto"/>
                <w:kern w:val="0"/>
                <w:szCs w:val="24"/>
              </w:rPr>
              <w:t>福鼎市第一污水处理厂位于福鼎市桐城镇资国村竹家湾自然村，龙山溪口下游300米的桐山溪右岸，为福鼎市区下游，城市污水管网基本为从北向南顺地势走向。设计主要服务范围为山前区、桐山区、桐城区、滨海新区以及福鼎城市垃圾卫生填埋场渗滤液。第一污水处理厂规划规模8万吨/日，第一组2万吨/日于2008年投入运行，第二组2万吨/日已于2010年12月投入运行。目前实际处理能力5万吨/日。</w:t>
            </w:r>
          </w:p>
          <w:p>
            <w:pPr>
              <w:ind w:firstLine="480"/>
              <w:rPr>
                <w:color w:val="auto"/>
                <w:kern w:val="0"/>
                <w:szCs w:val="24"/>
              </w:rPr>
            </w:pPr>
            <w:r>
              <w:rPr>
                <w:rFonts w:hint="eastAsia" w:ascii="宋体" w:hAnsi="宋体" w:cs="宋体"/>
                <w:color w:val="auto"/>
                <w:kern w:val="0"/>
                <w:szCs w:val="24"/>
              </w:rPr>
              <w:t>②</w:t>
            </w:r>
            <w:r>
              <w:rPr>
                <w:color w:val="auto"/>
                <w:kern w:val="0"/>
                <w:szCs w:val="24"/>
              </w:rPr>
              <w:t>水量可行性</w:t>
            </w:r>
          </w:p>
          <w:p>
            <w:pPr>
              <w:ind w:firstLine="480"/>
              <w:rPr>
                <w:color w:val="auto"/>
                <w:kern w:val="0"/>
                <w:szCs w:val="24"/>
              </w:rPr>
            </w:pPr>
            <w:r>
              <w:rPr>
                <w:color w:val="auto"/>
                <w:kern w:val="0"/>
                <w:szCs w:val="24"/>
              </w:rPr>
              <w:t>根据其应急预案，福鼎市第一污水处理厂目前还留有8600吨/天余量。项目生活污水排放量0.</w:t>
            </w:r>
            <w:r>
              <w:rPr>
                <w:rFonts w:hint="eastAsia"/>
                <w:color w:val="auto"/>
                <w:kern w:val="0"/>
                <w:szCs w:val="24"/>
                <w:lang w:val="en-US" w:eastAsia="zh-CN"/>
              </w:rPr>
              <w:t>56</w:t>
            </w:r>
            <w:r>
              <w:rPr>
                <w:color w:val="auto"/>
                <w:kern w:val="0"/>
                <w:szCs w:val="24"/>
              </w:rPr>
              <w:t>m³/d，占污水处理厂处理余量的0.00</w:t>
            </w:r>
            <w:r>
              <w:rPr>
                <w:rFonts w:hint="eastAsia"/>
                <w:color w:val="auto"/>
                <w:kern w:val="0"/>
                <w:szCs w:val="24"/>
                <w:lang w:val="en-US" w:eastAsia="zh-CN"/>
              </w:rPr>
              <w:t>65</w:t>
            </w:r>
            <w:r>
              <w:rPr>
                <w:color w:val="auto"/>
                <w:kern w:val="0"/>
                <w:szCs w:val="24"/>
              </w:rPr>
              <w:t>%，项目生活污水排放量少，水量不会对污水厂造成负荷冲击，可纳入污水处理厂处理。</w:t>
            </w:r>
          </w:p>
          <w:p>
            <w:pPr>
              <w:pStyle w:val="16"/>
              <w:ind w:firstLine="480"/>
              <w:rPr>
                <w:rFonts w:ascii="Times New Roman" w:hAnsi="Times New Roman"/>
                <w:color w:val="auto"/>
              </w:rPr>
            </w:pPr>
            <w:r>
              <w:rPr>
                <w:rFonts w:hint="eastAsia" w:cs="宋体"/>
                <w:color w:val="auto"/>
              </w:rPr>
              <w:t>③</w:t>
            </w:r>
            <w:r>
              <w:rPr>
                <w:rFonts w:ascii="Times New Roman" w:hAnsi="Times New Roman"/>
                <w:color w:val="auto"/>
              </w:rPr>
              <w:t>水质可行性</w:t>
            </w:r>
          </w:p>
          <w:p>
            <w:pPr>
              <w:pStyle w:val="16"/>
              <w:ind w:firstLine="480"/>
              <w:rPr>
                <w:rFonts w:ascii="Times New Roman" w:hAnsi="Times New Roman"/>
                <w:color w:val="auto"/>
              </w:rPr>
            </w:pPr>
            <w:r>
              <w:rPr>
                <w:rFonts w:ascii="Times New Roman" w:hAnsi="Times New Roman"/>
                <w:color w:val="auto"/>
              </w:rPr>
              <w:t>项目生活污水经处理后均可达到《污水综合排放标准》（GB8979-1996）表4中的三级排放标准。外排生活污水水质在福鼎市第一污水处理厂的接收水质范围内，不会对该污水处理厂造成污染负荷冲击，不会影响该污水处理厂污水处理效果。</w:t>
            </w:r>
          </w:p>
          <w:p>
            <w:pPr>
              <w:pStyle w:val="16"/>
              <w:ind w:firstLine="480"/>
              <w:rPr>
                <w:rFonts w:ascii="Times New Roman" w:hAnsi="Times New Roman"/>
                <w:color w:val="auto"/>
              </w:rPr>
            </w:pPr>
            <w:r>
              <w:rPr>
                <w:rFonts w:ascii="Times New Roman" w:hAnsi="Times New Roman"/>
                <w:color w:val="auto"/>
              </w:rPr>
              <w:t>综上，项目生活污水处理达标后，由槽罐车运至福鼎市第一污水处理厂处理，不会对福鼎市第一污水处理厂的正常运行造成不利影响，项目废水环境影响减缓措施和接管可行、有效。</w:t>
            </w:r>
          </w:p>
          <w:p>
            <w:pPr>
              <w:pStyle w:val="17"/>
              <w:rPr>
                <w:color w:val="auto"/>
              </w:rPr>
            </w:pPr>
            <w:r>
              <w:rPr>
                <w:color w:val="auto"/>
              </w:rPr>
              <w:t>4.2.2废气</w:t>
            </w:r>
          </w:p>
          <w:p>
            <w:pPr>
              <w:pStyle w:val="22"/>
              <w:rPr>
                <w:rFonts w:ascii="Times New Roman" w:hAnsi="Times New Roman"/>
                <w:color w:val="auto"/>
              </w:rPr>
            </w:pPr>
            <w:r>
              <w:rPr>
                <w:rFonts w:ascii="Times New Roman" w:hAnsi="Times New Roman"/>
                <w:color w:val="auto"/>
              </w:rPr>
              <w:t>4.2.2.1废气污染源强分析</w:t>
            </w:r>
          </w:p>
          <w:p>
            <w:pPr>
              <w:pStyle w:val="16"/>
              <w:numPr>
                <w:ilvl w:val="0"/>
                <w:numId w:val="2"/>
              </w:numPr>
              <w:ind w:firstLine="480"/>
              <w:rPr>
                <w:rFonts w:ascii="Times New Roman" w:hAnsi="Times New Roman"/>
                <w:color w:val="auto"/>
              </w:rPr>
            </w:pPr>
            <w:r>
              <w:rPr>
                <w:rFonts w:ascii="Times New Roman" w:hAnsi="Times New Roman"/>
                <w:color w:val="auto"/>
              </w:rPr>
              <w:t>堆场粉尘</w:t>
            </w:r>
          </w:p>
          <w:p>
            <w:pPr>
              <w:pStyle w:val="16"/>
              <w:numPr>
                <w:ilvl w:val="0"/>
                <w:numId w:val="0"/>
              </w:numPr>
              <w:ind w:firstLine="480" w:firstLineChars="200"/>
              <w:rPr>
                <w:rFonts w:ascii="Times New Roman" w:hAnsi="Times New Roman"/>
                <w:color w:val="auto"/>
              </w:rPr>
            </w:pPr>
            <w:r>
              <w:rPr>
                <w:rFonts w:hint="eastAsia" w:ascii="Times New Roman" w:hAnsi="Times New Roman"/>
                <w:color w:val="auto"/>
                <w:lang w:val="en-US" w:eastAsia="zh-CN"/>
              </w:rPr>
              <w:t>项目原料</w:t>
            </w:r>
            <w:r>
              <w:rPr>
                <w:rFonts w:ascii="Times New Roman" w:hAnsi="Times New Roman"/>
                <w:color w:val="auto"/>
              </w:rPr>
              <w:t>使用运输车辆直接由平整场地运至本项目厂区内在颚式破碎机出口卸料，故本项目厂区内不设原料堆场。</w:t>
            </w:r>
          </w:p>
          <w:p>
            <w:pPr>
              <w:pStyle w:val="16"/>
              <w:ind w:firstLine="480"/>
              <w:rPr>
                <w:rFonts w:ascii="Times New Roman" w:hAnsi="Times New Roman"/>
                <w:color w:val="auto"/>
                <w:kern w:val="2"/>
              </w:rPr>
            </w:pPr>
            <w:r>
              <w:rPr>
                <w:rFonts w:ascii="Times New Roman" w:hAnsi="Times New Roman"/>
                <w:color w:val="auto"/>
              </w:rPr>
              <w:t>项目采用湿法生产，成品为砂，砂通过振动筛水洗后，含水量约15%。成品砂含水量大，同时在堆场上方布设雾化喷头，经以上措施处理后，成品堆场扬尘量极少，不做定量分析。</w:t>
            </w:r>
          </w:p>
          <w:p>
            <w:pPr>
              <w:bidi w:val="0"/>
              <w:rPr>
                <w:color w:val="auto"/>
                <w:highlight w:val="none"/>
              </w:rPr>
            </w:pPr>
            <w:r>
              <w:rPr>
                <w:color w:val="auto"/>
                <w:highlight w:val="none"/>
              </w:rPr>
              <w:t>（2）破碎、筛选粉尘</w:t>
            </w:r>
          </w:p>
          <w:p>
            <w:pPr>
              <w:bidi w:val="0"/>
              <w:jc w:val="both"/>
              <w:rPr>
                <w:color w:val="auto"/>
                <w:highlight w:val="none"/>
              </w:rPr>
            </w:pPr>
            <w:r>
              <w:rPr>
                <w:color w:val="auto"/>
              </w:rPr>
              <w:t>本项目生产线过程中颚式破碎、圆锥破碎、筛分、整形（制砂机）等过程会产生一定量的粉尘。参考《逸散性工业粉尘控制技术》，同时类比同行业的调查数据，确定本项目破碎、筛分设备产尘系数0.1kg/t.</w:t>
            </w:r>
            <w:r>
              <w:rPr>
                <w:color w:val="auto"/>
                <w:highlight w:val="none"/>
              </w:rPr>
              <w:t>产品，则项目破碎筛分工序粉尘产生量为</w:t>
            </w:r>
            <w:r>
              <w:rPr>
                <w:rFonts w:hint="eastAsia"/>
                <w:color w:val="auto"/>
                <w:highlight w:val="none"/>
                <w:lang w:val="en-US" w:eastAsia="zh-CN"/>
              </w:rPr>
              <w:t>20</w:t>
            </w:r>
            <w:r>
              <w:rPr>
                <w:color w:val="auto"/>
                <w:highlight w:val="none"/>
              </w:rPr>
              <w:t>t/a。</w:t>
            </w:r>
          </w:p>
          <w:p>
            <w:pPr>
              <w:ind w:firstLine="480"/>
              <w:jc w:val="both"/>
              <w:rPr>
                <w:color w:val="auto"/>
                <w:highlight w:val="none"/>
              </w:rPr>
            </w:pPr>
            <w:r>
              <w:rPr>
                <w:color w:val="auto"/>
                <w:highlight w:val="none"/>
              </w:rPr>
              <w:t>项目在破碎、振动筛（干式）、整形设备上方安装喷淋头进行持续性降尘，除尘效率可达80%，破碎筛分生产工艺在生产车间内进行，大颗粒粉尘在车间内自然降尘，降尘效率80%，经以上措施处理后破碎筛分粉尘无组织排放量为</w:t>
            </w:r>
            <w:r>
              <w:rPr>
                <w:rFonts w:hint="eastAsia"/>
                <w:color w:val="auto"/>
                <w:highlight w:val="none"/>
                <w:lang w:val="en-US" w:eastAsia="zh-CN"/>
              </w:rPr>
              <w:t>0.8</w:t>
            </w:r>
            <w:r>
              <w:rPr>
                <w:color w:val="auto"/>
                <w:highlight w:val="none"/>
              </w:rPr>
              <w:t>t/a，排放速率</w:t>
            </w:r>
            <w:r>
              <w:rPr>
                <w:rFonts w:hint="eastAsia"/>
                <w:color w:val="auto"/>
                <w:highlight w:val="none"/>
                <w:lang w:val="en-US" w:eastAsia="zh-CN"/>
              </w:rPr>
              <w:t>0.2667</w:t>
            </w:r>
            <w:r>
              <w:rPr>
                <w:color w:val="auto"/>
                <w:highlight w:val="none"/>
              </w:rPr>
              <w:t>kg/h。</w:t>
            </w:r>
          </w:p>
          <w:p>
            <w:pPr>
              <w:bidi w:val="0"/>
              <w:rPr>
                <w:color w:val="auto"/>
                <w:highlight w:val="none"/>
              </w:rPr>
            </w:pPr>
            <w:r>
              <w:rPr>
                <w:color w:val="auto"/>
                <w:highlight w:val="none"/>
              </w:rPr>
              <w:t>（3）运输扬尘</w:t>
            </w:r>
          </w:p>
          <w:p>
            <w:pPr>
              <w:bidi w:val="0"/>
              <w:rPr>
                <w:color w:val="auto"/>
                <w:highlight w:val="none"/>
              </w:rPr>
            </w:pPr>
            <w:r>
              <w:rPr>
                <w:color w:val="auto"/>
                <w:highlight w:val="none"/>
              </w:rPr>
              <w:t>本项目的主要运输工具是自卸式载重汽车，在运输过程中不可避免地要产生扬尘，特别是遇到当气候条件不利时，扬尘现象更为严重。</w:t>
            </w:r>
          </w:p>
          <w:p>
            <w:pPr>
              <w:bidi w:val="0"/>
              <w:rPr>
                <w:color w:val="auto"/>
                <w:highlight w:val="none"/>
              </w:rPr>
            </w:pPr>
            <w:r>
              <w:rPr>
                <w:color w:val="auto"/>
                <w:highlight w:val="none"/>
              </w:rPr>
              <w:t>工程交通运输起尘采用下述公式进行计算：</w:t>
            </w:r>
          </w:p>
          <w:p>
            <w:pPr>
              <w:pStyle w:val="13"/>
              <w:rPr>
                <w:color w:val="auto"/>
                <w:highlight w:val="none"/>
              </w:rPr>
            </w:pPr>
            <w:r>
              <w:rPr>
                <w:color w:val="auto"/>
                <w:highlight w:val="none"/>
              </w:rPr>
              <w:fldChar w:fldCharType="begin"/>
            </w:r>
            <w:r>
              <w:rPr>
                <w:color w:val="auto"/>
                <w:highlight w:val="none"/>
              </w:rPr>
              <w:instrText xml:space="preserve"> INCLUDEPICTURE "C:\\Users\\ADMINI~1\\AppData\\Local\\Temp\\ksohtml\\wps2804.tmp.jpg" \* MERGEFORMATINET </w:instrText>
            </w:r>
            <w:r>
              <w:rPr>
                <w:color w:val="auto"/>
                <w:highlight w:val="none"/>
              </w:rPr>
              <w:fldChar w:fldCharType="separate"/>
            </w:r>
            <w:r>
              <w:rPr>
                <w:color w:val="auto"/>
                <w:highlight w:val="none"/>
              </w:rPr>
              <w:drawing>
                <wp:inline distT="0" distB="0" distL="114300" distR="114300">
                  <wp:extent cx="2466340" cy="1009650"/>
                  <wp:effectExtent l="0" t="0" r="10160" b="0"/>
                  <wp:docPr id="2" name="图片 3" descr="wps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wps2804"/>
                          <pic:cNvPicPr>
                            <a:picLocks noChangeAspect="1"/>
                          </pic:cNvPicPr>
                        </pic:nvPicPr>
                        <pic:blipFill>
                          <a:blip r:embed="rId20"/>
                          <a:stretch>
                            <a:fillRect/>
                          </a:stretch>
                        </pic:blipFill>
                        <pic:spPr>
                          <a:xfrm>
                            <a:off x="0" y="0"/>
                            <a:ext cx="2466340" cy="1009650"/>
                          </a:xfrm>
                          <a:prstGeom prst="rect">
                            <a:avLst/>
                          </a:prstGeom>
                          <a:noFill/>
                          <a:ln>
                            <a:noFill/>
                          </a:ln>
                        </pic:spPr>
                      </pic:pic>
                    </a:graphicData>
                  </a:graphic>
                </wp:inline>
              </w:drawing>
            </w:r>
            <w:r>
              <w:rPr>
                <w:color w:val="auto"/>
                <w:highlight w:val="none"/>
              </w:rPr>
              <w:fldChar w:fldCharType="end"/>
            </w:r>
          </w:p>
          <w:p>
            <w:pPr>
              <w:pStyle w:val="16"/>
              <w:ind w:firstLine="480"/>
              <w:rPr>
                <w:rFonts w:ascii="Times New Roman" w:hAnsi="Times New Roman"/>
                <w:color w:val="auto"/>
                <w:highlight w:val="none"/>
              </w:rPr>
            </w:pPr>
            <w:r>
              <w:rPr>
                <w:rFonts w:ascii="Times New Roman" w:hAnsi="Times New Roman"/>
                <w:color w:val="auto"/>
                <w:highlight w:val="none"/>
              </w:rPr>
              <w:t>式中:Qy—一交通运输起尘量，kg/km·辆；</w:t>
            </w:r>
          </w:p>
          <w:p>
            <w:pPr>
              <w:pStyle w:val="16"/>
              <w:ind w:firstLine="480"/>
              <w:rPr>
                <w:rFonts w:ascii="Times New Roman" w:hAnsi="Times New Roman"/>
                <w:color w:val="auto"/>
                <w:highlight w:val="none"/>
              </w:rPr>
            </w:pPr>
            <w:r>
              <w:rPr>
                <w:rFonts w:ascii="Times New Roman" w:hAnsi="Times New Roman"/>
                <w:color w:val="auto"/>
                <w:highlight w:val="none"/>
              </w:rPr>
              <w:t>Qt一一运输途中起尘量，kg/a；</w:t>
            </w:r>
          </w:p>
          <w:p>
            <w:pPr>
              <w:pStyle w:val="16"/>
              <w:ind w:firstLine="480"/>
              <w:rPr>
                <w:rFonts w:ascii="Times New Roman" w:hAnsi="Times New Roman"/>
                <w:color w:val="auto"/>
                <w:highlight w:val="none"/>
              </w:rPr>
            </w:pPr>
            <w:r>
              <w:rPr>
                <w:rFonts w:ascii="Times New Roman" w:hAnsi="Times New Roman"/>
                <w:color w:val="auto"/>
                <w:highlight w:val="none"/>
              </w:rPr>
              <w:t>V—一车辆行驶速度，km/h，取15km/h；</w:t>
            </w:r>
          </w:p>
          <w:p>
            <w:pPr>
              <w:pStyle w:val="16"/>
              <w:ind w:firstLine="480"/>
              <w:rPr>
                <w:rFonts w:ascii="Times New Roman" w:hAnsi="Times New Roman"/>
                <w:color w:val="auto"/>
                <w:highlight w:val="none"/>
              </w:rPr>
            </w:pPr>
            <w:r>
              <w:rPr>
                <w:rFonts w:ascii="Times New Roman" w:hAnsi="Times New Roman"/>
                <w:color w:val="auto"/>
                <w:highlight w:val="none"/>
              </w:rPr>
              <w:t>P—一路面状况，以每平方米路面灰尘覆盖率表示，kg/m</w:t>
            </w:r>
            <w:r>
              <w:rPr>
                <w:rFonts w:ascii="Times New Roman" w:hAnsi="Times New Roman"/>
                <w:color w:val="auto"/>
                <w:highlight w:val="none"/>
                <w:vertAlign w:val="superscript"/>
              </w:rPr>
              <w:t>2</w:t>
            </w:r>
            <w:r>
              <w:rPr>
                <w:rFonts w:ascii="Times New Roman" w:hAnsi="Times New Roman"/>
                <w:color w:val="auto"/>
                <w:highlight w:val="none"/>
              </w:rPr>
              <w:t>，取0.05kg/m</w:t>
            </w:r>
            <w:r>
              <w:rPr>
                <w:rFonts w:ascii="Times New Roman" w:hAnsi="Times New Roman"/>
                <w:color w:val="auto"/>
                <w:highlight w:val="none"/>
                <w:vertAlign w:val="superscript"/>
              </w:rPr>
              <w:t>2</w:t>
            </w:r>
            <w:r>
              <w:rPr>
                <w:rFonts w:ascii="Times New Roman" w:hAnsi="Times New Roman"/>
                <w:color w:val="auto"/>
                <w:highlight w:val="none"/>
              </w:rPr>
              <w:t>；</w:t>
            </w:r>
          </w:p>
          <w:p>
            <w:pPr>
              <w:pStyle w:val="16"/>
              <w:ind w:firstLine="480"/>
              <w:rPr>
                <w:rFonts w:ascii="Times New Roman" w:hAnsi="Times New Roman"/>
                <w:color w:val="auto"/>
                <w:highlight w:val="none"/>
              </w:rPr>
            </w:pPr>
            <w:r>
              <w:rPr>
                <w:rFonts w:ascii="Times New Roman" w:hAnsi="Times New Roman"/>
                <w:color w:val="auto"/>
                <w:highlight w:val="none"/>
              </w:rPr>
              <w:t>M一一车辆载重，t/辆，取30t/辆；</w:t>
            </w:r>
          </w:p>
          <w:p>
            <w:pPr>
              <w:pStyle w:val="16"/>
              <w:ind w:firstLine="480"/>
              <w:rPr>
                <w:rFonts w:ascii="Times New Roman" w:hAnsi="Times New Roman"/>
                <w:color w:val="auto"/>
                <w:highlight w:val="none"/>
              </w:rPr>
            </w:pPr>
            <w:r>
              <w:rPr>
                <w:rFonts w:ascii="Times New Roman" w:hAnsi="Times New Roman"/>
                <w:color w:val="auto"/>
                <w:highlight w:val="none"/>
              </w:rPr>
              <w:t>L—一运输距离，km，</w:t>
            </w:r>
            <w:r>
              <w:rPr>
                <w:rFonts w:hint="eastAsia" w:ascii="Times New Roman" w:hAnsi="Times New Roman"/>
                <w:color w:val="auto"/>
                <w:highlight w:val="none"/>
                <w:lang w:val="en-US" w:eastAsia="zh-CN"/>
              </w:rPr>
              <w:t>4.2</w:t>
            </w:r>
            <w:r>
              <w:rPr>
                <w:rFonts w:ascii="Times New Roman" w:hAnsi="Times New Roman"/>
                <w:color w:val="auto"/>
                <w:highlight w:val="none"/>
              </w:rPr>
              <w:t>km；</w:t>
            </w:r>
          </w:p>
          <w:p>
            <w:pPr>
              <w:pStyle w:val="16"/>
              <w:ind w:firstLine="480"/>
              <w:rPr>
                <w:rFonts w:ascii="Times New Roman" w:hAnsi="Times New Roman"/>
                <w:color w:val="auto"/>
                <w:highlight w:val="none"/>
              </w:rPr>
            </w:pPr>
            <w:r>
              <w:rPr>
                <w:rFonts w:ascii="Times New Roman" w:hAnsi="Times New Roman"/>
                <w:color w:val="auto"/>
                <w:highlight w:val="none"/>
              </w:rPr>
              <w:t>Q一一运输量，t/a，</w:t>
            </w:r>
            <w:r>
              <w:rPr>
                <w:rFonts w:hint="eastAsia" w:ascii="Times New Roman" w:hAnsi="Times New Roman"/>
                <w:color w:val="auto"/>
                <w:highlight w:val="none"/>
                <w:lang w:val="en-US" w:eastAsia="zh-CN"/>
              </w:rPr>
              <w:t>34.58</w:t>
            </w:r>
            <w:r>
              <w:rPr>
                <w:rFonts w:ascii="Times New Roman" w:hAnsi="Times New Roman"/>
                <w:color w:val="auto"/>
                <w:highlight w:val="none"/>
              </w:rPr>
              <w:t>万t/a。</w:t>
            </w:r>
          </w:p>
          <w:p>
            <w:pPr>
              <w:pStyle w:val="16"/>
              <w:ind w:firstLine="480"/>
              <w:rPr>
                <w:rFonts w:ascii="Times New Roman" w:hAnsi="Times New Roman"/>
                <w:color w:val="auto"/>
                <w:highlight w:val="none"/>
              </w:rPr>
            </w:pPr>
            <w:r>
              <w:rPr>
                <w:rFonts w:ascii="Times New Roman" w:hAnsi="Times New Roman"/>
                <w:color w:val="auto"/>
                <w:highlight w:val="none"/>
              </w:rPr>
              <w:t>运输起尘量计算可知，道路运输起尘量约为</w:t>
            </w:r>
            <w:r>
              <w:rPr>
                <w:rFonts w:hint="eastAsia" w:ascii="Times New Roman" w:hAnsi="Times New Roman"/>
                <w:color w:val="auto"/>
                <w:highlight w:val="none"/>
                <w:lang w:val="en-US" w:eastAsia="zh-CN"/>
              </w:rPr>
              <w:t>12.02</w:t>
            </w:r>
            <w:r>
              <w:rPr>
                <w:rFonts w:ascii="Times New Roman" w:hAnsi="Times New Roman"/>
                <w:color w:val="auto"/>
                <w:highlight w:val="none"/>
              </w:rPr>
              <w:t>t/a。</w:t>
            </w:r>
          </w:p>
          <w:p>
            <w:pPr>
              <w:pStyle w:val="16"/>
              <w:ind w:firstLine="480"/>
              <w:rPr>
                <w:rFonts w:ascii="Times New Roman" w:hAnsi="Times New Roman"/>
                <w:color w:val="auto"/>
              </w:rPr>
            </w:pPr>
            <w:r>
              <w:rPr>
                <w:rFonts w:ascii="Times New Roman" w:hAnsi="Times New Roman"/>
                <w:color w:val="auto"/>
              </w:rPr>
              <w:t>项目原材料的运输由福建奂然建设工程有限公司福鼎分公司安排运输车辆直接从福鼎市百胜片区22-25号地块</w:t>
            </w:r>
            <w:r>
              <w:rPr>
                <w:rFonts w:ascii="Times New Roman" w:hAnsi="Times New Roman"/>
                <w:color w:val="auto"/>
                <w:highlight w:val="none"/>
              </w:rPr>
              <w:t>直接运输至项目厂区内，</w:t>
            </w:r>
            <w:r>
              <w:rPr>
                <w:rFonts w:ascii="Times New Roman" w:hAnsi="Times New Roman"/>
                <w:color w:val="auto"/>
              </w:rPr>
              <w:t>厂区原料运输口和厂区成品运输出入口分别设置洗车池，清洁运输车辆轮胎，通过以上降尘措施，场地内道路运输产生的颗粒物量可减少80%以上。因此，本项目场地运输过程中的颗粒物排放量为2.4</w:t>
            </w:r>
            <w:r>
              <w:rPr>
                <w:rFonts w:hint="eastAsia" w:ascii="Times New Roman" w:hAnsi="Times New Roman"/>
                <w:color w:val="auto"/>
                <w:lang w:val="en-US" w:eastAsia="zh-CN"/>
              </w:rPr>
              <w:t>04</w:t>
            </w:r>
            <w:r>
              <w:rPr>
                <w:rFonts w:ascii="Times New Roman" w:hAnsi="Times New Roman"/>
                <w:color w:val="auto"/>
              </w:rPr>
              <w:t>t/a。</w:t>
            </w:r>
          </w:p>
          <w:p>
            <w:pPr>
              <w:pStyle w:val="16"/>
              <w:ind w:firstLine="480"/>
              <w:rPr>
                <w:rFonts w:ascii="Times New Roman" w:hAnsi="Times New Roman"/>
                <w:color w:val="auto"/>
                <w:kern w:val="2"/>
                <w:szCs w:val="24"/>
                <w:highlight w:val="none"/>
              </w:rPr>
            </w:pPr>
            <w:r>
              <w:rPr>
                <w:rFonts w:ascii="Times New Roman" w:hAnsi="Times New Roman"/>
                <w:color w:val="auto"/>
                <w:highlight w:val="none"/>
              </w:rPr>
              <w:t>（4）装卸扬尘</w:t>
            </w:r>
          </w:p>
          <w:p>
            <w:pPr>
              <w:pStyle w:val="16"/>
              <w:ind w:firstLine="480"/>
              <w:rPr>
                <w:rFonts w:ascii="Times New Roman" w:hAnsi="Times New Roman"/>
                <w:color w:val="auto"/>
              </w:rPr>
            </w:pPr>
            <w:r>
              <w:rPr>
                <w:rFonts w:ascii="Times New Roman" w:hAnsi="Times New Roman"/>
                <w:color w:val="auto"/>
                <w:highlight w:val="none"/>
              </w:rPr>
              <w:t>装卸粉尘主要为原材料进场卸料过程中产生。装卸扬尘量参照清</w:t>
            </w:r>
            <w:r>
              <w:rPr>
                <w:rFonts w:ascii="Times New Roman" w:hAnsi="Times New Roman"/>
                <w:color w:val="auto"/>
              </w:rPr>
              <w:t>华大学煤炭装卸扬尘公式估算：</w:t>
            </w:r>
          </w:p>
          <w:p>
            <w:pPr>
              <w:pStyle w:val="13"/>
              <w:rPr>
                <w:color w:val="auto"/>
              </w:rPr>
            </w:pPr>
            <w:r>
              <w:rPr>
                <w:color w:val="auto"/>
              </w:rPr>
              <w:fldChar w:fldCharType="begin"/>
            </w:r>
            <w:r>
              <w:rPr>
                <w:color w:val="auto"/>
              </w:rPr>
              <w:instrText xml:space="preserve"> INCLUDEPICTURE "C:\\Users\\ADMINI~1\\AppData\\Local\\Temp\\ksohtml\\wps9BC.tmp.jpg" \* MERGEFORMATINET </w:instrText>
            </w:r>
            <w:r>
              <w:rPr>
                <w:color w:val="auto"/>
              </w:rPr>
              <w:fldChar w:fldCharType="separate"/>
            </w:r>
            <w:r>
              <w:rPr>
                <w:color w:val="auto"/>
              </w:rPr>
              <w:drawing>
                <wp:inline distT="0" distB="0" distL="114300" distR="114300">
                  <wp:extent cx="2142490" cy="457835"/>
                  <wp:effectExtent l="0" t="0" r="10160" b="18415"/>
                  <wp:docPr id="3" name="图片 4" descr="wps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wps9BC"/>
                          <pic:cNvPicPr>
                            <a:picLocks noChangeAspect="1"/>
                          </pic:cNvPicPr>
                        </pic:nvPicPr>
                        <pic:blipFill>
                          <a:blip r:embed="rId21"/>
                          <a:stretch>
                            <a:fillRect/>
                          </a:stretch>
                        </pic:blipFill>
                        <pic:spPr>
                          <a:xfrm>
                            <a:off x="0" y="0"/>
                            <a:ext cx="2142490" cy="457835"/>
                          </a:xfrm>
                          <a:prstGeom prst="rect">
                            <a:avLst/>
                          </a:prstGeom>
                          <a:noFill/>
                          <a:ln>
                            <a:noFill/>
                          </a:ln>
                        </pic:spPr>
                      </pic:pic>
                    </a:graphicData>
                  </a:graphic>
                </wp:inline>
              </w:drawing>
            </w:r>
            <w:r>
              <w:rPr>
                <w:color w:val="auto"/>
              </w:rPr>
              <w:fldChar w:fldCharType="end"/>
            </w:r>
          </w:p>
          <w:p>
            <w:pPr>
              <w:pStyle w:val="16"/>
              <w:ind w:firstLine="480"/>
              <w:rPr>
                <w:rFonts w:ascii="Times New Roman" w:hAnsi="Times New Roman"/>
                <w:color w:val="auto"/>
              </w:rPr>
            </w:pPr>
            <w:r>
              <w:rPr>
                <w:rFonts w:ascii="Times New Roman" w:hAnsi="Times New Roman"/>
                <w:color w:val="auto"/>
              </w:rPr>
              <w:t>式中:Q一一装卸扬尘，g/次；</w:t>
            </w:r>
          </w:p>
          <w:p>
            <w:pPr>
              <w:pStyle w:val="16"/>
              <w:ind w:firstLine="480"/>
              <w:rPr>
                <w:rFonts w:ascii="Times New Roman" w:hAnsi="Times New Roman"/>
                <w:color w:val="auto"/>
              </w:rPr>
            </w:pPr>
            <w:r>
              <w:rPr>
                <w:rFonts w:ascii="Times New Roman" w:hAnsi="Times New Roman"/>
                <w:color w:val="auto"/>
              </w:rPr>
              <w:t>U一一风速，取1.2m/s；</w:t>
            </w:r>
          </w:p>
          <w:p>
            <w:pPr>
              <w:pStyle w:val="16"/>
              <w:ind w:firstLine="480"/>
              <w:rPr>
                <w:rFonts w:ascii="Times New Roman" w:hAnsi="Times New Roman"/>
                <w:color w:val="auto"/>
              </w:rPr>
            </w:pPr>
            <w:r>
              <w:rPr>
                <w:rFonts w:ascii="Times New Roman" w:hAnsi="Times New Roman"/>
                <w:color w:val="auto"/>
              </w:rPr>
              <w:t>W—一矿石物料湿度，取2.0%；</w:t>
            </w:r>
          </w:p>
          <w:p>
            <w:pPr>
              <w:pStyle w:val="16"/>
              <w:ind w:firstLine="480"/>
              <w:rPr>
                <w:rFonts w:ascii="Times New Roman" w:hAnsi="Times New Roman"/>
                <w:color w:val="auto"/>
              </w:rPr>
            </w:pPr>
            <w:r>
              <w:rPr>
                <w:rFonts w:ascii="Times New Roman" w:hAnsi="Times New Roman"/>
                <w:color w:val="auto"/>
              </w:rPr>
              <w:t>M—一车辆吨位，取30t；</w:t>
            </w:r>
          </w:p>
          <w:p>
            <w:pPr>
              <w:pStyle w:val="16"/>
              <w:ind w:firstLine="480"/>
              <w:rPr>
                <w:rFonts w:ascii="Times New Roman" w:hAnsi="Times New Roman"/>
                <w:color w:val="auto"/>
              </w:rPr>
            </w:pPr>
            <w:r>
              <w:rPr>
                <w:rFonts w:ascii="Times New Roman" w:hAnsi="Times New Roman"/>
                <w:color w:val="auto"/>
              </w:rPr>
              <w:t>H一一装卸高度，取2m。</w:t>
            </w:r>
          </w:p>
          <w:p>
            <w:pPr>
              <w:pStyle w:val="16"/>
              <w:ind w:firstLine="480"/>
              <w:rPr>
                <w:rFonts w:ascii="Times New Roman" w:hAnsi="Times New Roman"/>
                <w:color w:val="auto"/>
              </w:rPr>
            </w:pPr>
            <w:r>
              <w:rPr>
                <w:rFonts w:ascii="Times New Roman" w:hAnsi="Times New Roman"/>
                <w:color w:val="auto"/>
              </w:rPr>
              <w:t>经计算，每车次装卸产品时产生的扬尘量为177.88g。</w:t>
            </w:r>
          </w:p>
          <w:p>
            <w:pPr>
              <w:pStyle w:val="16"/>
              <w:ind w:firstLine="480"/>
              <w:rPr>
                <w:rFonts w:ascii="Times New Roman" w:hAnsi="Times New Roman"/>
                <w:color w:val="auto"/>
                <w:highlight w:val="none"/>
              </w:rPr>
            </w:pPr>
            <w:r>
              <w:rPr>
                <w:rFonts w:ascii="Times New Roman" w:hAnsi="Times New Roman"/>
                <w:color w:val="auto"/>
              </w:rPr>
              <w:t>每年需要装卸原料约</w:t>
            </w:r>
            <w:r>
              <w:rPr>
                <w:rFonts w:hint="eastAsia" w:ascii="Times New Roman" w:hAnsi="Times New Roman"/>
                <w:color w:val="auto"/>
                <w:lang w:val="en-US" w:eastAsia="zh-CN"/>
              </w:rPr>
              <w:t>34.58</w:t>
            </w:r>
            <w:r>
              <w:rPr>
                <w:rFonts w:ascii="Times New Roman" w:hAnsi="Times New Roman"/>
                <w:color w:val="auto"/>
              </w:rPr>
              <w:t>万t，用载重30t/车计，砂石装载量共需</w:t>
            </w:r>
            <w:r>
              <w:rPr>
                <w:rFonts w:hint="eastAsia" w:ascii="Times New Roman" w:hAnsi="Times New Roman"/>
                <w:color w:val="auto"/>
                <w:lang w:val="en-US" w:eastAsia="zh-CN"/>
              </w:rPr>
              <w:t>1.1527</w:t>
            </w:r>
            <w:r>
              <w:rPr>
                <w:rFonts w:ascii="Times New Roman" w:hAnsi="Times New Roman"/>
                <w:color w:val="auto"/>
              </w:rPr>
              <w:t>万辆次，计算</w:t>
            </w:r>
            <w:r>
              <w:rPr>
                <w:rFonts w:ascii="Times New Roman" w:hAnsi="Times New Roman"/>
                <w:color w:val="auto"/>
                <w:highlight w:val="none"/>
              </w:rPr>
              <w:t>得装卸扬尘产生量约为</w:t>
            </w:r>
            <w:r>
              <w:rPr>
                <w:rFonts w:hint="eastAsia" w:ascii="Times New Roman" w:hAnsi="Times New Roman"/>
                <w:color w:val="auto"/>
                <w:highlight w:val="none"/>
                <w:lang w:val="en-US" w:eastAsia="zh-CN"/>
              </w:rPr>
              <w:t>2.05</w:t>
            </w:r>
            <w:r>
              <w:rPr>
                <w:rFonts w:ascii="Times New Roman" w:hAnsi="Times New Roman"/>
                <w:color w:val="auto"/>
                <w:highlight w:val="none"/>
              </w:rPr>
              <w:t>t/a。</w:t>
            </w:r>
          </w:p>
          <w:p>
            <w:pPr>
              <w:pStyle w:val="16"/>
              <w:ind w:firstLine="480"/>
              <w:rPr>
                <w:rFonts w:ascii="Times New Roman" w:hAnsi="Times New Roman"/>
                <w:color w:val="auto"/>
                <w:highlight w:val="none"/>
              </w:rPr>
            </w:pPr>
            <w:r>
              <w:rPr>
                <w:rFonts w:ascii="Times New Roman" w:hAnsi="Times New Roman"/>
                <w:color w:val="auto"/>
                <w:highlight w:val="none"/>
              </w:rPr>
              <w:t>项目在生产车间内进行原料卸料，在设备卸料口安装喷头降尘，降低装卸起尘量，除尘率按80%计，在生产车间内进行原料装卸，大颗粒粉尘在车间内自然降尘，降尘效率70%，则经降尘处理后装卸粉尘无组织排放量</w:t>
            </w:r>
            <w:r>
              <w:rPr>
                <w:rFonts w:hint="eastAsia" w:ascii="Times New Roman" w:hAnsi="Times New Roman"/>
                <w:color w:val="auto"/>
                <w:highlight w:val="none"/>
                <w:lang w:val="en-US" w:eastAsia="zh-CN"/>
              </w:rPr>
              <w:t>0.123</w:t>
            </w:r>
            <w:r>
              <w:rPr>
                <w:rFonts w:ascii="Times New Roman" w:hAnsi="Times New Roman"/>
                <w:color w:val="auto"/>
                <w:highlight w:val="none"/>
              </w:rPr>
              <w:t>t/a。</w:t>
            </w:r>
          </w:p>
          <w:p>
            <w:pPr>
              <w:ind w:firstLine="480"/>
              <w:rPr>
                <w:color w:val="auto"/>
              </w:rPr>
            </w:pPr>
          </w:p>
        </w:tc>
      </w:tr>
    </w:tbl>
    <w:p>
      <w:pPr>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6"/>
        <w:ind w:firstLine="480"/>
        <w:rPr>
          <w:rFonts w:ascii="Times New Roman" w:hAnsi="Times New Roman"/>
          <w:color w:val="auto"/>
        </w:rPr>
      </w:pPr>
      <w:r>
        <w:rPr>
          <w:rFonts w:ascii="Times New Roman" w:hAnsi="Times New Roman"/>
          <w:color w:val="auto"/>
        </w:rPr>
        <w:t>项目废气产排情况详见表4.2-2。</w:t>
      </w:r>
    </w:p>
    <w:p>
      <w:pPr>
        <w:pStyle w:val="13"/>
        <w:rPr>
          <w:color w:val="auto"/>
        </w:rPr>
      </w:pPr>
      <w:r>
        <w:rPr>
          <w:color w:val="auto"/>
        </w:rPr>
        <w:t>表4.2-2项目废气产生及排放情况汇总表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autofit"/>
        <w:tblCellMar>
          <w:top w:w="0" w:type="dxa"/>
          <w:left w:w="108" w:type="dxa"/>
          <w:bottom w:w="0" w:type="dxa"/>
          <w:right w:w="108" w:type="dxa"/>
        </w:tblCellMar>
      </w:tblPr>
      <w:tblGrid>
        <w:gridCol w:w="1472"/>
        <w:gridCol w:w="944"/>
        <w:gridCol w:w="944"/>
        <w:gridCol w:w="1015"/>
        <w:gridCol w:w="1225"/>
        <w:gridCol w:w="1222"/>
        <w:gridCol w:w="944"/>
        <w:gridCol w:w="2319"/>
        <w:gridCol w:w="944"/>
        <w:gridCol w:w="944"/>
        <w:gridCol w:w="1004"/>
        <w:gridCol w:w="1197"/>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排放口编号</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产污环节</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污染物种类</w:t>
            </w:r>
          </w:p>
        </w:tc>
        <w:tc>
          <w:tcPr>
            <w:tcW w:w="358"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污染物产生量</w:t>
            </w:r>
            <w:r>
              <w:rPr>
                <w:color w:val="auto"/>
                <w:kern w:val="0"/>
                <w:sz w:val="21"/>
                <w:szCs w:val="21"/>
              </w:rPr>
              <w:t>(t/a)</w:t>
            </w:r>
          </w:p>
        </w:tc>
        <w:tc>
          <w:tcPr>
            <w:tcW w:w="432"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产生速率</w:t>
            </w:r>
            <w:r>
              <w:rPr>
                <w:color w:val="auto"/>
                <w:kern w:val="0"/>
                <w:sz w:val="21"/>
                <w:szCs w:val="21"/>
              </w:rPr>
              <w:t>(kg</w:t>
            </w:r>
            <w:r>
              <w:rPr>
                <w:rFonts w:hint="eastAsia"/>
                <w:color w:val="auto"/>
                <w:kern w:val="0"/>
                <w:sz w:val="21"/>
                <w:szCs w:val="21"/>
                <w:lang w:val="en-US" w:eastAsia="zh-CN"/>
              </w:rPr>
              <w:t>/</w:t>
            </w:r>
            <w:r>
              <w:rPr>
                <w:color w:val="auto"/>
                <w:kern w:val="0"/>
                <w:sz w:val="21"/>
                <w:szCs w:val="21"/>
              </w:rPr>
              <w:t>h)</w:t>
            </w:r>
          </w:p>
        </w:tc>
        <w:tc>
          <w:tcPr>
            <w:tcW w:w="431"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排放形式</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排放时间（</w:t>
            </w:r>
            <w:r>
              <w:rPr>
                <w:color w:val="auto"/>
                <w:kern w:val="0"/>
                <w:sz w:val="21"/>
                <w:szCs w:val="21"/>
              </w:rPr>
              <w:t>h</w:t>
            </w:r>
            <w:r>
              <w:rPr>
                <w:rFonts w:ascii="宋体" w:hAnsi="宋体" w:cs="宋体"/>
                <w:color w:val="auto"/>
                <w:kern w:val="0"/>
                <w:sz w:val="21"/>
                <w:szCs w:val="21"/>
              </w:rPr>
              <w:t>）</w:t>
            </w:r>
          </w:p>
        </w:tc>
        <w:tc>
          <w:tcPr>
            <w:tcW w:w="818"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治理措施</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是否为可行性技术</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污染物排放量</w:t>
            </w:r>
            <w:r>
              <w:rPr>
                <w:color w:val="auto"/>
                <w:kern w:val="0"/>
                <w:sz w:val="21"/>
                <w:szCs w:val="21"/>
              </w:rPr>
              <w:t>(t/a)</w:t>
            </w:r>
          </w:p>
        </w:tc>
        <w:tc>
          <w:tcPr>
            <w:tcW w:w="354"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排放速率</w:t>
            </w:r>
            <w:r>
              <w:rPr>
                <w:color w:val="auto"/>
                <w:kern w:val="0"/>
                <w:sz w:val="21"/>
                <w:szCs w:val="21"/>
              </w:rPr>
              <w:t>(kg</w:t>
            </w:r>
            <w:r>
              <w:rPr>
                <w:rFonts w:hint="eastAsia"/>
                <w:color w:val="auto"/>
                <w:kern w:val="0"/>
                <w:sz w:val="21"/>
                <w:szCs w:val="21"/>
                <w:lang w:val="en-US" w:eastAsia="zh-CN"/>
              </w:rPr>
              <w:t>/</w:t>
            </w:r>
            <w:r>
              <w:rPr>
                <w:color w:val="auto"/>
                <w:kern w:val="0"/>
                <w:sz w:val="21"/>
                <w:szCs w:val="21"/>
              </w:rPr>
              <w:t>h)</w:t>
            </w:r>
          </w:p>
        </w:tc>
        <w:tc>
          <w:tcPr>
            <w:tcW w:w="422"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排放标准（</w:t>
            </w:r>
            <w:r>
              <w:rPr>
                <w:color w:val="auto"/>
                <w:kern w:val="0"/>
                <w:sz w:val="21"/>
                <w:szCs w:val="21"/>
              </w:rPr>
              <w:t>mg/m³</w:t>
            </w:r>
            <w:r>
              <w:rPr>
                <w:rFonts w:ascii="宋体" w:hAnsi="宋体" w:cs="宋体"/>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生产车间</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破碎筛分</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 xml:space="preserve">6.6667 </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3000</w:t>
            </w:r>
          </w:p>
        </w:tc>
        <w:tc>
          <w:tcPr>
            <w:tcW w:w="818"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设备上方设置洒水喷头（降尘</w:t>
            </w:r>
            <w:r>
              <w:rPr>
                <w:color w:val="auto"/>
                <w:kern w:val="0"/>
                <w:sz w:val="21"/>
                <w:szCs w:val="21"/>
              </w:rPr>
              <w:t>80%</w:t>
            </w:r>
            <w:r>
              <w:rPr>
                <w:rFonts w:ascii="宋体" w:hAnsi="宋体" w:cs="宋体"/>
                <w:color w:val="auto"/>
                <w:kern w:val="0"/>
                <w:sz w:val="21"/>
                <w:szCs w:val="21"/>
              </w:rPr>
              <w:t>），生产线布设在车间内（车间自然降尘</w:t>
            </w:r>
            <w:r>
              <w:rPr>
                <w:color w:val="auto"/>
                <w:kern w:val="0"/>
                <w:sz w:val="21"/>
                <w:szCs w:val="21"/>
              </w:rPr>
              <w:t>80%</w:t>
            </w:r>
            <w:r>
              <w:rPr>
                <w:rFonts w:ascii="宋体" w:hAnsi="宋体" w:cs="宋体"/>
                <w:color w:val="auto"/>
                <w:kern w:val="0"/>
                <w:sz w:val="21"/>
                <w:szCs w:val="21"/>
              </w:rPr>
              <w:t>）</w:t>
            </w:r>
          </w:p>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设备上方设置洒水喷头（降尘</w:t>
            </w:r>
            <w:r>
              <w:rPr>
                <w:color w:val="auto"/>
                <w:kern w:val="0"/>
                <w:sz w:val="21"/>
                <w:szCs w:val="21"/>
              </w:rPr>
              <w:t>80%</w:t>
            </w:r>
            <w:r>
              <w:rPr>
                <w:rFonts w:ascii="宋体" w:hAnsi="宋体" w:cs="宋体"/>
                <w:color w:val="auto"/>
                <w:kern w:val="0"/>
                <w:sz w:val="21"/>
                <w:szCs w:val="21"/>
              </w:rPr>
              <w:t>）</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0.8</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 xml:space="preserve">0.2667 </w:t>
            </w:r>
          </w:p>
        </w:tc>
        <w:tc>
          <w:tcPr>
            <w:tcW w:w="422" w:type="pct"/>
            <w:shd w:val="clear" w:color="auto" w:fill="auto"/>
            <w:noWrap w:val="0"/>
            <w:vAlign w:val="center"/>
          </w:tcPr>
          <w:p>
            <w:pPr>
              <w:widowControl/>
              <w:spacing w:line="240" w:lineRule="auto"/>
              <w:ind w:firstLine="0" w:firstLineChars="0"/>
              <w:jc w:val="center"/>
              <w:rPr>
                <w:color w:val="auto"/>
                <w:kern w:val="0"/>
                <w:sz w:val="21"/>
                <w:szCs w:val="21"/>
              </w:rPr>
            </w:pPr>
            <w:r>
              <w:rPr>
                <w:color w:val="auto"/>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厂区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装卸扬尘</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2.05</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 xml:space="preserve">0.6833 </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3000</w:t>
            </w:r>
          </w:p>
        </w:tc>
        <w:tc>
          <w:tcPr>
            <w:tcW w:w="818" w:type="pct"/>
            <w:shd w:val="clear" w:color="auto" w:fill="auto"/>
            <w:noWrap w:val="0"/>
            <w:vAlign w:val="center"/>
          </w:tcPr>
          <w:p>
            <w:pPr>
              <w:widowControl/>
              <w:spacing w:line="240" w:lineRule="auto"/>
              <w:ind w:firstLine="0" w:firstLineChars="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设备装卸口安装喷头降尘（降尘</w:t>
            </w:r>
            <w:r>
              <w:rPr>
                <w:color w:val="auto"/>
                <w:kern w:val="0"/>
                <w:sz w:val="21"/>
                <w:szCs w:val="21"/>
              </w:rPr>
              <w:t>80%),</w:t>
            </w:r>
            <w:r>
              <w:rPr>
                <w:rFonts w:ascii="宋体" w:hAnsi="宋体" w:cs="宋体"/>
                <w:color w:val="auto"/>
                <w:kern w:val="0"/>
                <w:sz w:val="21"/>
                <w:szCs w:val="21"/>
              </w:rPr>
              <w:t>在生产车间内进行原料装卸（车间自然降尘</w:t>
            </w:r>
            <w:r>
              <w:rPr>
                <w:color w:val="auto"/>
                <w:kern w:val="0"/>
                <w:sz w:val="21"/>
                <w:szCs w:val="21"/>
              </w:rPr>
              <w:t>70%</w:t>
            </w:r>
            <w:r>
              <w:rPr>
                <w:rFonts w:ascii="宋体" w:hAnsi="宋体" w:cs="宋体"/>
                <w:color w:val="auto"/>
                <w:kern w:val="0"/>
                <w:sz w:val="21"/>
                <w:szCs w:val="21"/>
              </w:rPr>
              <w:t>）</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0.123</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 xml:space="preserve"> 0.041</w:t>
            </w:r>
          </w:p>
        </w:tc>
        <w:tc>
          <w:tcPr>
            <w:tcW w:w="422" w:type="pct"/>
            <w:shd w:val="clear" w:color="auto" w:fill="auto"/>
            <w:noWrap w:val="0"/>
            <w:vAlign w:val="center"/>
          </w:tcPr>
          <w:p>
            <w:pPr>
              <w:widowControl/>
              <w:spacing w:line="240" w:lineRule="auto"/>
              <w:ind w:firstLine="0" w:firstLineChars="0"/>
              <w:jc w:val="center"/>
              <w:rPr>
                <w:color w:val="auto"/>
                <w:kern w:val="0"/>
                <w:sz w:val="21"/>
                <w:szCs w:val="21"/>
              </w:rPr>
            </w:pPr>
            <w:r>
              <w:rPr>
                <w:color w:val="auto"/>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19" w:type="pct"/>
            <w:shd w:val="clear" w:color="auto" w:fill="auto"/>
            <w:noWrap/>
            <w:vAlign w:val="center"/>
          </w:tcPr>
          <w:p>
            <w:pPr>
              <w:widowControl/>
              <w:spacing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厂区</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运输扬尘</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颗粒物</w:t>
            </w:r>
          </w:p>
        </w:tc>
        <w:tc>
          <w:tcPr>
            <w:tcW w:w="358"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12.02</w:t>
            </w:r>
          </w:p>
        </w:tc>
        <w:tc>
          <w:tcPr>
            <w:tcW w:w="432" w:type="pct"/>
            <w:shd w:val="clear" w:color="auto" w:fill="auto"/>
            <w:noWrap w:val="0"/>
            <w:vAlign w:val="center"/>
          </w:tcPr>
          <w:p>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 xml:space="preserve"> 4.0067</w:t>
            </w:r>
          </w:p>
        </w:tc>
        <w:tc>
          <w:tcPr>
            <w:tcW w:w="431" w:type="pct"/>
            <w:shd w:val="clear" w:color="auto" w:fill="auto"/>
            <w:noWrap w:val="0"/>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无组织</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3000</w:t>
            </w:r>
          </w:p>
        </w:tc>
        <w:tc>
          <w:tcPr>
            <w:tcW w:w="818" w:type="pct"/>
            <w:shd w:val="clear" w:color="auto" w:fill="auto"/>
            <w:noWrap w:val="0"/>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洒水车洒水、厂区内设置洗车池（降尘</w:t>
            </w:r>
            <w:r>
              <w:rPr>
                <w:color w:val="auto"/>
                <w:kern w:val="0"/>
                <w:sz w:val="21"/>
                <w:szCs w:val="21"/>
              </w:rPr>
              <w:t>80%</w:t>
            </w:r>
            <w:r>
              <w:rPr>
                <w:rFonts w:ascii="宋体" w:hAnsi="宋体" w:cs="宋体"/>
                <w:color w:val="auto"/>
                <w:kern w:val="0"/>
                <w:sz w:val="21"/>
                <w:szCs w:val="21"/>
              </w:rPr>
              <w:t>）</w:t>
            </w:r>
          </w:p>
        </w:tc>
        <w:tc>
          <w:tcPr>
            <w:tcW w:w="333" w:type="pct"/>
            <w:shd w:val="clear" w:color="auto" w:fill="auto"/>
            <w:noWrap w:val="0"/>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是</w:t>
            </w:r>
          </w:p>
        </w:tc>
        <w:tc>
          <w:tcPr>
            <w:tcW w:w="333" w:type="pct"/>
            <w:shd w:val="clear" w:color="auto" w:fill="auto"/>
            <w:noWrap w:val="0"/>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2.404</w:t>
            </w:r>
          </w:p>
        </w:tc>
        <w:tc>
          <w:tcPr>
            <w:tcW w:w="354" w:type="pct"/>
            <w:shd w:val="clear" w:color="auto" w:fill="auto"/>
            <w:noWrap w:val="0"/>
            <w:vAlign w:val="center"/>
          </w:tcPr>
          <w:p>
            <w:pPr>
              <w:widowControl/>
              <w:spacing w:line="240" w:lineRule="auto"/>
              <w:ind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 xml:space="preserve">0.8013 </w:t>
            </w:r>
          </w:p>
        </w:tc>
        <w:tc>
          <w:tcPr>
            <w:tcW w:w="422" w:type="pct"/>
            <w:shd w:val="clear" w:color="auto" w:fill="auto"/>
            <w:noWrap w:val="0"/>
            <w:vAlign w:val="center"/>
          </w:tcPr>
          <w:p>
            <w:pPr>
              <w:widowControl/>
              <w:spacing w:line="240" w:lineRule="auto"/>
              <w:ind w:firstLine="0" w:firstLineChars="0"/>
              <w:jc w:val="center"/>
              <w:rPr>
                <w:color w:val="auto"/>
                <w:kern w:val="0"/>
                <w:sz w:val="21"/>
                <w:szCs w:val="21"/>
              </w:rPr>
            </w:pPr>
            <w:r>
              <w:rPr>
                <w:color w:val="auto"/>
                <w:kern w:val="0"/>
                <w:sz w:val="21"/>
                <w:szCs w:val="21"/>
              </w:rPr>
              <w:t>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2" w:type="pct"/>
            <w:gridSpan w:val="2"/>
            <w:shd w:val="clear" w:color="auto" w:fill="auto"/>
            <w:noWrap/>
            <w:vAlign w:val="center"/>
          </w:tcPr>
          <w:p>
            <w:pPr>
              <w:widowControl/>
              <w:spacing w:line="240" w:lineRule="auto"/>
              <w:ind w:firstLine="0" w:firstLineChars="0"/>
              <w:jc w:val="center"/>
              <w:rPr>
                <w:rFonts w:ascii="宋体" w:hAnsi="宋体" w:cs="宋体"/>
                <w:color w:val="auto"/>
                <w:kern w:val="0"/>
                <w:sz w:val="21"/>
                <w:szCs w:val="21"/>
              </w:rPr>
            </w:pPr>
            <w:r>
              <w:rPr>
                <w:rFonts w:hint="eastAsia" w:ascii="宋体" w:hAnsi="宋体" w:cs="宋体"/>
                <w:color w:val="auto"/>
                <w:kern w:val="0"/>
                <w:sz w:val="21"/>
                <w:szCs w:val="21"/>
              </w:rPr>
              <w:t>合计</w:t>
            </w:r>
          </w:p>
        </w:tc>
        <w:tc>
          <w:tcPr>
            <w:tcW w:w="333" w:type="pct"/>
            <w:shd w:val="clear" w:color="auto" w:fill="auto"/>
            <w:noWrap/>
            <w:vAlign w:val="center"/>
          </w:tcPr>
          <w:p>
            <w:pPr>
              <w:widowControl/>
              <w:spacing w:line="240" w:lineRule="auto"/>
              <w:ind w:firstLine="0" w:firstLineChars="0"/>
              <w:jc w:val="center"/>
              <w:rPr>
                <w:rFonts w:hint="eastAsia" w:ascii="宋体" w:hAnsi="宋体" w:cs="宋体"/>
                <w:color w:val="auto"/>
                <w:kern w:val="0"/>
                <w:sz w:val="21"/>
                <w:szCs w:val="21"/>
              </w:rPr>
            </w:pPr>
            <w:r>
              <w:rPr>
                <w:rFonts w:hint="eastAsia" w:ascii="宋体" w:hAnsi="宋体" w:cs="宋体"/>
                <w:color w:val="auto"/>
                <w:kern w:val="0"/>
                <w:sz w:val="21"/>
                <w:szCs w:val="21"/>
              </w:rPr>
              <w:t>颗粒物</w:t>
            </w:r>
          </w:p>
        </w:tc>
        <w:tc>
          <w:tcPr>
            <w:tcW w:w="358" w:type="pct"/>
            <w:shd w:val="clear" w:color="auto" w:fill="auto"/>
            <w:noWrap/>
            <w:vAlign w:val="center"/>
          </w:tcPr>
          <w:p>
            <w:pPr>
              <w:widowControl/>
              <w:spacing w:line="240" w:lineRule="auto"/>
              <w:ind w:firstLine="0" w:firstLineChars="0"/>
              <w:jc w:val="center"/>
              <w:rPr>
                <w:rFonts w:hint="default" w:eastAsia="宋体"/>
                <w:color w:val="auto"/>
                <w:kern w:val="0"/>
                <w:sz w:val="21"/>
                <w:szCs w:val="21"/>
                <w:lang w:val="en-US" w:eastAsia="zh-CN"/>
              </w:rPr>
            </w:pPr>
            <w:r>
              <w:rPr>
                <w:color w:val="auto"/>
                <w:kern w:val="0"/>
                <w:sz w:val="21"/>
                <w:szCs w:val="21"/>
              </w:rPr>
              <w:t xml:space="preserve"> </w:t>
            </w:r>
            <w:r>
              <w:rPr>
                <w:rFonts w:hint="eastAsia"/>
                <w:color w:val="auto"/>
                <w:kern w:val="0"/>
                <w:sz w:val="21"/>
                <w:szCs w:val="21"/>
                <w:lang w:val="en-US" w:eastAsia="zh-CN"/>
              </w:rPr>
              <w:t>34.07</w:t>
            </w:r>
          </w:p>
        </w:tc>
        <w:tc>
          <w:tcPr>
            <w:tcW w:w="2347" w:type="pct"/>
            <w:gridSpan w:val="5"/>
            <w:shd w:val="clear" w:color="auto" w:fill="auto"/>
            <w:noWrap/>
            <w:vAlign w:val="center"/>
          </w:tcPr>
          <w:p>
            <w:pPr>
              <w:widowControl/>
              <w:spacing w:line="240" w:lineRule="auto"/>
              <w:ind w:firstLine="0" w:firstLineChars="0"/>
              <w:jc w:val="center"/>
              <w:rPr>
                <w:color w:val="auto"/>
                <w:kern w:val="0"/>
                <w:sz w:val="21"/>
                <w:szCs w:val="21"/>
              </w:rPr>
            </w:pPr>
            <w:r>
              <w:rPr>
                <w:color w:val="auto"/>
                <w:kern w:val="0"/>
                <w:sz w:val="21"/>
                <w:szCs w:val="21"/>
              </w:rPr>
              <w:t>/</w:t>
            </w:r>
          </w:p>
        </w:tc>
        <w:tc>
          <w:tcPr>
            <w:tcW w:w="333" w:type="pct"/>
            <w:shd w:val="clear" w:color="auto" w:fill="auto"/>
            <w:noWrap/>
            <w:vAlign w:val="center"/>
          </w:tcPr>
          <w:p>
            <w:pPr>
              <w:widowControl/>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3.327</w:t>
            </w:r>
          </w:p>
        </w:tc>
        <w:tc>
          <w:tcPr>
            <w:tcW w:w="776" w:type="pct"/>
            <w:gridSpan w:val="2"/>
            <w:shd w:val="clear" w:color="auto" w:fill="auto"/>
            <w:noWrap/>
            <w:vAlign w:val="center"/>
          </w:tcPr>
          <w:p>
            <w:pPr>
              <w:widowControl/>
              <w:spacing w:line="240" w:lineRule="auto"/>
              <w:ind w:firstLine="0" w:firstLineChars="0"/>
              <w:jc w:val="center"/>
              <w:rPr>
                <w:rFonts w:hint="eastAsia"/>
                <w:color w:val="auto"/>
                <w:kern w:val="0"/>
                <w:sz w:val="21"/>
                <w:szCs w:val="21"/>
                <w:lang w:val="en-US" w:eastAsia="zh-CN"/>
              </w:rPr>
            </w:pPr>
            <w:r>
              <w:rPr>
                <w:rFonts w:hint="eastAsia"/>
                <w:color w:val="auto"/>
                <w:kern w:val="0"/>
                <w:sz w:val="21"/>
                <w:szCs w:val="21"/>
                <w:lang w:val="en-US" w:eastAsia="zh-CN"/>
              </w:rPr>
              <w:t>/</w:t>
            </w:r>
          </w:p>
        </w:tc>
      </w:tr>
    </w:tbl>
    <w:p>
      <w:pPr>
        <w:pStyle w:val="2"/>
        <w:rPr>
          <w:rFonts w:hint="default"/>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0"/>
        <w:tblW w:w="92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86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1" w:hRule="atLeast"/>
          <w:jc w:val="center"/>
        </w:trPr>
        <w:tc>
          <w:tcPr>
            <w:tcW w:w="602" w:type="dxa"/>
            <w:noWrap w:val="0"/>
            <w:tcMar>
              <w:left w:w="28" w:type="dxa"/>
              <w:right w:w="28" w:type="dxa"/>
            </w:tcMar>
            <w:vAlign w:val="center"/>
          </w:tcPr>
          <w:p>
            <w:pPr>
              <w:pStyle w:val="15"/>
              <w:rPr>
                <w:color w:val="auto"/>
                <w:sz w:val="24"/>
                <w:szCs w:val="24"/>
              </w:rPr>
            </w:pPr>
            <w:r>
              <w:rPr>
                <w:rFonts w:hint="eastAsia"/>
                <w:color w:val="auto"/>
                <w:sz w:val="24"/>
                <w:szCs w:val="24"/>
                <w:lang w:val="en-US" w:eastAsia="zh-CN"/>
              </w:rPr>
              <w:t>运营期</w:t>
            </w:r>
            <w:r>
              <w:rPr>
                <w:color w:val="auto"/>
                <w:sz w:val="24"/>
                <w:szCs w:val="24"/>
              </w:rPr>
              <w:t>环</w:t>
            </w:r>
          </w:p>
          <w:p>
            <w:pPr>
              <w:pStyle w:val="15"/>
              <w:rPr>
                <w:rFonts w:hint="default" w:eastAsia="宋体"/>
                <w:bCs/>
                <w:color w:val="auto"/>
                <w:lang w:val="en-US" w:eastAsia="zh-CN"/>
              </w:rPr>
            </w:pPr>
            <w:r>
              <w:rPr>
                <w:color w:val="auto"/>
                <w:sz w:val="24"/>
                <w:szCs w:val="24"/>
              </w:rPr>
              <w:t>境</w:t>
            </w:r>
            <w:r>
              <w:rPr>
                <w:rFonts w:hint="eastAsia"/>
                <w:color w:val="auto"/>
                <w:sz w:val="24"/>
                <w:szCs w:val="24"/>
                <w:lang w:val="en-US" w:eastAsia="zh-CN"/>
              </w:rPr>
              <w:t>影响和保护措施</w:t>
            </w:r>
          </w:p>
        </w:tc>
        <w:tc>
          <w:tcPr>
            <w:tcW w:w="8645" w:type="dxa"/>
            <w:noWrap w:val="0"/>
            <w:vAlign w:val="center"/>
          </w:tcPr>
          <w:p>
            <w:pPr>
              <w:pStyle w:val="22"/>
              <w:rPr>
                <w:rFonts w:ascii="Times New Roman" w:hAnsi="Times New Roman"/>
                <w:color w:val="auto"/>
              </w:rPr>
            </w:pPr>
            <w:r>
              <w:rPr>
                <w:rFonts w:ascii="Times New Roman" w:hAnsi="Times New Roman"/>
                <w:color w:val="auto"/>
              </w:rPr>
              <w:t>4.2.2.2大气环境影响分析</w:t>
            </w:r>
          </w:p>
          <w:p>
            <w:pPr>
              <w:pStyle w:val="16"/>
              <w:ind w:firstLine="480"/>
              <w:rPr>
                <w:color w:val="auto"/>
              </w:rPr>
            </w:pPr>
            <w:r>
              <w:rPr>
                <w:color w:val="auto"/>
              </w:rPr>
              <w:t>（1）无组织粉尘控制措施</w:t>
            </w:r>
          </w:p>
          <w:p>
            <w:pPr>
              <w:bidi w:val="0"/>
              <w:rPr>
                <w:color w:val="auto"/>
              </w:rPr>
            </w:pPr>
            <w:r>
              <w:rPr>
                <w:color w:val="auto"/>
              </w:rPr>
              <w:t>项目生产线、原料卸料均建设于封闭的厂房内，生产车间内地面硬化；破碎、干式筛分和整形等设备上方设置喷淋头进行降尘处理；生产场地硬化、洒水车每天定时对加工区、运输道路进行洒水降尘；原料卸料</w:t>
            </w:r>
            <w:r>
              <w:rPr>
                <w:rFonts w:hint="eastAsia"/>
                <w:color w:val="auto"/>
                <w:lang w:val="en-US" w:eastAsia="zh-CN"/>
              </w:rPr>
              <w:t>时</w:t>
            </w:r>
            <w:r>
              <w:rPr>
                <w:color w:val="auto"/>
              </w:rPr>
              <w:t>在设备卸料口安装喷头降尘；输送带卸料口安装喷头降尘；厂区运输出入口设置洗车池，清洁运输车辆轮胎，降低运输扬尘，以上废气治理工艺符合《排污许可申请与核发技术规范陶瓷砖瓦工业》（HJ954-2018）表33其他制品类工业排污单位废气污染防治可行技术中湿法作业或采用袋式除尘等技术，符合表27其他制品类工业排污单位无组织排放控制要求。项目废气处理措施可行。</w:t>
            </w:r>
          </w:p>
          <w:p>
            <w:pPr>
              <w:pStyle w:val="16"/>
              <w:ind w:firstLine="480"/>
              <w:rPr>
                <w:rFonts w:ascii="Times New Roman" w:hAnsi="Times New Roman"/>
                <w:color w:val="auto"/>
              </w:rPr>
            </w:pPr>
            <w:r>
              <w:rPr>
                <w:rFonts w:ascii="Times New Roman" w:hAnsi="Times New Roman"/>
                <w:color w:val="auto"/>
              </w:rPr>
              <w:t>（2）大气环境影响分析</w:t>
            </w:r>
          </w:p>
          <w:p>
            <w:pPr>
              <w:pStyle w:val="16"/>
              <w:ind w:firstLine="480"/>
              <w:rPr>
                <w:rFonts w:ascii="Times New Roman" w:hAnsi="Times New Roman"/>
                <w:color w:val="auto"/>
              </w:rPr>
            </w:pPr>
            <w:r>
              <w:rPr>
                <w:rFonts w:ascii="Times New Roman" w:hAnsi="Times New Roman"/>
                <w:color w:val="auto"/>
              </w:rPr>
              <w:t>项目渣石加工区距离</w:t>
            </w:r>
            <w:r>
              <w:rPr>
                <w:rFonts w:hint="eastAsia" w:ascii="Times New Roman" w:hAnsi="Times New Roman"/>
                <w:color w:val="auto"/>
                <w:lang w:val="en-US" w:eastAsia="zh-CN"/>
              </w:rPr>
              <w:t>南乾村47</w:t>
            </w:r>
            <w:r>
              <w:rPr>
                <w:rFonts w:ascii="Times New Roman" w:hAnsi="Times New Roman"/>
                <w:color w:val="auto"/>
              </w:rPr>
              <w:t>m，在采取相应的降尘措施后，生产产生的颗粒物排放浓度符合《大气污染物综合排放标准》（GB16297-1996）表2中颗粒物≤1mg/m³的要求。</w:t>
            </w:r>
          </w:p>
          <w:p>
            <w:pPr>
              <w:pStyle w:val="17"/>
              <w:rPr>
                <w:color w:val="auto"/>
              </w:rPr>
            </w:pPr>
            <w:r>
              <w:rPr>
                <w:color w:val="auto"/>
              </w:rPr>
              <w:t>4.2.3噪声</w:t>
            </w:r>
          </w:p>
          <w:p>
            <w:pPr>
              <w:pStyle w:val="22"/>
              <w:rPr>
                <w:rFonts w:ascii="Times New Roman" w:hAnsi="Times New Roman"/>
                <w:color w:val="auto"/>
              </w:rPr>
            </w:pPr>
            <w:r>
              <w:rPr>
                <w:rFonts w:ascii="Times New Roman" w:hAnsi="Times New Roman"/>
                <w:color w:val="auto"/>
              </w:rPr>
              <w:t>4.2.3.1噪声污染源强分析</w:t>
            </w:r>
          </w:p>
          <w:p>
            <w:pPr>
              <w:keepNext w:val="0"/>
              <w:keepLines w:val="0"/>
              <w:widowControl/>
              <w:suppressLineNumbers w:val="0"/>
              <w:jc w:val="left"/>
              <w:rPr>
                <w:color w:val="auto"/>
              </w:rPr>
            </w:pPr>
            <w:r>
              <w:rPr>
                <w:color w:val="auto"/>
              </w:rPr>
              <w:t>项目主要噪声源为制砂机、给料机、喂料机、双轴脱水细砂回收一体机、破碎机等，噪声声压级范围为70-85dB(A)，对运营期间的生产噪声采取设备基础减振、厂房隔声等综合措施进行降噪，降噪效果约为15dB(A)。</w:t>
            </w:r>
            <w:r>
              <w:rPr>
                <w:rFonts w:hint="eastAsia"/>
                <w:color w:val="auto"/>
                <w:lang w:val="en-US" w:eastAsia="zh-CN"/>
              </w:rPr>
              <w:t>本项目拟设定工程用地红线的西南角为坐标原点，三维坐标为（</w:t>
            </w:r>
            <w:r>
              <w:rPr>
                <w:rFonts w:hint="default"/>
                <w:color w:val="auto"/>
                <w:lang w:val="en-US" w:eastAsia="zh-CN"/>
              </w:rPr>
              <w:t>0</w:t>
            </w:r>
            <w:r>
              <w:rPr>
                <w:rFonts w:hint="eastAsia"/>
                <w:color w:val="auto"/>
                <w:lang w:val="en-US" w:eastAsia="zh-CN"/>
              </w:rPr>
              <w:t>，</w:t>
            </w:r>
            <w:r>
              <w:rPr>
                <w:rFonts w:hint="default"/>
                <w:color w:val="auto"/>
                <w:lang w:val="en-US" w:eastAsia="zh-CN"/>
              </w:rPr>
              <w:t>0</w:t>
            </w:r>
            <w:r>
              <w:rPr>
                <w:rFonts w:hint="eastAsia"/>
                <w:color w:val="auto"/>
                <w:lang w:val="en-US" w:eastAsia="zh-CN"/>
              </w:rPr>
              <w:t>，</w:t>
            </w:r>
            <w:r>
              <w:rPr>
                <w:rFonts w:hint="default"/>
                <w:color w:val="auto"/>
                <w:lang w:val="en-US" w:eastAsia="zh-CN"/>
              </w:rPr>
              <w:t>0</w:t>
            </w:r>
            <w:r>
              <w:rPr>
                <w:rFonts w:hint="eastAsia"/>
                <w:color w:val="auto"/>
                <w:lang w:val="en-US" w:eastAsia="zh-CN"/>
              </w:rPr>
              <w:t xml:space="preserve">），以厂区地平面为 </w:t>
            </w:r>
            <w:r>
              <w:rPr>
                <w:rFonts w:hint="default"/>
                <w:color w:val="auto"/>
                <w:lang w:val="en-US" w:eastAsia="zh-CN"/>
              </w:rPr>
              <w:t xml:space="preserve">Z </w:t>
            </w:r>
            <w:r>
              <w:rPr>
                <w:rFonts w:hint="eastAsia"/>
                <w:color w:val="auto"/>
                <w:lang w:val="en-US" w:eastAsia="zh-CN"/>
              </w:rPr>
              <w:t xml:space="preserve">轴零点，正北方向为 </w:t>
            </w:r>
            <w:r>
              <w:rPr>
                <w:rFonts w:hint="default"/>
                <w:color w:val="auto"/>
                <w:lang w:val="en-US" w:eastAsia="zh-CN"/>
              </w:rPr>
              <w:t xml:space="preserve">Y </w:t>
            </w:r>
            <w:r>
              <w:rPr>
                <w:rFonts w:hint="eastAsia"/>
                <w:color w:val="auto"/>
                <w:lang w:val="en-US" w:eastAsia="zh-CN"/>
              </w:rPr>
              <w:t xml:space="preserve">轴正方向，正东方向为 </w:t>
            </w:r>
            <w:r>
              <w:rPr>
                <w:rFonts w:hint="default"/>
                <w:color w:val="auto"/>
                <w:lang w:val="en-US" w:eastAsia="zh-CN"/>
              </w:rPr>
              <w:t xml:space="preserve">X </w:t>
            </w:r>
            <w:r>
              <w:rPr>
                <w:rFonts w:hint="eastAsia"/>
                <w:color w:val="auto"/>
                <w:lang w:val="en-US" w:eastAsia="zh-CN"/>
              </w:rPr>
              <w:t>轴正方向，以此来定位产</w:t>
            </w:r>
            <w:r>
              <w:rPr>
                <w:rFonts w:hint="eastAsia" w:ascii="宋体" w:hAnsi="宋体" w:eastAsia="宋体" w:cs="宋体"/>
                <w:color w:val="auto"/>
                <w:kern w:val="0"/>
                <w:sz w:val="24"/>
                <w:szCs w:val="24"/>
                <w:lang w:val="en-US" w:eastAsia="zh-CN" w:bidi="ar"/>
              </w:rPr>
              <w:t>噪设备的三维坐标。</w:t>
            </w:r>
            <w:r>
              <w:rPr>
                <w:color w:val="auto"/>
              </w:rPr>
              <w:t>各种设备噪声源强详见表4.2-3。</w:t>
            </w:r>
          </w:p>
          <w:p>
            <w:pPr>
              <w:pStyle w:val="2"/>
              <w:ind w:left="0" w:leftChars="0" w:firstLine="0" w:firstLineChars="0"/>
              <w:rPr>
                <w:color w:val="auto"/>
              </w:rPr>
            </w:pPr>
          </w:p>
        </w:tc>
      </w:tr>
    </w:tbl>
    <w:p>
      <w:pPr>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3"/>
        <w:bidi w:val="0"/>
        <w:rPr>
          <w:rFonts w:hint="eastAsia"/>
          <w:color w:val="auto"/>
          <w:lang w:val="en-US" w:eastAsia="zh-CN"/>
        </w:rPr>
      </w:pPr>
      <w:r>
        <w:rPr>
          <w:color w:val="auto"/>
        </w:rPr>
        <w:t>表4.2-3</w:t>
      </w:r>
      <w:r>
        <w:rPr>
          <w:rFonts w:hint="eastAsia"/>
          <w:color w:val="auto"/>
          <w:lang w:val="en-US" w:eastAsia="zh-CN"/>
        </w:rPr>
        <w:t xml:space="preserve"> 工业企业噪声源强调查清单</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970"/>
        <w:gridCol w:w="1453"/>
        <w:gridCol w:w="1623"/>
        <w:gridCol w:w="870"/>
        <w:gridCol w:w="915"/>
        <w:gridCol w:w="840"/>
        <w:gridCol w:w="825"/>
        <w:gridCol w:w="804"/>
        <w:gridCol w:w="899"/>
        <w:gridCol w:w="899"/>
        <w:gridCol w:w="899"/>
        <w:gridCol w:w="900"/>
        <w:gridCol w:w="900"/>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7"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序号</w:t>
            </w:r>
          </w:p>
        </w:tc>
        <w:tc>
          <w:tcPr>
            <w:tcW w:w="342"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建筑物名称</w:t>
            </w:r>
          </w:p>
        </w:tc>
        <w:tc>
          <w:tcPr>
            <w:tcW w:w="512"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声源</w:t>
            </w:r>
          </w:p>
        </w:tc>
        <w:tc>
          <w:tcPr>
            <w:tcW w:w="572"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型号</w:t>
            </w:r>
          </w:p>
        </w:tc>
        <w:tc>
          <w:tcPr>
            <w:tcW w:w="306"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声功率级/dB(A)</w:t>
            </w:r>
          </w:p>
        </w:tc>
        <w:tc>
          <w:tcPr>
            <w:tcW w:w="322"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声源控制措施</w:t>
            </w:r>
          </w:p>
        </w:tc>
        <w:tc>
          <w:tcPr>
            <w:tcW w:w="870" w:type="pct"/>
            <w:gridSpan w:val="3"/>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空间相对位置/m</w:t>
            </w:r>
          </w:p>
        </w:tc>
        <w:tc>
          <w:tcPr>
            <w:tcW w:w="317"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距室内边界距离/m</w:t>
            </w:r>
          </w:p>
        </w:tc>
        <w:tc>
          <w:tcPr>
            <w:tcW w:w="317"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室内边界声级/dB(A)</w:t>
            </w:r>
          </w:p>
        </w:tc>
        <w:tc>
          <w:tcPr>
            <w:tcW w:w="317"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运行时段</w:t>
            </w:r>
          </w:p>
        </w:tc>
        <w:tc>
          <w:tcPr>
            <w:tcW w:w="317"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建筑物插入损失/dB(A)</w:t>
            </w:r>
          </w:p>
        </w:tc>
        <w:tc>
          <w:tcPr>
            <w:tcW w:w="636" w:type="pct"/>
            <w:gridSpan w:val="2"/>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6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51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57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306"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X</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Y</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Z</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声压级/dB(A)</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42"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生产车间</w:t>
            </w: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棒条喂料机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ZW1300×6000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75</w:t>
            </w:r>
          </w:p>
        </w:tc>
        <w:tc>
          <w:tcPr>
            <w:tcW w:w="322"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选用低噪声设备，设备安装基础减振设施</w:t>
            </w: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62</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38</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50.46 </w:t>
            </w:r>
          </w:p>
        </w:tc>
        <w:tc>
          <w:tcPr>
            <w:tcW w:w="317" w:type="pct"/>
            <w:vMerge w:val="restar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昼间10h</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40.46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鄂式破碎机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PE900×1200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62</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53</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51.02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41.02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圆锥机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MPH1650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85</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35</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41.02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31.02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圆锥机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MPH1400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85</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49</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41.02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31.02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圆锥机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MPH1400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85</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65</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41.02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31.02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料仓喂料机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ZW1520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100</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45</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55.46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料仓喂料机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ZW1520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100</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63</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55.46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料仓喂料机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ZW1520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71</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110</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55.46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振动筛</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2YK3072</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43</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54</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振动筛</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2YK3072</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78</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189</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11</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振动筛</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2YK3072</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78</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180</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12</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振动筛</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2YK3072</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91</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101</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13</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振动筛</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2YK3072</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91</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103</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14</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洗砂机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XSD5020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46</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73</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15</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洗砂脱水一体机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1YP2050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47</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75</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25.46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16</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洗砂机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XSD4535</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75</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78</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190</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50.46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40.46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17</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洗砂机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XSD4535</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75</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78</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195</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50.46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40.46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18</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洗砂机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XSD4535</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75</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82</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190</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47.96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37.96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19</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洗砂机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XSD4535</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75</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82</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195</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47.96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37.96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洗砂脱水一体机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1YP2450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60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83</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200</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25.46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21</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lang w:val="en-US" w:eastAsia="zh-CN"/>
              </w:rPr>
              <w:t>洗砂脱水一体机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1YP2450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lang w:val="en-US" w:eastAsia="zh-CN"/>
              </w:rPr>
              <w:t>60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83</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201</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32.96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22.96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22</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板框压泥机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ZB-500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118</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158</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42.96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32.96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23</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板框压泥机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ZB-500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118</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160</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4</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42.96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32.96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24</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板框压泥机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ZB-500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120</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158</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25</w:t>
            </w:r>
          </w:p>
        </w:tc>
        <w:tc>
          <w:tcPr>
            <w:tcW w:w="34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51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板框压泥机</w:t>
            </w:r>
          </w:p>
        </w:tc>
        <w:tc>
          <w:tcPr>
            <w:tcW w:w="572"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color w:val="auto"/>
                <w:lang w:val="en-US" w:eastAsia="zh-CN"/>
              </w:rPr>
              <w:t>ZB-500</w:t>
            </w:r>
          </w:p>
        </w:tc>
        <w:tc>
          <w:tcPr>
            <w:tcW w:w="30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70</w:t>
            </w:r>
          </w:p>
        </w:tc>
        <w:tc>
          <w:tcPr>
            <w:tcW w:w="322"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296"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120</w:t>
            </w:r>
          </w:p>
        </w:tc>
        <w:tc>
          <w:tcPr>
            <w:tcW w:w="291"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160</w:t>
            </w:r>
          </w:p>
        </w:tc>
        <w:tc>
          <w:tcPr>
            <w:tcW w:w="283"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45.46 </w:t>
            </w:r>
          </w:p>
        </w:tc>
        <w:tc>
          <w:tcPr>
            <w:tcW w:w="317" w:type="pct"/>
            <w:vMerge w:val="continue"/>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10</w:t>
            </w:r>
          </w:p>
        </w:tc>
        <w:tc>
          <w:tcPr>
            <w:tcW w:w="317"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 xml:space="preserve">35.46 </w:t>
            </w:r>
          </w:p>
        </w:tc>
        <w:tc>
          <w:tcPr>
            <w:tcW w:w="318" w:type="pct"/>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w:t>
            </w:r>
          </w:p>
        </w:tc>
      </w:tr>
    </w:tbl>
    <w:p>
      <w:pPr>
        <w:pStyle w:val="13"/>
        <w:bidi w:val="0"/>
        <w:rPr>
          <w:rFonts w:hint="eastAsia"/>
          <w:color w:val="auto"/>
          <w:lang w:val="en-US" w:eastAsia="zh-CN"/>
        </w:rPr>
      </w:pPr>
    </w:p>
    <w:p>
      <w:pPr>
        <w:pStyle w:val="13"/>
        <w:bidi w:val="0"/>
        <w:rPr>
          <w:rFonts w:hint="default"/>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0"/>
        <w:tblW w:w="92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6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31" w:hRule="atLeast"/>
          <w:jc w:val="center"/>
        </w:trPr>
        <w:tc>
          <w:tcPr>
            <w:tcW w:w="602" w:type="dxa"/>
            <w:noWrap w:val="0"/>
            <w:tcMar>
              <w:left w:w="28" w:type="dxa"/>
              <w:right w:w="28" w:type="dxa"/>
            </w:tcMar>
            <w:vAlign w:val="center"/>
          </w:tcPr>
          <w:p>
            <w:pPr>
              <w:pStyle w:val="15"/>
              <w:rPr>
                <w:color w:val="auto"/>
                <w:sz w:val="24"/>
                <w:szCs w:val="24"/>
              </w:rPr>
            </w:pPr>
            <w:r>
              <w:rPr>
                <w:rFonts w:hint="eastAsia"/>
                <w:color w:val="auto"/>
                <w:sz w:val="24"/>
                <w:szCs w:val="24"/>
                <w:lang w:val="en-US" w:eastAsia="zh-CN"/>
              </w:rPr>
              <w:t>运营期</w:t>
            </w:r>
            <w:r>
              <w:rPr>
                <w:color w:val="auto"/>
                <w:sz w:val="24"/>
                <w:szCs w:val="24"/>
              </w:rPr>
              <w:t>环</w:t>
            </w:r>
          </w:p>
          <w:p>
            <w:pPr>
              <w:pStyle w:val="15"/>
              <w:rPr>
                <w:rFonts w:hint="default" w:eastAsia="宋体"/>
                <w:bCs/>
                <w:color w:val="auto"/>
                <w:lang w:val="en-US" w:eastAsia="zh-CN"/>
              </w:rPr>
            </w:pPr>
            <w:r>
              <w:rPr>
                <w:color w:val="auto"/>
                <w:sz w:val="24"/>
                <w:szCs w:val="24"/>
              </w:rPr>
              <w:t>境</w:t>
            </w:r>
            <w:r>
              <w:rPr>
                <w:rFonts w:hint="eastAsia"/>
                <w:color w:val="auto"/>
                <w:sz w:val="24"/>
                <w:szCs w:val="24"/>
                <w:lang w:val="en-US" w:eastAsia="zh-CN"/>
              </w:rPr>
              <w:t>影响和保护措施</w:t>
            </w:r>
          </w:p>
        </w:tc>
        <w:tc>
          <w:tcPr>
            <w:tcW w:w="8645" w:type="dxa"/>
            <w:noWrap w:val="0"/>
            <w:vAlign w:val="center"/>
          </w:tcPr>
          <w:p>
            <w:pPr>
              <w:pStyle w:val="22"/>
              <w:rPr>
                <w:rFonts w:ascii="Times New Roman" w:hAnsi="Times New Roman"/>
                <w:color w:val="auto"/>
              </w:rPr>
            </w:pPr>
            <w:r>
              <w:rPr>
                <w:rFonts w:ascii="Times New Roman" w:hAnsi="Times New Roman"/>
                <w:color w:val="auto"/>
              </w:rPr>
              <w:t>4.2.3.2噪声达标分析</w:t>
            </w:r>
          </w:p>
          <w:p>
            <w:pPr>
              <w:ind w:firstLine="480"/>
              <w:rPr>
                <w:color w:val="auto"/>
              </w:rPr>
            </w:pPr>
            <w:r>
              <w:rPr>
                <w:color w:val="auto"/>
              </w:rPr>
              <w:t>（1）噪声点源距离衰减公式</w:t>
            </w:r>
          </w:p>
          <w:p>
            <w:pPr>
              <w:ind w:firstLine="480"/>
              <w:rPr>
                <w:color w:val="auto"/>
              </w:rPr>
            </w:pPr>
            <w:r>
              <w:rPr>
                <w:color w:val="auto"/>
              </w:rPr>
              <w:t>根据工业噪声源的特点，本次评价采用无指向性点源的集几何可近似认为是半发散衰减公式进行预测：</w:t>
            </w:r>
          </w:p>
          <w:p>
            <w:pPr>
              <w:pStyle w:val="13"/>
              <w:rPr>
                <w:color w:val="auto"/>
              </w:rPr>
            </w:pPr>
            <w:r>
              <w:rPr>
                <w:color w:val="auto"/>
              </w:rPr>
              <w:object>
                <v:shape id="_x0000_i1028" o:spt="75" type="#_x0000_t75" style="height:38.05pt;width:154.15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p>
          <w:p>
            <w:pPr>
              <w:ind w:firstLine="480"/>
              <w:rPr>
                <w:color w:val="auto"/>
              </w:rPr>
            </w:pPr>
            <w:r>
              <w:rPr>
                <w:color w:val="auto"/>
              </w:rPr>
              <w:t>式中：LA(r)——距声源r处的A声级，dB；</w:t>
            </w:r>
          </w:p>
          <w:p>
            <w:pPr>
              <w:ind w:firstLine="480"/>
              <w:rPr>
                <w:color w:val="auto"/>
              </w:rPr>
            </w:pPr>
            <w:r>
              <w:rPr>
                <w:color w:val="auto"/>
              </w:rPr>
              <w:t>LA(r0)——参考位置r0处的A声级，dB；</w:t>
            </w:r>
          </w:p>
          <w:p>
            <w:pPr>
              <w:ind w:firstLine="480"/>
              <w:rPr>
                <w:color w:val="auto"/>
              </w:rPr>
            </w:pPr>
            <w:r>
              <w:rPr>
                <w:color w:val="auto"/>
              </w:rPr>
              <w:t>r——预测点距声源的距离，m；</w:t>
            </w:r>
          </w:p>
          <w:p>
            <w:pPr>
              <w:ind w:firstLine="480"/>
              <w:rPr>
                <w:color w:val="auto"/>
              </w:rPr>
            </w:pPr>
            <w:r>
              <w:rPr>
                <w:color w:val="auto"/>
              </w:rPr>
              <w:t>r0——参考位置距声源的距离，m；</w:t>
            </w:r>
          </w:p>
          <w:p>
            <w:pPr>
              <w:ind w:firstLine="480"/>
              <w:rPr>
                <w:color w:val="auto"/>
              </w:rPr>
            </w:pPr>
            <w:r>
              <w:rPr>
                <w:color w:val="auto"/>
              </w:rPr>
              <w:t>ΔLA——因各种因素引起的衰减量，dB。</w:t>
            </w:r>
          </w:p>
          <w:p>
            <w:pPr>
              <w:ind w:firstLine="480"/>
              <w:rPr>
                <w:color w:val="auto"/>
              </w:rPr>
            </w:pPr>
            <w:r>
              <w:rPr>
                <w:color w:val="auto"/>
              </w:rPr>
              <w:t>（2）多声源叠加公式</w:t>
            </w:r>
          </w:p>
          <w:p>
            <w:pPr>
              <w:pStyle w:val="13"/>
              <w:rPr>
                <w:color w:val="auto"/>
              </w:rPr>
            </w:pPr>
            <w:r>
              <w:rPr>
                <w:color w:val="auto"/>
              </w:rPr>
              <w:object>
                <v:shape id="_x0000_i1029" o:spt="75" type="#_x0000_t75" style="height:36pt;width:116.15pt;" o:ole="t" fillcolor="#000011" filled="f" o:preferrelative="t" stroked="f" coordsize="21600,21600">
                  <v:path/>
                  <v:fill on="f" focussize="0,0"/>
                  <v:stroke on="f"/>
                  <v:imagedata r:id="rId25" o:title=""/>
                  <o:lock v:ext="edit" aspectratio="t"/>
                  <w10:wrap type="none"/>
                  <w10:anchorlock/>
                </v:shape>
                <o:OLEObject Type="Embed" ProgID="Equation.3" ShapeID="_x0000_i1029" DrawAspect="Content" ObjectID="_1468075729" r:id="rId24">
                  <o:LockedField>false</o:LockedField>
                </o:OLEObject>
              </w:object>
            </w:r>
          </w:p>
          <w:p>
            <w:pPr>
              <w:ind w:firstLine="480"/>
              <w:rPr>
                <w:color w:val="auto"/>
              </w:rPr>
            </w:pPr>
            <w:r>
              <w:rPr>
                <w:color w:val="auto"/>
              </w:rPr>
              <w:t>式中：Leq——预测点的总声压级，dB(A)；</w:t>
            </w:r>
          </w:p>
          <w:p>
            <w:pPr>
              <w:ind w:firstLine="480"/>
              <w:rPr>
                <w:color w:val="auto"/>
              </w:rPr>
            </w:pPr>
            <w:r>
              <w:rPr>
                <w:color w:val="auto"/>
              </w:rPr>
              <w:t>LA,i——第i个声源对预测点的影响值，dB(A)；</w:t>
            </w:r>
          </w:p>
          <w:p>
            <w:pPr>
              <w:ind w:firstLine="480"/>
              <w:rPr>
                <w:color w:val="auto"/>
              </w:rPr>
            </w:pPr>
            <w:r>
              <w:rPr>
                <w:color w:val="auto"/>
              </w:rPr>
              <w:t>N——声源个数。</w:t>
            </w:r>
          </w:p>
          <w:p>
            <w:pPr>
              <w:bidi w:val="0"/>
              <w:rPr>
                <w:color w:val="auto"/>
              </w:rPr>
            </w:pPr>
            <w:r>
              <w:rPr>
                <w:color w:val="auto"/>
              </w:rPr>
              <w:t>（3）建筑围护结构的隔声量</w:t>
            </w:r>
          </w:p>
          <w:p>
            <w:pPr>
              <w:bidi w:val="0"/>
              <w:rPr>
                <w:color w:val="auto"/>
              </w:rPr>
            </w:pPr>
            <w:r>
              <w:rPr>
                <w:color w:val="auto"/>
              </w:rPr>
              <w:t>建筑围护结构的隔声量取决于墙体、门窗所占面积及其透声系数。根据经验和计算，建筑围护结构的隔声量一般为</w:t>
            </w:r>
            <w:r>
              <w:rPr>
                <w:rFonts w:hint="eastAsia"/>
                <w:color w:val="auto"/>
                <w:lang w:val="en-US" w:eastAsia="zh-CN"/>
              </w:rPr>
              <w:t>20</w:t>
            </w:r>
            <w:r>
              <w:rPr>
                <w:color w:val="auto"/>
              </w:rPr>
              <w:t>.0dB(A)。</w:t>
            </w:r>
          </w:p>
          <w:p>
            <w:pPr>
              <w:ind w:firstLine="480"/>
              <w:rPr>
                <w:color w:val="auto"/>
              </w:rPr>
            </w:pPr>
            <w:r>
              <w:rPr>
                <w:color w:val="auto"/>
              </w:rPr>
              <w:t>本项目为单班制，夜间不生产，则夜间对周边声环境没有影响。采用上述预测模式计算厂界处的噪声排放声级及其对周边声环境的影响。</w:t>
            </w:r>
          </w:p>
          <w:p>
            <w:pPr>
              <w:pStyle w:val="13"/>
              <w:rPr>
                <w:rFonts w:hint="default" w:eastAsia="黑体"/>
                <w:color w:val="auto"/>
                <w:lang w:val="en-US" w:eastAsia="zh-CN"/>
              </w:rPr>
            </w:pPr>
            <w:r>
              <w:rPr>
                <w:color w:val="auto"/>
              </w:rPr>
              <w:t>表4.2-4</w:t>
            </w:r>
            <w:r>
              <w:rPr>
                <w:rFonts w:hint="eastAsia"/>
                <w:color w:val="auto"/>
                <w:lang w:val="en-US" w:eastAsia="zh-CN"/>
              </w:rPr>
              <w:t xml:space="preserve"> 敏感目标噪声预测结果 单位：dB(A)</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1"/>
              <w:gridCol w:w="876"/>
              <w:gridCol w:w="465"/>
              <w:gridCol w:w="555"/>
              <w:gridCol w:w="450"/>
              <w:gridCol w:w="510"/>
              <w:gridCol w:w="450"/>
              <w:gridCol w:w="480"/>
              <w:gridCol w:w="480"/>
              <w:gridCol w:w="480"/>
              <w:gridCol w:w="555"/>
              <w:gridCol w:w="540"/>
              <w:gridCol w:w="585"/>
              <w:gridCol w:w="585"/>
              <w:gridCol w:w="429"/>
              <w:gridCol w:w="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 w:type="pct"/>
                  <w:vMerge w:val="restart"/>
                  <w:noWrap w:val="0"/>
                  <w:vAlign w:val="center"/>
                </w:tcPr>
                <w:p>
                  <w:pPr>
                    <w:pStyle w:val="15"/>
                    <w:rPr>
                      <w:rFonts w:hint="default" w:eastAsia="宋体"/>
                      <w:color w:val="auto"/>
                      <w:lang w:val="en-US" w:eastAsia="zh-CN"/>
                    </w:rPr>
                  </w:pPr>
                  <w:r>
                    <w:rPr>
                      <w:rFonts w:hint="eastAsia"/>
                      <w:color w:val="auto"/>
                      <w:lang w:val="en-US" w:eastAsia="zh-CN"/>
                    </w:rPr>
                    <w:t>序号</w:t>
                  </w:r>
                </w:p>
              </w:tc>
              <w:tc>
                <w:tcPr>
                  <w:tcW w:w="521" w:type="pct"/>
                  <w:vMerge w:val="restart"/>
                  <w:noWrap w:val="0"/>
                  <w:vAlign w:val="center"/>
                </w:tcPr>
                <w:p>
                  <w:pPr>
                    <w:pStyle w:val="15"/>
                    <w:rPr>
                      <w:rFonts w:hint="default" w:eastAsia="宋体"/>
                      <w:color w:val="auto"/>
                      <w:lang w:val="en-US" w:eastAsia="zh-CN"/>
                    </w:rPr>
                  </w:pPr>
                  <w:r>
                    <w:rPr>
                      <w:rFonts w:hint="eastAsia"/>
                      <w:color w:val="auto"/>
                      <w:lang w:val="en-US" w:eastAsia="zh-CN"/>
                    </w:rPr>
                    <w:t>声环境保护目标名称</w:t>
                  </w:r>
                </w:p>
              </w:tc>
              <w:tc>
                <w:tcPr>
                  <w:tcW w:w="607" w:type="pct"/>
                  <w:gridSpan w:val="2"/>
                  <w:noWrap/>
                  <w:vAlign w:val="center"/>
                </w:tcPr>
                <w:p>
                  <w:pPr>
                    <w:pStyle w:val="15"/>
                    <w:rPr>
                      <w:rFonts w:hint="eastAsia"/>
                      <w:color w:val="auto"/>
                      <w:lang w:val="en-US" w:eastAsia="zh-CN"/>
                    </w:rPr>
                  </w:pPr>
                  <w:r>
                    <w:rPr>
                      <w:rFonts w:hint="eastAsia"/>
                      <w:color w:val="auto"/>
                      <w:lang w:val="en-US" w:eastAsia="zh-CN"/>
                    </w:rPr>
                    <w:t>噪声背景值/dB(A)</w:t>
                  </w:r>
                </w:p>
              </w:tc>
              <w:tc>
                <w:tcPr>
                  <w:tcW w:w="571" w:type="pct"/>
                  <w:gridSpan w:val="2"/>
                  <w:noWrap/>
                  <w:vAlign w:val="center"/>
                </w:tcPr>
                <w:p>
                  <w:pPr>
                    <w:pStyle w:val="15"/>
                    <w:rPr>
                      <w:rFonts w:hint="eastAsia"/>
                      <w:color w:val="auto"/>
                      <w:lang w:val="en-US" w:eastAsia="zh-CN"/>
                    </w:rPr>
                  </w:pPr>
                  <w:r>
                    <w:rPr>
                      <w:rFonts w:hint="eastAsia"/>
                      <w:color w:val="auto"/>
                      <w:lang w:val="en-US" w:eastAsia="zh-CN"/>
                    </w:rPr>
                    <w:t>噪声背景值/dB(A)</w:t>
                  </w:r>
                </w:p>
              </w:tc>
              <w:tc>
                <w:tcPr>
                  <w:tcW w:w="553" w:type="pct"/>
                  <w:gridSpan w:val="2"/>
                  <w:noWrap/>
                  <w:vAlign w:val="center"/>
                </w:tcPr>
                <w:p>
                  <w:pPr>
                    <w:pStyle w:val="15"/>
                    <w:rPr>
                      <w:rFonts w:hint="default"/>
                      <w:color w:val="auto"/>
                      <w:lang w:val="en-US" w:eastAsia="zh-CN"/>
                    </w:rPr>
                  </w:pPr>
                  <w:r>
                    <w:rPr>
                      <w:rFonts w:hint="eastAsia"/>
                      <w:color w:val="auto"/>
                      <w:lang w:val="en-US" w:eastAsia="zh-CN"/>
                    </w:rPr>
                    <w:t>噪声标准/dB(A)</w:t>
                  </w:r>
                </w:p>
              </w:tc>
              <w:tc>
                <w:tcPr>
                  <w:tcW w:w="571" w:type="pct"/>
                  <w:gridSpan w:val="2"/>
                  <w:noWrap/>
                  <w:vAlign w:val="center"/>
                </w:tcPr>
                <w:p>
                  <w:pPr>
                    <w:pStyle w:val="15"/>
                    <w:rPr>
                      <w:color w:val="auto"/>
                    </w:rPr>
                  </w:pPr>
                  <w:r>
                    <w:rPr>
                      <w:rFonts w:hint="eastAsia"/>
                      <w:color w:val="auto"/>
                      <w:lang w:val="en-US" w:eastAsia="zh-CN"/>
                    </w:rPr>
                    <w:t>噪声贡献值/dB(A)</w:t>
                  </w:r>
                </w:p>
              </w:tc>
              <w:tc>
                <w:tcPr>
                  <w:tcW w:w="651" w:type="pct"/>
                  <w:gridSpan w:val="2"/>
                  <w:noWrap/>
                  <w:vAlign w:val="center"/>
                </w:tcPr>
                <w:p>
                  <w:pPr>
                    <w:pStyle w:val="15"/>
                    <w:rPr>
                      <w:rFonts w:hint="eastAsia"/>
                      <w:color w:val="auto"/>
                      <w:lang w:val="en-US" w:eastAsia="zh-CN"/>
                    </w:rPr>
                  </w:pPr>
                  <w:r>
                    <w:rPr>
                      <w:rFonts w:hint="eastAsia"/>
                      <w:color w:val="auto"/>
                      <w:lang w:val="en-US" w:eastAsia="zh-CN"/>
                    </w:rPr>
                    <w:t>噪声预测值/dB(A)</w:t>
                  </w:r>
                </w:p>
              </w:tc>
              <w:tc>
                <w:tcPr>
                  <w:tcW w:w="696" w:type="pct"/>
                  <w:gridSpan w:val="2"/>
                  <w:noWrap/>
                  <w:vAlign w:val="center"/>
                </w:tcPr>
                <w:p>
                  <w:pPr>
                    <w:pStyle w:val="15"/>
                    <w:rPr>
                      <w:rFonts w:hint="default" w:eastAsia="宋体"/>
                      <w:color w:val="auto"/>
                      <w:lang w:val="en-US" w:eastAsia="zh-CN"/>
                    </w:rPr>
                  </w:pPr>
                  <w:r>
                    <w:rPr>
                      <w:rFonts w:hint="eastAsia"/>
                      <w:color w:val="auto"/>
                      <w:lang w:val="en-US" w:eastAsia="zh-CN"/>
                    </w:rPr>
                    <w:t>较现状增量/dB(A)</w:t>
                  </w:r>
                </w:p>
              </w:tc>
              <w:tc>
                <w:tcPr>
                  <w:tcW w:w="629" w:type="pct"/>
                  <w:gridSpan w:val="2"/>
                  <w:noWrap/>
                  <w:vAlign w:val="center"/>
                </w:tcPr>
                <w:p>
                  <w:pPr>
                    <w:pStyle w:val="15"/>
                    <w:rPr>
                      <w:rFonts w:hint="default" w:eastAsia="宋体"/>
                      <w:color w:val="auto"/>
                      <w:lang w:val="en-US" w:eastAsia="zh-CN"/>
                    </w:rPr>
                  </w:pPr>
                  <w:r>
                    <w:rPr>
                      <w:rFonts w:hint="eastAsia"/>
                      <w:color w:val="auto"/>
                      <w:lang w:val="en-US" w:eastAsia="zh-CN"/>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 w:type="pct"/>
                  <w:vMerge w:val="continue"/>
                  <w:noWrap w:val="0"/>
                  <w:vAlign w:val="center"/>
                </w:tcPr>
                <w:p>
                  <w:pPr>
                    <w:pStyle w:val="15"/>
                    <w:rPr>
                      <w:color w:val="auto"/>
                    </w:rPr>
                  </w:pPr>
                </w:p>
              </w:tc>
              <w:tc>
                <w:tcPr>
                  <w:tcW w:w="521" w:type="pct"/>
                  <w:vMerge w:val="continue"/>
                  <w:noWrap w:val="0"/>
                  <w:vAlign w:val="center"/>
                </w:tcPr>
                <w:p>
                  <w:pPr>
                    <w:pStyle w:val="15"/>
                    <w:rPr>
                      <w:color w:val="auto"/>
                    </w:rPr>
                  </w:pPr>
                </w:p>
              </w:tc>
              <w:tc>
                <w:tcPr>
                  <w:tcW w:w="276" w:type="pct"/>
                  <w:noWrap w:val="0"/>
                  <w:vAlign w:val="center"/>
                </w:tcPr>
                <w:p>
                  <w:pPr>
                    <w:pStyle w:val="15"/>
                    <w:rPr>
                      <w:rFonts w:hint="eastAsia" w:eastAsia="宋体"/>
                      <w:color w:val="auto"/>
                      <w:lang w:val="en-US" w:eastAsia="zh-CN"/>
                    </w:rPr>
                  </w:pPr>
                  <w:r>
                    <w:rPr>
                      <w:rFonts w:hint="eastAsia"/>
                      <w:color w:val="auto"/>
                      <w:lang w:val="en-US" w:eastAsia="zh-CN"/>
                    </w:rPr>
                    <w:t>昼间</w:t>
                  </w:r>
                </w:p>
              </w:tc>
              <w:tc>
                <w:tcPr>
                  <w:tcW w:w="330" w:type="pct"/>
                  <w:noWrap w:val="0"/>
                  <w:vAlign w:val="center"/>
                </w:tcPr>
                <w:p>
                  <w:pPr>
                    <w:pStyle w:val="15"/>
                    <w:rPr>
                      <w:rFonts w:hint="eastAsia" w:eastAsia="宋体"/>
                      <w:color w:val="auto"/>
                      <w:lang w:val="en-US" w:eastAsia="zh-CN"/>
                    </w:rPr>
                  </w:pPr>
                  <w:r>
                    <w:rPr>
                      <w:rFonts w:hint="eastAsia"/>
                      <w:color w:val="auto"/>
                      <w:lang w:val="en-US" w:eastAsia="zh-CN"/>
                    </w:rPr>
                    <w:t>夜间</w:t>
                  </w:r>
                </w:p>
              </w:tc>
              <w:tc>
                <w:tcPr>
                  <w:tcW w:w="267" w:type="pct"/>
                  <w:noWrap w:val="0"/>
                  <w:vAlign w:val="center"/>
                </w:tcPr>
                <w:p>
                  <w:pPr>
                    <w:pStyle w:val="15"/>
                    <w:ind w:firstLine="0" w:firstLineChars="0"/>
                    <w:rPr>
                      <w:color w:val="auto"/>
                    </w:rPr>
                  </w:pPr>
                  <w:r>
                    <w:rPr>
                      <w:rFonts w:hint="eastAsia"/>
                      <w:color w:val="auto"/>
                      <w:lang w:val="en-US" w:eastAsia="zh-CN"/>
                    </w:rPr>
                    <w:t>昼间</w:t>
                  </w:r>
                </w:p>
              </w:tc>
              <w:tc>
                <w:tcPr>
                  <w:tcW w:w="303" w:type="pct"/>
                  <w:noWrap w:val="0"/>
                  <w:vAlign w:val="center"/>
                </w:tcPr>
                <w:p>
                  <w:pPr>
                    <w:pStyle w:val="15"/>
                    <w:ind w:firstLine="0" w:firstLineChars="0"/>
                    <w:rPr>
                      <w:color w:val="auto"/>
                    </w:rPr>
                  </w:pPr>
                  <w:r>
                    <w:rPr>
                      <w:rFonts w:hint="eastAsia"/>
                      <w:color w:val="auto"/>
                      <w:lang w:val="en-US" w:eastAsia="zh-CN"/>
                    </w:rPr>
                    <w:t>夜间</w:t>
                  </w:r>
                </w:p>
              </w:tc>
              <w:tc>
                <w:tcPr>
                  <w:tcW w:w="267" w:type="pct"/>
                  <w:noWrap w:val="0"/>
                  <w:vAlign w:val="center"/>
                </w:tcPr>
                <w:p>
                  <w:pPr>
                    <w:pStyle w:val="15"/>
                    <w:ind w:firstLine="0" w:firstLineChars="0"/>
                    <w:rPr>
                      <w:color w:val="auto"/>
                    </w:rPr>
                  </w:pPr>
                  <w:r>
                    <w:rPr>
                      <w:rFonts w:hint="eastAsia"/>
                      <w:color w:val="auto"/>
                      <w:lang w:val="en-US" w:eastAsia="zh-CN"/>
                    </w:rPr>
                    <w:t>昼间</w:t>
                  </w:r>
                </w:p>
              </w:tc>
              <w:tc>
                <w:tcPr>
                  <w:tcW w:w="285" w:type="pct"/>
                  <w:noWrap w:val="0"/>
                  <w:vAlign w:val="center"/>
                </w:tcPr>
                <w:p>
                  <w:pPr>
                    <w:pStyle w:val="15"/>
                    <w:ind w:firstLine="0" w:firstLineChars="0"/>
                    <w:rPr>
                      <w:color w:val="auto"/>
                    </w:rPr>
                  </w:pPr>
                  <w:r>
                    <w:rPr>
                      <w:rFonts w:hint="eastAsia"/>
                      <w:color w:val="auto"/>
                      <w:lang w:val="en-US" w:eastAsia="zh-CN"/>
                    </w:rPr>
                    <w:t>夜间</w:t>
                  </w:r>
                </w:p>
              </w:tc>
              <w:tc>
                <w:tcPr>
                  <w:tcW w:w="285" w:type="pct"/>
                  <w:noWrap w:val="0"/>
                  <w:vAlign w:val="center"/>
                </w:tcPr>
                <w:p>
                  <w:pPr>
                    <w:pStyle w:val="15"/>
                    <w:ind w:firstLine="0" w:firstLineChars="0"/>
                    <w:rPr>
                      <w:color w:val="auto"/>
                    </w:rPr>
                  </w:pPr>
                  <w:r>
                    <w:rPr>
                      <w:rFonts w:hint="eastAsia"/>
                      <w:color w:val="auto"/>
                      <w:lang w:val="en-US" w:eastAsia="zh-CN"/>
                    </w:rPr>
                    <w:t>昼间</w:t>
                  </w:r>
                </w:p>
              </w:tc>
              <w:tc>
                <w:tcPr>
                  <w:tcW w:w="285" w:type="pct"/>
                  <w:noWrap w:val="0"/>
                  <w:vAlign w:val="center"/>
                </w:tcPr>
                <w:p>
                  <w:pPr>
                    <w:pStyle w:val="15"/>
                    <w:ind w:firstLine="0" w:firstLineChars="0"/>
                    <w:rPr>
                      <w:color w:val="auto"/>
                    </w:rPr>
                  </w:pPr>
                  <w:r>
                    <w:rPr>
                      <w:rFonts w:hint="eastAsia"/>
                      <w:color w:val="auto"/>
                      <w:lang w:val="en-US" w:eastAsia="zh-CN"/>
                    </w:rPr>
                    <w:t>夜间</w:t>
                  </w:r>
                </w:p>
              </w:tc>
              <w:tc>
                <w:tcPr>
                  <w:tcW w:w="330" w:type="pct"/>
                  <w:noWrap w:val="0"/>
                  <w:vAlign w:val="center"/>
                </w:tcPr>
                <w:p>
                  <w:pPr>
                    <w:pStyle w:val="15"/>
                    <w:ind w:firstLine="0" w:firstLineChars="0"/>
                    <w:rPr>
                      <w:color w:val="auto"/>
                    </w:rPr>
                  </w:pPr>
                  <w:r>
                    <w:rPr>
                      <w:rFonts w:hint="eastAsia"/>
                      <w:color w:val="auto"/>
                      <w:lang w:val="en-US" w:eastAsia="zh-CN"/>
                    </w:rPr>
                    <w:t>昼间</w:t>
                  </w:r>
                </w:p>
              </w:tc>
              <w:tc>
                <w:tcPr>
                  <w:tcW w:w="321" w:type="pct"/>
                  <w:noWrap w:val="0"/>
                  <w:vAlign w:val="center"/>
                </w:tcPr>
                <w:p>
                  <w:pPr>
                    <w:pStyle w:val="15"/>
                    <w:ind w:firstLine="0" w:firstLineChars="0"/>
                    <w:rPr>
                      <w:color w:val="auto"/>
                    </w:rPr>
                  </w:pPr>
                  <w:r>
                    <w:rPr>
                      <w:rFonts w:hint="eastAsia"/>
                      <w:color w:val="auto"/>
                      <w:lang w:val="en-US" w:eastAsia="zh-CN"/>
                    </w:rPr>
                    <w:t>夜间</w:t>
                  </w:r>
                </w:p>
              </w:tc>
              <w:tc>
                <w:tcPr>
                  <w:tcW w:w="348" w:type="pct"/>
                  <w:noWrap w:val="0"/>
                  <w:vAlign w:val="center"/>
                </w:tcPr>
                <w:p>
                  <w:pPr>
                    <w:pStyle w:val="15"/>
                    <w:ind w:firstLine="0" w:firstLineChars="0"/>
                    <w:rPr>
                      <w:color w:val="auto"/>
                    </w:rPr>
                  </w:pPr>
                  <w:r>
                    <w:rPr>
                      <w:rFonts w:hint="eastAsia"/>
                      <w:color w:val="auto"/>
                      <w:lang w:val="en-US" w:eastAsia="zh-CN"/>
                    </w:rPr>
                    <w:t>昼间</w:t>
                  </w:r>
                </w:p>
              </w:tc>
              <w:tc>
                <w:tcPr>
                  <w:tcW w:w="348" w:type="pct"/>
                  <w:noWrap w:val="0"/>
                  <w:vAlign w:val="center"/>
                </w:tcPr>
                <w:p>
                  <w:pPr>
                    <w:pStyle w:val="15"/>
                    <w:ind w:firstLine="0" w:firstLineChars="0"/>
                    <w:rPr>
                      <w:color w:val="auto"/>
                    </w:rPr>
                  </w:pPr>
                  <w:r>
                    <w:rPr>
                      <w:rFonts w:hint="eastAsia"/>
                      <w:color w:val="auto"/>
                      <w:lang w:val="en-US" w:eastAsia="zh-CN"/>
                    </w:rPr>
                    <w:t>夜间</w:t>
                  </w:r>
                </w:p>
              </w:tc>
              <w:tc>
                <w:tcPr>
                  <w:tcW w:w="255" w:type="pct"/>
                  <w:noWrap w:val="0"/>
                  <w:vAlign w:val="center"/>
                </w:tcPr>
                <w:p>
                  <w:pPr>
                    <w:pStyle w:val="15"/>
                    <w:ind w:firstLine="0" w:firstLineChars="0"/>
                    <w:rPr>
                      <w:color w:val="auto"/>
                    </w:rPr>
                  </w:pPr>
                  <w:r>
                    <w:rPr>
                      <w:rFonts w:hint="eastAsia"/>
                      <w:color w:val="auto"/>
                      <w:lang w:val="en-US" w:eastAsia="zh-CN"/>
                    </w:rPr>
                    <w:t>昼间</w:t>
                  </w:r>
                </w:p>
              </w:tc>
              <w:tc>
                <w:tcPr>
                  <w:tcW w:w="373" w:type="pct"/>
                  <w:noWrap w:val="0"/>
                  <w:vAlign w:val="center"/>
                </w:tcPr>
                <w:p>
                  <w:pPr>
                    <w:pStyle w:val="15"/>
                    <w:ind w:firstLine="0" w:firstLineChars="0"/>
                    <w:rPr>
                      <w:color w:val="auto"/>
                    </w:rPr>
                  </w:pPr>
                  <w:r>
                    <w:rPr>
                      <w:rFonts w:hint="eastAsia"/>
                      <w:color w:val="auto"/>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7" w:type="pct"/>
                  <w:noWrap/>
                  <w:vAlign w:val="center"/>
                </w:tcPr>
                <w:p>
                  <w:pPr>
                    <w:pStyle w:val="15"/>
                    <w:rPr>
                      <w:rFonts w:hint="default" w:eastAsia="宋体"/>
                      <w:color w:val="auto"/>
                      <w:lang w:val="en-US" w:eastAsia="zh-CN"/>
                    </w:rPr>
                  </w:pPr>
                  <w:r>
                    <w:rPr>
                      <w:rFonts w:hint="eastAsia" w:eastAsia="宋体"/>
                      <w:color w:val="auto"/>
                      <w:lang w:val="en-US" w:eastAsia="zh-CN"/>
                    </w:rPr>
                    <w:t>1</w:t>
                  </w:r>
                </w:p>
              </w:tc>
              <w:tc>
                <w:tcPr>
                  <w:tcW w:w="521" w:type="pct"/>
                  <w:noWrap/>
                  <w:vAlign w:val="center"/>
                </w:tcPr>
                <w:p>
                  <w:pPr>
                    <w:pStyle w:val="15"/>
                    <w:rPr>
                      <w:rFonts w:hint="default" w:eastAsia="宋体"/>
                      <w:color w:val="auto"/>
                      <w:lang w:val="en-US" w:eastAsia="zh-CN"/>
                    </w:rPr>
                  </w:pPr>
                  <w:r>
                    <w:rPr>
                      <w:rFonts w:hint="eastAsia" w:eastAsia="宋体"/>
                      <w:color w:val="auto"/>
                      <w:lang w:val="en-US" w:eastAsia="zh-CN"/>
                    </w:rPr>
                    <w:t>南乾村</w:t>
                  </w:r>
                </w:p>
              </w:tc>
              <w:tc>
                <w:tcPr>
                  <w:tcW w:w="276" w:type="pct"/>
                  <w:noWrap w:val="0"/>
                  <w:vAlign w:val="center"/>
                </w:tcPr>
                <w:p>
                  <w:pPr>
                    <w:pStyle w:val="15"/>
                    <w:rPr>
                      <w:rFonts w:hint="default" w:eastAsia="宋体"/>
                      <w:color w:val="auto"/>
                      <w:lang w:val="en-US" w:eastAsia="zh-CN"/>
                    </w:rPr>
                  </w:pPr>
                  <w:r>
                    <w:rPr>
                      <w:rFonts w:hint="eastAsia"/>
                      <w:color w:val="auto"/>
                      <w:lang w:val="en-US" w:eastAsia="zh-CN"/>
                    </w:rPr>
                    <w:t>45.5</w:t>
                  </w:r>
                </w:p>
              </w:tc>
              <w:tc>
                <w:tcPr>
                  <w:tcW w:w="330" w:type="pct"/>
                  <w:noWrap w:val="0"/>
                  <w:vAlign w:val="center"/>
                </w:tcPr>
                <w:p>
                  <w:pPr>
                    <w:pStyle w:val="15"/>
                    <w:rPr>
                      <w:rFonts w:hint="default" w:eastAsia="宋体"/>
                      <w:color w:val="auto"/>
                      <w:lang w:val="en-US" w:eastAsia="zh-CN"/>
                    </w:rPr>
                  </w:pPr>
                  <w:r>
                    <w:rPr>
                      <w:rFonts w:hint="eastAsia"/>
                      <w:color w:val="auto"/>
                      <w:lang w:val="en-US" w:eastAsia="zh-CN"/>
                    </w:rPr>
                    <w:t>42.1</w:t>
                  </w:r>
                </w:p>
              </w:tc>
              <w:tc>
                <w:tcPr>
                  <w:tcW w:w="267" w:type="pct"/>
                  <w:noWrap w:val="0"/>
                  <w:vAlign w:val="center"/>
                </w:tcPr>
                <w:p>
                  <w:pPr>
                    <w:pStyle w:val="15"/>
                    <w:rPr>
                      <w:rFonts w:hint="default" w:eastAsia="宋体"/>
                      <w:color w:val="auto"/>
                      <w:lang w:val="en-US" w:eastAsia="zh-CN"/>
                    </w:rPr>
                  </w:pPr>
                  <w:r>
                    <w:rPr>
                      <w:rFonts w:hint="eastAsia"/>
                      <w:color w:val="auto"/>
                      <w:lang w:val="en-US" w:eastAsia="zh-CN"/>
                    </w:rPr>
                    <w:t>45.5</w:t>
                  </w:r>
                </w:p>
              </w:tc>
              <w:tc>
                <w:tcPr>
                  <w:tcW w:w="303" w:type="pct"/>
                  <w:noWrap w:val="0"/>
                  <w:vAlign w:val="center"/>
                </w:tcPr>
                <w:p>
                  <w:pPr>
                    <w:pStyle w:val="15"/>
                    <w:rPr>
                      <w:rFonts w:hint="default" w:eastAsia="宋体"/>
                      <w:color w:val="auto"/>
                      <w:lang w:val="en-US" w:eastAsia="zh-CN"/>
                    </w:rPr>
                  </w:pPr>
                  <w:r>
                    <w:rPr>
                      <w:rFonts w:hint="eastAsia"/>
                      <w:color w:val="auto"/>
                      <w:lang w:val="en-US" w:eastAsia="zh-CN"/>
                    </w:rPr>
                    <w:t>42.1</w:t>
                  </w:r>
                </w:p>
              </w:tc>
              <w:tc>
                <w:tcPr>
                  <w:tcW w:w="267" w:type="pct"/>
                  <w:noWrap w:val="0"/>
                  <w:vAlign w:val="center"/>
                </w:tcPr>
                <w:p>
                  <w:pPr>
                    <w:pStyle w:val="15"/>
                    <w:rPr>
                      <w:rFonts w:hint="default" w:eastAsia="宋体"/>
                      <w:color w:val="auto"/>
                      <w:lang w:val="en-US" w:eastAsia="zh-CN"/>
                    </w:rPr>
                  </w:pPr>
                  <w:r>
                    <w:rPr>
                      <w:rFonts w:hint="eastAsia"/>
                      <w:color w:val="auto"/>
                      <w:lang w:val="en-US" w:eastAsia="zh-CN"/>
                    </w:rPr>
                    <w:t>60</w:t>
                  </w:r>
                </w:p>
              </w:tc>
              <w:tc>
                <w:tcPr>
                  <w:tcW w:w="285" w:type="pct"/>
                  <w:noWrap w:val="0"/>
                  <w:vAlign w:val="center"/>
                </w:tcPr>
                <w:p>
                  <w:pPr>
                    <w:pStyle w:val="15"/>
                    <w:rPr>
                      <w:rFonts w:hint="default" w:eastAsia="宋体"/>
                      <w:color w:val="auto"/>
                      <w:lang w:val="en-US" w:eastAsia="zh-CN"/>
                    </w:rPr>
                  </w:pPr>
                  <w:r>
                    <w:rPr>
                      <w:rFonts w:hint="eastAsia"/>
                      <w:color w:val="auto"/>
                      <w:lang w:val="en-US" w:eastAsia="zh-CN"/>
                    </w:rPr>
                    <w:t>50</w:t>
                  </w:r>
                </w:p>
              </w:tc>
              <w:tc>
                <w:tcPr>
                  <w:tcW w:w="285" w:type="pct"/>
                  <w:noWrap w:val="0"/>
                  <w:vAlign w:val="center"/>
                </w:tcPr>
                <w:p>
                  <w:pPr>
                    <w:pStyle w:val="15"/>
                    <w:rPr>
                      <w:rFonts w:hint="default" w:eastAsia="宋体"/>
                      <w:color w:val="auto"/>
                      <w:lang w:val="en-US" w:eastAsia="zh-CN"/>
                    </w:rPr>
                  </w:pPr>
                  <w:r>
                    <w:rPr>
                      <w:rFonts w:hint="eastAsia"/>
                      <w:color w:val="auto"/>
                      <w:lang w:val="en-US" w:eastAsia="zh-CN"/>
                    </w:rPr>
                    <w:t>19.59</w:t>
                  </w:r>
                </w:p>
              </w:tc>
              <w:tc>
                <w:tcPr>
                  <w:tcW w:w="285" w:type="pct"/>
                  <w:noWrap w:val="0"/>
                  <w:vAlign w:val="center"/>
                </w:tcPr>
                <w:p>
                  <w:pPr>
                    <w:pStyle w:val="15"/>
                    <w:rPr>
                      <w:rFonts w:hint="eastAsia" w:eastAsia="宋体"/>
                      <w:color w:val="auto"/>
                      <w:lang w:val="en-US" w:eastAsia="zh-CN"/>
                    </w:rPr>
                  </w:pPr>
                  <w:r>
                    <w:rPr>
                      <w:rFonts w:hint="eastAsia"/>
                      <w:color w:val="auto"/>
                      <w:lang w:val="en-US" w:eastAsia="zh-CN"/>
                    </w:rPr>
                    <w:t>/</w:t>
                  </w:r>
                </w:p>
              </w:tc>
              <w:tc>
                <w:tcPr>
                  <w:tcW w:w="330" w:type="pct"/>
                  <w:noWrap w:val="0"/>
                  <w:vAlign w:val="center"/>
                </w:tcPr>
                <w:p>
                  <w:pPr>
                    <w:pStyle w:val="15"/>
                    <w:rPr>
                      <w:rFonts w:hint="default" w:eastAsia="宋体"/>
                      <w:color w:val="auto"/>
                      <w:lang w:val="en-US" w:eastAsia="zh-CN"/>
                    </w:rPr>
                  </w:pPr>
                  <w:r>
                    <w:rPr>
                      <w:rFonts w:hint="eastAsia"/>
                      <w:color w:val="auto"/>
                      <w:lang w:val="en-US" w:eastAsia="zh-CN"/>
                    </w:rPr>
                    <w:t>45.51</w:t>
                  </w:r>
                </w:p>
              </w:tc>
              <w:tc>
                <w:tcPr>
                  <w:tcW w:w="321" w:type="pct"/>
                  <w:noWrap w:val="0"/>
                  <w:vAlign w:val="center"/>
                </w:tcPr>
                <w:p>
                  <w:pPr>
                    <w:pStyle w:val="15"/>
                    <w:rPr>
                      <w:rFonts w:hint="eastAsia" w:eastAsia="宋体"/>
                      <w:color w:val="auto"/>
                      <w:lang w:val="en-US" w:eastAsia="zh-CN"/>
                    </w:rPr>
                  </w:pPr>
                  <w:r>
                    <w:rPr>
                      <w:rFonts w:hint="eastAsia"/>
                      <w:color w:val="auto"/>
                      <w:lang w:val="en-US" w:eastAsia="zh-CN"/>
                    </w:rPr>
                    <w:t>/</w:t>
                  </w:r>
                </w:p>
              </w:tc>
              <w:tc>
                <w:tcPr>
                  <w:tcW w:w="348" w:type="pct"/>
                  <w:noWrap w:val="0"/>
                  <w:vAlign w:val="center"/>
                </w:tcPr>
                <w:p>
                  <w:pPr>
                    <w:pStyle w:val="15"/>
                    <w:rPr>
                      <w:rFonts w:hint="default" w:eastAsia="宋体"/>
                      <w:color w:val="auto"/>
                      <w:lang w:val="en-US" w:eastAsia="zh-CN"/>
                    </w:rPr>
                  </w:pPr>
                  <w:r>
                    <w:rPr>
                      <w:rFonts w:hint="eastAsia"/>
                      <w:color w:val="auto"/>
                      <w:lang w:val="en-US" w:eastAsia="zh-CN"/>
                    </w:rPr>
                    <w:t>+0.01</w:t>
                  </w:r>
                </w:p>
              </w:tc>
              <w:tc>
                <w:tcPr>
                  <w:tcW w:w="348" w:type="pct"/>
                  <w:noWrap w:val="0"/>
                  <w:vAlign w:val="center"/>
                </w:tcPr>
                <w:p>
                  <w:pPr>
                    <w:pStyle w:val="15"/>
                    <w:rPr>
                      <w:rFonts w:hint="eastAsia" w:eastAsia="宋体"/>
                      <w:color w:val="auto"/>
                      <w:lang w:val="en-US" w:eastAsia="zh-CN"/>
                    </w:rPr>
                  </w:pPr>
                  <w:r>
                    <w:rPr>
                      <w:rFonts w:hint="eastAsia"/>
                      <w:color w:val="auto"/>
                      <w:lang w:val="en-US" w:eastAsia="zh-CN"/>
                    </w:rPr>
                    <w:t>/</w:t>
                  </w:r>
                </w:p>
              </w:tc>
              <w:tc>
                <w:tcPr>
                  <w:tcW w:w="255" w:type="pct"/>
                  <w:noWrap w:val="0"/>
                  <w:vAlign w:val="center"/>
                </w:tcPr>
                <w:p>
                  <w:pPr>
                    <w:pStyle w:val="15"/>
                    <w:rPr>
                      <w:rFonts w:hint="default" w:eastAsia="宋体"/>
                      <w:color w:val="auto"/>
                      <w:lang w:val="en-US" w:eastAsia="zh-CN"/>
                    </w:rPr>
                  </w:pPr>
                  <w:r>
                    <w:rPr>
                      <w:rFonts w:hint="eastAsia"/>
                      <w:color w:val="auto"/>
                      <w:lang w:val="en-US" w:eastAsia="zh-CN"/>
                    </w:rPr>
                    <w:t>达标</w:t>
                  </w:r>
                </w:p>
              </w:tc>
              <w:tc>
                <w:tcPr>
                  <w:tcW w:w="373" w:type="pct"/>
                  <w:noWrap w:val="0"/>
                  <w:vAlign w:val="center"/>
                </w:tcPr>
                <w:p>
                  <w:pPr>
                    <w:pStyle w:val="15"/>
                    <w:rPr>
                      <w:rFonts w:hint="eastAsia" w:eastAsia="宋体"/>
                      <w:color w:val="auto"/>
                      <w:lang w:val="en-US" w:eastAsia="zh-CN"/>
                    </w:rPr>
                  </w:pPr>
                  <w:r>
                    <w:rPr>
                      <w:rFonts w:hint="eastAsia"/>
                      <w:color w:val="auto"/>
                      <w:lang w:val="en-US" w:eastAsia="zh-CN"/>
                    </w:rPr>
                    <w:t>/</w:t>
                  </w:r>
                </w:p>
              </w:tc>
            </w:tr>
          </w:tbl>
          <w:p>
            <w:pPr>
              <w:ind w:firstLine="480"/>
              <w:rPr>
                <w:color w:val="auto"/>
              </w:rPr>
            </w:pPr>
            <w:r>
              <w:rPr>
                <w:color w:val="auto"/>
              </w:rPr>
              <w:t>由预测结果可以看出，建设项目营运期厂界噪声，昼间可满足《工业企业厂界环境噪声排放标准》(GB12348-2008)中2类标准（60dB（A））要求，企业夜间不生产。项目生产机械设备噪声对周边声环境影响较小。</w:t>
            </w:r>
          </w:p>
          <w:p>
            <w:pPr>
              <w:pStyle w:val="17"/>
              <w:rPr>
                <w:color w:val="auto"/>
              </w:rPr>
            </w:pPr>
            <w:r>
              <w:rPr>
                <w:color w:val="auto"/>
              </w:rPr>
              <w:t>4.2.4固体废物</w:t>
            </w:r>
          </w:p>
          <w:p>
            <w:pPr>
              <w:pStyle w:val="22"/>
              <w:rPr>
                <w:rFonts w:ascii="Times New Roman" w:hAnsi="Times New Roman"/>
                <w:color w:val="auto"/>
              </w:rPr>
            </w:pPr>
            <w:r>
              <w:rPr>
                <w:rFonts w:ascii="Times New Roman" w:hAnsi="Times New Roman"/>
                <w:color w:val="auto"/>
              </w:rPr>
              <w:t>4.2.4.1固体废物源强分析</w:t>
            </w:r>
          </w:p>
          <w:p>
            <w:pPr>
              <w:pStyle w:val="23"/>
              <w:ind w:firstLine="480"/>
              <w:rPr>
                <w:color w:val="auto"/>
              </w:rPr>
            </w:pPr>
            <w:r>
              <w:rPr>
                <w:color w:val="auto"/>
              </w:rPr>
              <w:t>项目产生的固体废物主要包括收集的砂粉、沉淀污泥、生活垃圾、废润滑油。</w:t>
            </w:r>
          </w:p>
          <w:p>
            <w:pPr>
              <w:pStyle w:val="23"/>
              <w:ind w:firstLine="480"/>
              <w:rPr>
                <w:color w:val="auto"/>
                <w:highlight w:val="none"/>
              </w:rPr>
            </w:pPr>
            <w:r>
              <w:rPr>
                <w:color w:val="auto"/>
              </w:rPr>
              <w:t>（1）收集的砂粉</w:t>
            </w:r>
          </w:p>
          <w:p>
            <w:pPr>
              <w:pStyle w:val="23"/>
              <w:ind w:firstLine="480"/>
              <w:rPr>
                <w:color w:val="auto"/>
              </w:rPr>
            </w:pPr>
            <w:r>
              <w:rPr>
                <w:color w:val="auto"/>
                <w:highlight w:val="none"/>
              </w:rPr>
              <w:t>根据物料平衡，通过洒水和车间自然沉降收集的砂粉</w:t>
            </w:r>
            <w:r>
              <w:rPr>
                <w:rFonts w:hint="eastAsia"/>
                <w:color w:val="auto"/>
                <w:highlight w:val="none"/>
                <w:lang w:val="en-US" w:eastAsia="zh-CN"/>
              </w:rPr>
              <w:t xml:space="preserve">21.127 </w:t>
            </w:r>
            <w:r>
              <w:rPr>
                <w:color w:val="auto"/>
                <w:highlight w:val="none"/>
              </w:rPr>
              <w:t>t/a，</w:t>
            </w:r>
            <w:r>
              <w:rPr>
                <w:color w:val="auto"/>
              </w:rPr>
              <w:t>委托福鼎市利民城市建筑垃圾处理有限公司处置，用于制砖。</w:t>
            </w:r>
          </w:p>
          <w:p>
            <w:pPr>
              <w:bidi w:val="0"/>
              <w:rPr>
                <w:color w:val="auto"/>
              </w:rPr>
            </w:pPr>
            <w:r>
              <w:rPr>
                <w:color w:val="auto"/>
              </w:rPr>
              <w:t>（2）沉淀污泥</w:t>
            </w:r>
          </w:p>
          <w:p>
            <w:pPr>
              <w:pStyle w:val="23"/>
              <w:ind w:firstLine="480"/>
              <w:rPr>
                <w:color w:val="auto"/>
              </w:rPr>
            </w:pPr>
            <w:r>
              <w:rPr>
                <w:rFonts w:hint="eastAsia"/>
                <w:color w:val="auto"/>
                <w:lang w:val="en-US" w:eastAsia="zh-CN"/>
              </w:rPr>
              <w:t>根据物料平衡，</w:t>
            </w:r>
            <w:r>
              <w:rPr>
                <w:color w:val="auto"/>
              </w:rPr>
              <w:t>沉淀池沉淀污</w:t>
            </w:r>
            <w:r>
              <w:rPr>
                <w:rFonts w:hint="eastAsia"/>
                <w:color w:val="auto"/>
                <w:lang w:val="en-US" w:eastAsia="zh-CN"/>
              </w:rPr>
              <w:t>泥145775</w:t>
            </w:r>
            <w:r>
              <w:rPr>
                <w:color w:val="auto"/>
              </w:rPr>
              <w:t>t/a，通过压滤机脱水后制成泥饼（含水率60%），存放在污泥间，委托福鼎市利民城市建筑垃圾处理有限公司处置，用于制砖。</w:t>
            </w:r>
          </w:p>
          <w:p>
            <w:pPr>
              <w:bidi w:val="0"/>
              <w:rPr>
                <w:color w:val="auto"/>
                <w:highlight w:val="none"/>
              </w:rPr>
            </w:pPr>
            <w:r>
              <w:rPr>
                <w:color w:val="auto"/>
                <w:highlight w:val="none"/>
              </w:rPr>
              <w:t>（3）生活垃圾</w:t>
            </w:r>
          </w:p>
          <w:p>
            <w:pPr>
              <w:bidi w:val="0"/>
              <w:rPr>
                <w:color w:val="auto"/>
              </w:rPr>
            </w:pPr>
            <w:r>
              <w:rPr>
                <w:color w:val="auto"/>
              </w:rPr>
              <w:t>本项目劳动定员</w:t>
            </w:r>
            <w:r>
              <w:rPr>
                <w:rFonts w:hint="eastAsia"/>
                <w:color w:val="auto"/>
                <w:lang w:val="en-US" w:eastAsia="zh-CN"/>
              </w:rPr>
              <w:t>10</w:t>
            </w:r>
            <w:r>
              <w:rPr>
                <w:color w:val="auto"/>
              </w:rPr>
              <w:t>人（</w:t>
            </w:r>
            <w:r>
              <w:rPr>
                <w:rFonts w:hint="eastAsia"/>
                <w:color w:val="auto"/>
                <w:lang w:val="en-US" w:eastAsia="zh-CN"/>
              </w:rPr>
              <w:t>2</w:t>
            </w:r>
            <w:r>
              <w:rPr>
                <w:color w:val="auto"/>
              </w:rPr>
              <w:t>人住厂），不住厂生活垃圾产生量按每人每天0.5kg计，住厂生活垃圾产生量按每人每天1kg计，则生活垃圾产生量约为</w:t>
            </w:r>
            <w:r>
              <w:rPr>
                <w:rFonts w:hint="eastAsia"/>
                <w:color w:val="auto"/>
                <w:lang w:val="en-US" w:eastAsia="zh-CN"/>
              </w:rPr>
              <w:t>1.8t</w:t>
            </w:r>
            <w:r>
              <w:rPr>
                <w:color w:val="auto"/>
              </w:rPr>
              <w:t>/a，集中收集后由环卫部门定期清运。</w:t>
            </w:r>
          </w:p>
          <w:p>
            <w:pPr>
              <w:bidi w:val="0"/>
              <w:rPr>
                <w:color w:val="auto"/>
              </w:rPr>
            </w:pPr>
            <w:r>
              <w:rPr>
                <w:color w:val="auto"/>
              </w:rPr>
              <w:t>（</w:t>
            </w:r>
            <w:r>
              <w:rPr>
                <w:rFonts w:hint="eastAsia"/>
                <w:color w:val="auto"/>
                <w:lang w:val="en-US" w:eastAsia="zh-CN"/>
              </w:rPr>
              <w:t>4</w:t>
            </w:r>
            <w:r>
              <w:rPr>
                <w:color w:val="auto"/>
              </w:rPr>
              <w:t>）废润滑油</w:t>
            </w:r>
          </w:p>
          <w:p>
            <w:pPr>
              <w:bidi w:val="0"/>
              <w:rPr>
                <w:color w:val="auto"/>
              </w:rPr>
            </w:pPr>
            <w:r>
              <w:rPr>
                <w:color w:val="auto"/>
              </w:rPr>
              <w:t>项目机械设备运行一定时期后将产生少量废润滑油，平均每年维修时更换一半的润滑油，废机油产生量约为0.5t/a。根据《国家危险废物名录》（2021年版），其属于危险废物（废物类别：HW08，废物代码：900-249-08）。项目废机油经收集后在厂区危险废物暂存间暂存，并委托有资质单位处置。</w:t>
            </w:r>
          </w:p>
          <w:p>
            <w:pPr>
              <w:rPr>
                <w:color w:val="auto"/>
              </w:rPr>
            </w:pPr>
            <w:r>
              <w:rPr>
                <w:color w:val="auto"/>
              </w:rPr>
              <w:t>综上分析，工程固体废物的产生和处置情况详见表4.2-</w:t>
            </w:r>
            <w:r>
              <w:rPr>
                <w:rFonts w:hint="eastAsia"/>
                <w:color w:val="auto"/>
                <w:lang w:val="en-US" w:eastAsia="zh-CN"/>
              </w:rPr>
              <w:t>5</w:t>
            </w:r>
            <w:r>
              <w:rPr>
                <w:color w:val="auto"/>
              </w:rPr>
              <w:t>。</w:t>
            </w:r>
          </w:p>
          <w:p>
            <w:pPr>
              <w:pStyle w:val="13"/>
              <w:rPr>
                <w:color w:val="auto"/>
              </w:rPr>
            </w:pPr>
            <w:r>
              <w:rPr>
                <w:color w:val="auto"/>
              </w:rPr>
              <w:t>表4.2-</w:t>
            </w:r>
            <w:r>
              <w:rPr>
                <w:rFonts w:hint="eastAsia"/>
                <w:color w:val="auto"/>
                <w:lang w:val="en-US" w:eastAsia="zh-CN"/>
              </w:rPr>
              <w:t>5</w:t>
            </w:r>
            <w:r>
              <w:rPr>
                <w:color w:val="auto"/>
              </w:rPr>
              <w:t>工程固体废物产生及处置情况一览表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26"/>
              <w:gridCol w:w="876"/>
              <w:gridCol w:w="844"/>
              <w:gridCol w:w="908"/>
              <w:gridCol w:w="784"/>
              <w:gridCol w:w="710"/>
              <w:gridCol w:w="1181"/>
              <w:gridCol w:w="826"/>
              <w:gridCol w:w="479"/>
              <w:gridCol w:w="580"/>
              <w:gridCol w:w="7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53" w:type="pct"/>
                  <w:noWrap w:val="0"/>
                  <w:vAlign w:val="center"/>
                </w:tcPr>
                <w:p>
                  <w:pPr>
                    <w:pStyle w:val="15"/>
                    <w:rPr>
                      <w:color w:val="auto"/>
                    </w:rPr>
                  </w:pPr>
                  <w:r>
                    <w:rPr>
                      <w:color w:val="auto"/>
                    </w:rPr>
                    <w:t>序号</w:t>
                  </w:r>
                </w:p>
              </w:tc>
              <w:tc>
                <w:tcPr>
                  <w:tcW w:w="521" w:type="pct"/>
                  <w:noWrap w:val="0"/>
                  <w:vAlign w:val="center"/>
                </w:tcPr>
                <w:p>
                  <w:pPr>
                    <w:pStyle w:val="15"/>
                    <w:rPr>
                      <w:color w:val="auto"/>
                    </w:rPr>
                  </w:pPr>
                  <w:r>
                    <w:rPr>
                      <w:color w:val="auto"/>
                    </w:rPr>
                    <w:t>产生环节</w:t>
                  </w:r>
                </w:p>
              </w:tc>
              <w:tc>
                <w:tcPr>
                  <w:tcW w:w="502" w:type="pct"/>
                  <w:noWrap w:val="0"/>
                  <w:vAlign w:val="center"/>
                </w:tcPr>
                <w:p>
                  <w:pPr>
                    <w:pStyle w:val="15"/>
                    <w:rPr>
                      <w:color w:val="auto"/>
                    </w:rPr>
                  </w:pPr>
                  <w:r>
                    <w:rPr>
                      <w:color w:val="auto"/>
                    </w:rPr>
                    <w:t>固废名称</w:t>
                  </w:r>
                </w:p>
              </w:tc>
              <w:tc>
                <w:tcPr>
                  <w:tcW w:w="540" w:type="pct"/>
                  <w:noWrap w:val="0"/>
                  <w:vAlign w:val="center"/>
                </w:tcPr>
                <w:p>
                  <w:pPr>
                    <w:pStyle w:val="15"/>
                    <w:rPr>
                      <w:color w:val="auto"/>
                    </w:rPr>
                  </w:pPr>
                  <w:r>
                    <w:rPr>
                      <w:color w:val="auto"/>
                    </w:rPr>
                    <w:t>主要物</w:t>
                  </w:r>
                </w:p>
                <w:p>
                  <w:pPr>
                    <w:pStyle w:val="15"/>
                    <w:rPr>
                      <w:color w:val="auto"/>
                    </w:rPr>
                  </w:pPr>
                  <w:r>
                    <w:rPr>
                      <w:color w:val="auto"/>
                    </w:rPr>
                    <w:t>质成分</w:t>
                  </w:r>
                </w:p>
              </w:tc>
              <w:tc>
                <w:tcPr>
                  <w:tcW w:w="466" w:type="pct"/>
                  <w:noWrap w:val="0"/>
                  <w:vAlign w:val="center"/>
                </w:tcPr>
                <w:p>
                  <w:pPr>
                    <w:pStyle w:val="15"/>
                    <w:rPr>
                      <w:color w:val="auto"/>
                    </w:rPr>
                  </w:pPr>
                  <w:r>
                    <w:rPr>
                      <w:color w:val="auto"/>
                    </w:rPr>
                    <w:t>属性</w:t>
                  </w:r>
                </w:p>
              </w:tc>
              <w:tc>
                <w:tcPr>
                  <w:tcW w:w="422" w:type="pct"/>
                  <w:noWrap w:val="0"/>
                  <w:vAlign w:val="center"/>
                </w:tcPr>
                <w:p>
                  <w:pPr>
                    <w:pStyle w:val="15"/>
                    <w:rPr>
                      <w:color w:val="auto"/>
                    </w:rPr>
                  </w:pPr>
                  <w:r>
                    <w:rPr>
                      <w:color w:val="auto"/>
                    </w:rPr>
                    <w:t>废物</w:t>
                  </w:r>
                </w:p>
                <w:p>
                  <w:pPr>
                    <w:pStyle w:val="15"/>
                    <w:rPr>
                      <w:color w:val="auto"/>
                    </w:rPr>
                  </w:pPr>
                  <w:r>
                    <w:rPr>
                      <w:color w:val="auto"/>
                    </w:rPr>
                    <w:t>类别</w:t>
                  </w:r>
                </w:p>
              </w:tc>
              <w:tc>
                <w:tcPr>
                  <w:tcW w:w="702" w:type="pct"/>
                  <w:noWrap w:val="0"/>
                  <w:vAlign w:val="center"/>
                </w:tcPr>
                <w:p>
                  <w:pPr>
                    <w:pStyle w:val="15"/>
                    <w:rPr>
                      <w:color w:val="auto"/>
                    </w:rPr>
                  </w:pPr>
                  <w:r>
                    <w:rPr>
                      <w:color w:val="auto"/>
                    </w:rPr>
                    <w:t>废物代码</w:t>
                  </w:r>
                </w:p>
              </w:tc>
              <w:tc>
                <w:tcPr>
                  <w:tcW w:w="491" w:type="pct"/>
                  <w:noWrap w:val="0"/>
                  <w:vAlign w:val="center"/>
                </w:tcPr>
                <w:p>
                  <w:pPr>
                    <w:pStyle w:val="15"/>
                    <w:rPr>
                      <w:color w:val="auto"/>
                    </w:rPr>
                  </w:pPr>
                  <w:r>
                    <w:rPr>
                      <w:color w:val="auto"/>
                    </w:rPr>
                    <w:t>产生量t/a</w:t>
                  </w:r>
                </w:p>
              </w:tc>
              <w:tc>
                <w:tcPr>
                  <w:tcW w:w="285" w:type="pct"/>
                  <w:noWrap w:val="0"/>
                  <w:vAlign w:val="center"/>
                </w:tcPr>
                <w:p>
                  <w:pPr>
                    <w:pStyle w:val="15"/>
                    <w:rPr>
                      <w:color w:val="auto"/>
                    </w:rPr>
                  </w:pPr>
                  <w:r>
                    <w:rPr>
                      <w:color w:val="auto"/>
                    </w:rPr>
                    <w:t>危险特性</w:t>
                  </w:r>
                </w:p>
              </w:tc>
              <w:tc>
                <w:tcPr>
                  <w:tcW w:w="345" w:type="pct"/>
                  <w:noWrap w:val="0"/>
                  <w:vAlign w:val="center"/>
                </w:tcPr>
                <w:p>
                  <w:pPr>
                    <w:pStyle w:val="15"/>
                    <w:rPr>
                      <w:color w:val="auto"/>
                    </w:rPr>
                  </w:pPr>
                  <w:r>
                    <w:rPr>
                      <w:color w:val="auto"/>
                    </w:rPr>
                    <w:t>储存方式</w:t>
                  </w:r>
                </w:p>
              </w:tc>
              <w:tc>
                <w:tcPr>
                  <w:tcW w:w="466" w:type="pct"/>
                  <w:noWrap w:val="0"/>
                  <w:vAlign w:val="center"/>
                </w:tcPr>
                <w:p>
                  <w:pPr>
                    <w:pStyle w:val="15"/>
                    <w:rPr>
                      <w:color w:val="auto"/>
                    </w:rPr>
                  </w:pPr>
                  <w:r>
                    <w:rPr>
                      <w:color w:val="auto"/>
                    </w:rPr>
                    <w:t>处置方式/去向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53" w:type="pct"/>
                  <w:noWrap w:val="0"/>
                  <w:vAlign w:val="center"/>
                </w:tcPr>
                <w:p>
                  <w:pPr>
                    <w:pStyle w:val="15"/>
                    <w:rPr>
                      <w:color w:val="auto"/>
                    </w:rPr>
                  </w:pPr>
                  <w:r>
                    <w:rPr>
                      <w:color w:val="auto"/>
                    </w:rPr>
                    <w:t>1</w:t>
                  </w:r>
                </w:p>
              </w:tc>
              <w:tc>
                <w:tcPr>
                  <w:tcW w:w="521" w:type="pct"/>
                  <w:noWrap w:val="0"/>
                  <w:vAlign w:val="center"/>
                </w:tcPr>
                <w:p>
                  <w:pPr>
                    <w:pStyle w:val="15"/>
                    <w:rPr>
                      <w:color w:val="auto"/>
                    </w:rPr>
                  </w:pPr>
                  <w:r>
                    <w:rPr>
                      <w:color w:val="auto"/>
                    </w:rPr>
                    <w:t>员工生活</w:t>
                  </w:r>
                </w:p>
              </w:tc>
              <w:tc>
                <w:tcPr>
                  <w:tcW w:w="502" w:type="pct"/>
                  <w:noWrap w:val="0"/>
                  <w:vAlign w:val="center"/>
                </w:tcPr>
                <w:p>
                  <w:pPr>
                    <w:pStyle w:val="15"/>
                    <w:rPr>
                      <w:color w:val="auto"/>
                    </w:rPr>
                  </w:pPr>
                  <w:r>
                    <w:rPr>
                      <w:color w:val="auto"/>
                    </w:rPr>
                    <w:t>生活垃圾</w:t>
                  </w:r>
                </w:p>
              </w:tc>
              <w:tc>
                <w:tcPr>
                  <w:tcW w:w="540" w:type="pct"/>
                  <w:noWrap w:val="0"/>
                  <w:vAlign w:val="center"/>
                </w:tcPr>
                <w:p>
                  <w:pPr>
                    <w:pStyle w:val="15"/>
                    <w:rPr>
                      <w:color w:val="auto"/>
                    </w:rPr>
                  </w:pPr>
                  <w:r>
                    <w:rPr>
                      <w:color w:val="auto"/>
                    </w:rPr>
                    <w:t>纸屑、果皮、塑料盒等</w:t>
                  </w:r>
                </w:p>
              </w:tc>
              <w:tc>
                <w:tcPr>
                  <w:tcW w:w="466" w:type="pct"/>
                  <w:noWrap w:val="0"/>
                  <w:vAlign w:val="center"/>
                </w:tcPr>
                <w:p>
                  <w:pPr>
                    <w:pStyle w:val="15"/>
                    <w:rPr>
                      <w:color w:val="auto"/>
                    </w:rPr>
                  </w:pPr>
                  <w:r>
                    <w:rPr>
                      <w:color w:val="auto"/>
                    </w:rPr>
                    <w:t>生活垃圾</w:t>
                  </w:r>
                </w:p>
              </w:tc>
              <w:tc>
                <w:tcPr>
                  <w:tcW w:w="422" w:type="pct"/>
                  <w:noWrap w:val="0"/>
                  <w:vAlign w:val="center"/>
                </w:tcPr>
                <w:p>
                  <w:pPr>
                    <w:pStyle w:val="15"/>
                    <w:rPr>
                      <w:color w:val="auto"/>
                    </w:rPr>
                  </w:pPr>
                  <w:r>
                    <w:rPr>
                      <w:color w:val="auto"/>
                    </w:rPr>
                    <w:t>/</w:t>
                  </w:r>
                </w:p>
              </w:tc>
              <w:tc>
                <w:tcPr>
                  <w:tcW w:w="702" w:type="pct"/>
                  <w:noWrap w:val="0"/>
                  <w:vAlign w:val="center"/>
                </w:tcPr>
                <w:p>
                  <w:pPr>
                    <w:pStyle w:val="15"/>
                    <w:rPr>
                      <w:color w:val="auto"/>
                    </w:rPr>
                  </w:pPr>
                  <w:r>
                    <w:rPr>
                      <w:color w:val="auto"/>
                    </w:rPr>
                    <w:t>/</w:t>
                  </w:r>
                </w:p>
              </w:tc>
              <w:tc>
                <w:tcPr>
                  <w:tcW w:w="491" w:type="pct"/>
                  <w:noWrap w:val="0"/>
                  <w:vAlign w:val="center"/>
                </w:tcPr>
                <w:p>
                  <w:pPr>
                    <w:pStyle w:val="15"/>
                    <w:rPr>
                      <w:rFonts w:hint="default"/>
                      <w:color w:val="auto"/>
                      <w:lang w:val="en-US" w:eastAsia="zh-CN"/>
                    </w:rPr>
                  </w:pPr>
                  <w:r>
                    <w:rPr>
                      <w:rFonts w:hint="eastAsia"/>
                      <w:color w:val="auto"/>
                      <w:lang w:val="en-US" w:eastAsia="zh-CN"/>
                    </w:rPr>
                    <w:t>1.8</w:t>
                  </w:r>
                </w:p>
              </w:tc>
              <w:tc>
                <w:tcPr>
                  <w:tcW w:w="285" w:type="pct"/>
                  <w:noWrap w:val="0"/>
                  <w:vAlign w:val="center"/>
                </w:tcPr>
                <w:p>
                  <w:pPr>
                    <w:pStyle w:val="15"/>
                    <w:rPr>
                      <w:color w:val="auto"/>
                    </w:rPr>
                  </w:pPr>
                  <w:r>
                    <w:rPr>
                      <w:color w:val="auto"/>
                    </w:rPr>
                    <w:t>/</w:t>
                  </w:r>
                </w:p>
              </w:tc>
              <w:tc>
                <w:tcPr>
                  <w:tcW w:w="345" w:type="pct"/>
                  <w:noWrap w:val="0"/>
                  <w:vAlign w:val="center"/>
                </w:tcPr>
                <w:p>
                  <w:pPr>
                    <w:pStyle w:val="15"/>
                    <w:rPr>
                      <w:color w:val="auto"/>
                    </w:rPr>
                  </w:pPr>
                  <w:r>
                    <w:rPr>
                      <w:color w:val="auto"/>
                    </w:rPr>
                    <w:t>垃圾桶收集</w:t>
                  </w:r>
                </w:p>
              </w:tc>
              <w:tc>
                <w:tcPr>
                  <w:tcW w:w="466" w:type="pct"/>
                  <w:noWrap w:val="0"/>
                  <w:vAlign w:val="center"/>
                </w:tcPr>
                <w:p>
                  <w:pPr>
                    <w:pStyle w:val="15"/>
                    <w:rPr>
                      <w:color w:val="auto"/>
                    </w:rPr>
                  </w:pPr>
                  <w:r>
                    <w:rPr>
                      <w:color w:val="auto"/>
                    </w:rPr>
                    <w:t>委托环卫部门清运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53" w:type="pct"/>
                  <w:noWrap w:val="0"/>
                  <w:vAlign w:val="center"/>
                </w:tcPr>
                <w:p>
                  <w:pPr>
                    <w:pStyle w:val="15"/>
                    <w:rPr>
                      <w:color w:val="auto"/>
                    </w:rPr>
                  </w:pPr>
                  <w:r>
                    <w:rPr>
                      <w:color w:val="auto"/>
                    </w:rPr>
                    <w:t>2</w:t>
                  </w:r>
                </w:p>
              </w:tc>
              <w:tc>
                <w:tcPr>
                  <w:tcW w:w="521" w:type="pct"/>
                  <w:noWrap w:val="0"/>
                  <w:vAlign w:val="center"/>
                </w:tcPr>
                <w:p>
                  <w:pPr>
                    <w:pStyle w:val="15"/>
                    <w:rPr>
                      <w:color w:val="auto"/>
                      <w:highlight w:val="none"/>
                    </w:rPr>
                  </w:pPr>
                  <w:r>
                    <w:rPr>
                      <w:color w:val="auto"/>
                      <w:highlight w:val="none"/>
                    </w:rPr>
                    <w:t>水处理</w:t>
                  </w:r>
                </w:p>
              </w:tc>
              <w:tc>
                <w:tcPr>
                  <w:tcW w:w="502" w:type="pct"/>
                  <w:noWrap w:val="0"/>
                  <w:vAlign w:val="center"/>
                </w:tcPr>
                <w:p>
                  <w:pPr>
                    <w:pStyle w:val="15"/>
                    <w:rPr>
                      <w:color w:val="auto"/>
                      <w:highlight w:val="none"/>
                    </w:rPr>
                  </w:pPr>
                  <w:r>
                    <w:rPr>
                      <w:color w:val="auto"/>
                      <w:highlight w:val="none"/>
                    </w:rPr>
                    <w:t>污泥</w:t>
                  </w:r>
                </w:p>
              </w:tc>
              <w:tc>
                <w:tcPr>
                  <w:tcW w:w="540" w:type="pct"/>
                  <w:noWrap w:val="0"/>
                  <w:vAlign w:val="center"/>
                </w:tcPr>
                <w:p>
                  <w:pPr>
                    <w:pStyle w:val="15"/>
                    <w:rPr>
                      <w:color w:val="auto"/>
                      <w:highlight w:val="none"/>
                    </w:rPr>
                  </w:pPr>
                  <w:r>
                    <w:rPr>
                      <w:color w:val="auto"/>
                      <w:highlight w:val="none"/>
                    </w:rPr>
                    <w:t>悬浮物</w:t>
                  </w:r>
                </w:p>
              </w:tc>
              <w:tc>
                <w:tcPr>
                  <w:tcW w:w="466" w:type="pct"/>
                  <w:noWrap w:val="0"/>
                  <w:vAlign w:val="center"/>
                </w:tcPr>
                <w:p>
                  <w:pPr>
                    <w:pStyle w:val="15"/>
                    <w:rPr>
                      <w:color w:val="auto"/>
                      <w:highlight w:val="none"/>
                    </w:rPr>
                  </w:pPr>
                  <w:r>
                    <w:rPr>
                      <w:color w:val="auto"/>
                      <w:highlight w:val="none"/>
                    </w:rPr>
                    <w:t>一般工业固废</w:t>
                  </w:r>
                </w:p>
              </w:tc>
              <w:tc>
                <w:tcPr>
                  <w:tcW w:w="422" w:type="pct"/>
                  <w:noWrap w:val="0"/>
                  <w:vAlign w:val="center"/>
                </w:tcPr>
                <w:p>
                  <w:pPr>
                    <w:pStyle w:val="15"/>
                    <w:rPr>
                      <w:color w:val="auto"/>
                      <w:highlight w:val="none"/>
                    </w:rPr>
                  </w:pPr>
                  <w:r>
                    <w:rPr>
                      <w:color w:val="auto"/>
                      <w:highlight w:val="none"/>
                    </w:rPr>
                    <w:t>/</w:t>
                  </w:r>
                </w:p>
              </w:tc>
              <w:tc>
                <w:tcPr>
                  <w:tcW w:w="702" w:type="pct"/>
                  <w:noWrap w:val="0"/>
                  <w:vAlign w:val="center"/>
                </w:tcPr>
                <w:p>
                  <w:pPr>
                    <w:pStyle w:val="15"/>
                    <w:rPr>
                      <w:color w:val="auto"/>
                      <w:highlight w:val="none"/>
                    </w:rPr>
                  </w:pPr>
                  <w:r>
                    <w:rPr>
                      <w:rFonts w:hint="eastAsia"/>
                      <w:color w:val="auto"/>
                      <w:highlight w:val="none"/>
                      <w:lang w:val="en-US" w:eastAsia="zh-CN"/>
                    </w:rPr>
                    <w:t>900</w:t>
                  </w:r>
                  <w:r>
                    <w:rPr>
                      <w:color w:val="auto"/>
                      <w:highlight w:val="none"/>
                    </w:rPr>
                    <w:t>-</w:t>
                  </w:r>
                  <w:r>
                    <w:rPr>
                      <w:rFonts w:hint="eastAsia"/>
                      <w:color w:val="auto"/>
                      <w:highlight w:val="none"/>
                      <w:lang w:val="en-US" w:eastAsia="zh-CN"/>
                    </w:rPr>
                    <w:t>999</w:t>
                  </w:r>
                  <w:r>
                    <w:rPr>
                      <w:color w:val="auto"/>
                      <w:highlight w:val="none"/>
                    </w:rPr>
                    <w:t>-61</w:t>
                  </w:r>
                </w:p>
              </w:tc>
              <w:tc>
                <w:tcPr>
                  <w:tcW w:w="491" w:type="pct"/>
                  <w:noWrap w:val="0"/>
                  <w:vAlign w:val="center"/>
                </w:tcPr>
                <w:p>
                  <w:pPr>
                    <w:pStyle w:val="15"/>
                    <w:rPr>
                      <w:rFonts w:hint="default" w:eastAsia="宋体"/>
                      <w:color w:val="auto"/>
                      <w:highlight w:val="none"/>
                      <w:lang w:val="en-US" w:eastAsia="zh-CN"/>
                    </w:rPr>
                  </w:pPr>
                  <w:r>
                    <w:rPr>
                      <w:rFonts w:hint="eastAsia"/>
                      <w:color w:val="auto"/>
                      <w:highlight w:val="none"/>
                      <w:lang w:val="en-US" w:eastAsia="zh-CN"/>
                    </w:rPr>
                    <w:t>145775</w:t>
                  </w:r>
                </w:p>
              </w:tc>
              <w:tc>
                <w:tcPr>
                  <w:tcW w:w="285" w:type="pct"/>
                  <w:noWrap w:val="0"/>
                  <w:vAlign w:val="center"/>
                </w:tcPr>
                <w:p>
                  <w:pPr>
                    <w:pStyle w:val="15"/>
                    <w:rPr>
                      <w:color w:val="auto"/>
                      <w:highlight w:val="none"/>
                    </w:rPr>
                  </w:pPr>
                  <w:r>
                    <w:rPr>
                      <w:color w:val="auto"/>
                      <w:highlight w:val="none"/>
                    </w:rPr>
                    <w:t>/</w:t>
                  </w:r>
                </w:p>
              </w:tc>
              <w:tc>
                <w:tcPr>
                  <w:tcW w:w="345" w:type="pct"/>
                  <w:noWrap w:val="0"/>
                  <w:vAlign w:val="center"/>
                </w:tcPr>
                <w:p>
                  <w:pPr>
                    <w:pStyle w:val="15"/>
                    <w:rPr>
                      <w:color w:val="auto"/>
                      <w:highlight w:val="none"/>
                    </w:rPr>
                  </w:pPr>
                  <w:r>
                    <w:rPr>
                      <w:color w:val="auto"/>
                      <w:highlight w:val="none"/>
                    </w:rPr>
                    <w:t>污泥堆场</w:t>
                  </w:r>
                </w:p>
              </w:tc>
              <w:tc>
                <w:tcPr>
                  <w:tcW w:w="466" w:type="pct"/>
                  <w:noWrap w:val="0"/>
                  <w:vAlign w:val="center"/>
                </w:tcPr>
                <w:p>
                  <w:pPr>
                    <w:pStyle w:val="15"/>
                    <w:rPr>
                      <w:rFonts w:hint="eastAsia" w:eastAsia="宋体"/>
                      <w:color w:val="auto"/>
                      <w:highlight w:val="none"/>
                      <w:lang w:val="en-US" w:eastAsia="zh-CN"/>
                    </w:rPr>
                  </w:pPr>
                  <w:r>
                    <w:rPr>
                      <w:color w:val="auto"/>
                    </w:rPr>
                    <w:t>用于制砖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10" w:hRule="atLeast"/>
                <w:jc w:val="center"/>
              </w:trPr>
              <w:tc>
                <w:tcPr>
                  <w:tcW w:w="253" w:type="pct"/>
                  <w:noWrap w:val="0"/>
                  <w:vAlign w:val="center"/>
                </w:tcPr>
                <w:p>
                  <w:pPr>
                    <w:pStyle w:val="15"/>
                    <w:rPr>
                      <w:color w:val="auto"/>
                    </w:rPr>
                  </w:pPr>
                  <w:r>
                    <w:rPr>
                      <w:color w:val="auto"/>
                    </w:rPr>
                    <w:t>3</w:t>
                  </w:r>
                </w:p>
              </w:tc>
              <w:tc>
                <w:tcPr>
                  <w:tcW w:w="521" w:type="pct"/>
                  <w:noWrap w:val="0"/>
                  <w:vAlign w:val="center"/>
                </w:tcPr>
                <w:p>
                  <w:pPr>
                    <w:pStyle w:val="15"/>
                    <w:rPr>
                      <w:color w:val="auto"/>
                    </w:rPr>
                  </w:pPr>
                  <w:r>
                    <w:rPr>
                      <w:color w:val="auto"/>
                    </w:rPr>
                    <w:t>生产</w:t>
                  </w:r>
                </w:p>
              </w:tc>
              <w:tc>
                <w:tcPr>
                  <w:tcW w:w="502" w:type="pct"/>
                  <w:noWrap w:val="0"/>
                  <w:vAlign w:val="center"/>
                </w:tcPr>
                <w:p>
                  <w:pPr>
                    <w:pStyle w:val="15"/>
                    <w:rPr>
                      <w:color w:val="auto"/>
                    </w:rPr>
                  </w:pPr>
                  <w:r>
                    <w:rPr>
                      <w:color w:val="auto"/>
                    </w:rPr>
                    <w:t>收集砂粉</w:t>
                  </w:r>
                </w:p>
              </w:tc>
              <w:tc>
                <w:tcPr>
                  <w:tcW w:w="540" w:type="pct"/>
                  <w:noWrap w:val="0"/>
                  <w:vAlign w:val="center"/>
                </w:tcPr>
                <w:p>
                  <w:pPr>
                    <w:pStyle w:val="15"/>
                    <w:rPr>
                      <w:color w:val="auto"/>
                    </w:rPr>
                  </w:pPr>
                  <w:r>
                    <w:rPr>
                      <w:color w:val="auto"/>
                    </w:rPr>
                    <w:t>砂粉</w:t>
                  </w:r>
                </w:p>
              </w:tc>
              <w:tc>
                <w:tcPr>
                  <w:tcW w:w="466" w:type="pct"/>
                  <w:noWrap w:val="0"/>
                  <w:vAlign w:val="center"/>
                </w:tcPr>
                <w:p>
                  <w:pPr>
                    <w:pStyle w:val="15"/>
                    <w:rPr>
                      <w:color w:val="auto"/>
                    </w:rPr>
                  </w:pPr>
                  <w:r>
                    <w:rPr>
                      <w:color w:val="auto"/>
                    </w:rPr>
                    <w:t>一般工业固废</w:t>
                  </w:r>
                </w:p>
              </w:tc>
              <w:tc>
                <w:tcPr>
                  <w:tcW w:w="422" w:type="pct"/>
                  <w:noWrap w:val="0"/>
                  <w:vAlign w:val="center"/>
                </w:tcPr>
                <w:p>
                  <w:pPr>
                    <w:pStyle w:val="15"/>
                    <w:rPr>
                      <w:color w:val="auto"/>
                    </w:rPr>
                  </w:pPr>
                  <w:r>
                    <w:rPr>
                      <w:color w:val="auto"/>
                    </w:rPr>
                    <w:t>/</w:t>
                  </w:r>
                </w:p>
              </w:tc>
              <w:tc>
                <w:tcPr>
                  <w:tcW w:w="702" w:type="pct"/>
                  <w:noWrap w:val="0"/>
                  <w:vAlign w:val="center"/>
                </w:tcPr>
                <w:p>
                  <w:pPr>
                    <w:pStyle w:val="15"/>
                    <w:rPr>
                      <w:rFonts w:hint="default" w:eastAsia="宋体"/>
                      <w:color w:val="auto"/>
                      <w:lang w:val="en-US" w:eastAsia="zh-CN"/>
                    </w:rPr>
                  </w:pPr>
                  <w:r>
                    <w:rPr>
                      <w:rFonts w:hint="eastAsia"/>
                      <w:color w:val="auto"/>
                      <w:lang w:val="en-US" w:eastAsia="zh-CN"/>
                    </w:rPr>
                    <w:t>101</w:t>
                  </w:r>
                  <w:r>
                    <w:rPr>
                      <w:color w:val="auto"/>
                    </w:rPr>
                    <w:t>-001-</w:t>
                  </w:r>
                  <w:r>
                    <w:rPr>
                      <w:rFonts w:hint="eastAsia"/>
                      <w:color w:val="auto"/>
                      <w:lang w:val="en-US" w:eastAsia="zh-CN"/>
                    </w:rPr>
                    <w:t>29</w:t>
                  </w:r>
                </w:p>
              </w:tc>
              <w:tc>
                <w:tcPr>
                  <w:tcW w:w="491" w:type="pct"/>
                  <w:noWrap w:val="0"/>
                  <w:vAlign w:val="center"/>
                </w:tcPr>
                <w:p>
                  <w:pPr>
                    <w:pStyle w:val="15"/>
                    <w:rPr>
                      <w:rFonts w:hint="default" w:eastAsia="宋体"/>
                      <w:color w:val="auto"/>
                      <w:lang w:val="en-US" w:eastAsia="zh-CN"/>
                    </w:rPr>
                  </w:pPr>
                  <w:r>
                    <w:rPr>
                      <w:rFonts w:hint="eastAsia"/>
                      <w:color w:val="auto"/>
                      <w:lang w:val="en-US" w:eastAsia="zh-CN"/>
                    </w:rPr>
                    <w:t>21.127</w:t>
                  </w:r>
                </w:p>
              </w:tc>
              <w:tc>
                <w:tcPr>
                  <w:tcW w:w="285" w:type="pct"/>
                  <w:noWrap w:val="0"/>
                  <w:vAlign w:val="center"/>
                </w:tcPr>
                <w:p>
                  <w:pPr>
                    <w:pStyle w:val="15"/>
                    <w:rPr>
                      <w:color w:val="auto"/>
                    </w:rPr>
                  </w:pPr>
                  <w:r>
                    <w:rPr>
                      <w:color w:val="auto"/>
                    </w:rPr>
                    <w:t>/</w:t>
                  </w:r>
                </w:p>
              </w:tc>
              <w:tc>
                <w:tcPr>
                  <w:tcW w:w="345" w:type="pct"/>
                  <w:noWrap w:val="0"/>
                  <w:vAlign w:val="center"/>
                </w:tcPr>
                <w:p>
                  <w:pPr>
                    <w:pStyle w:val="15"/>
                    <w:rPr>
                      <w:color w:val="auto"/>
                    </w:rPr>
                  </w:pPr>
                  <w:r>
                    <w:rPr>
                      <w:color w:val="auto"/>
                    </w:rPr>
                    <w:t>/</w:t>
                  </w:r>
                </w:p>
              </w:tc>
              <w:tc>
                <w:tcPr>
                  <w:tcW w:w="466" w:type="pct"/>
                  <w:noWrap w:val="0"/>
                  <w:vAlign w:val="center"/>
                </w:tcPr>
                <w:p>
                  <w:pPr>
                    <w:pStyle w:val="15"/>
                    <w:rPr>
                      <w:color w:val="auto"/>
                    </w:rPr>
                  </w:pPr>
                  <w:r>
                    <w:rPr>
                      <w:color w:val="auto"/>
                    </w:rPr>
                    <w:t>用于制砖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10" w:hRule="atLeast"/>
                <w:jc w:val="center"/>
              </w:trPr>
              <w:tc>
                <w:tcPr>
                  <w:tcW w:w="253" w:type="pct"/>
                  <w:noWrap w:val="0"/>
                  <w:vAlign w:val="center"/>
                </w:tcPr>
                <w:p>
                  <w:pPr>
                    <w:pStyle w:val="15"/>
                    <w:rPr>
                      <w:color w:val="auto"/>
                    </w:rPr>
                  </w:pPr>
                  <w:r>
                    <w:rPr>
                      <w:color w:val="auto"/>
                    </w:rPr>
                    <w:t>4</w:t>
                  </w:r>
                </w:p>
              </w:tc>
              <w:tc>
                <w:tcPr>
                  <w:tcW w:w="521" w:type="pct"/>
                  <w:noWrap w:val="0"/>
                  <w:vAlign w:val="center"/>
                </w:tcPr>
                <w:p>
                  <w:pPr>
                    <w:pStyle w:val="15"/>
                    <w:rPr>
                      <w:color w:val="auto"/>
                    </w:rPr>
                  </w:pPr>
                  <w:r>
                    <w:rPr>
                      <w:color w:val="auto"/>
                    </w:rPr>
                    <w:t>生产</w:t>
                  </w:r>
                </w:p>
              </w:tc>
              <w:tc>
                <w:tcPr>
                  <w:tcW w:w="502" w:type="pct"/>
                  <w:noWrap w:val="0"/>
                  <w:vAlign w:val="center"/>
                </w:tcPr>
                <w:p>
                  <w:pPr>
                    <w:pStyle w:val="15"/>
                    <w:rPr>
                      <w:color w:val="auto"/>
                    </w:rPr>
                  </w:pPr>
                  <w:r>
                    <w:rPr>
                      <w:color w:val="auto"/>
                    </w:rPr>
                    <w:t>废润滑油</w:t>
                  </w:r>
                </w:p>
              </w:tc>
              <w:tc>
                <w:tcPr>
                  <w:tcW w:w="540" w:type="pct"/>
                  <w:noWrap w:val="0"/>
                  <w:vAlign w:val="center"/>
                </w:tcPr>
                <w:p>
                  <w:pPr>
                    <w:pStyle w:val="15"/>
                    <w:rPr>
                      <w:color w:val="auto"/>
                    </w:rPr>
                  </w:pPr>
                  <w:r>
                    <w:rPr>
                      <w:color w:val="auto"/>
                    </w:rPr>
                    <w:t>润滑油</w:t>
                  </w:r>
                </w:p>
              </w:tc>
              <w:tc>
                <w:tcPr>
                  <w:tcW w:w="466" w:type="pct"/>
                  <w:noWrap w:val="0"/>
                  <w:vAlign w:val="center"/>
                </w:tcPr>
                <w:p>
                  <w:pPr>
                    <w:pStyle w:val="15"/>
                    <w:rPr>
                      <w:color w:val="auto"/>
                    </w:rPr>
                  </w:pPr>
                  <w:r>
                    <w:rPr>
                      <w:color w:val="auto"/>
                    </w:rPr>
                    <w:t>危险废物</w:t>
                  </w:r>
                </w:p>
              </w:tc>
              <w:tc>
                <w:tcPr>
                  <w:tcW w:w="422" w:type="pct"/>
                  <w:noWrap w:val="0"/>
                  <w:vAlign w:val="center"/>
                </w:tcPr>
                <w:p>
                  <w:pPr>
                    <w:pStyle w:val="15"/>
                    <w:rPr>
                      <w:color w:val="auto"/>
                    </w:rPr>
                  </w:pPr>
                  <w:r>
                    <w:rPr>
                      <w:color w:val="auto"/>
                    </w:rPr>
                    <w:t>HW08</w:t>
                  </w:r>
                </w:p>
              </w:tc>
              <w:tc>
                <w:tcPr>
                  <w:tcW w:w="702" w:type="pct"/>
                  <w:noWrap w:val="0"/>
                  <w:vAlign w:val="center"/>
                </w:tcPr>
                <w:p>
                  <w:pPr>
                    <w:pStyle w:val="15"/>
                    <w:rPr>
                      <w:color w:val="auto"/>
                    </w:rPr>
                  </w:pPr>
                  <w:r>
                    <w:rPr>
                      <w:color w:val="auto"/>
                    </w:rPr>
                    <w:t>900-</w:t>
                  </w:r>
                  <w:r>
                    <w:rPr>
                      <w:rFonts w:hint="eastAsia"/>
                      <w:color w:val="auto"/>
                      <w:lang w:val="en-US" w:eastAsia="zh-CN"/>
                    </w:rPr>
                    <w:t>999</w:t>
                  </w:r>
                  <w:r>
                    <w:rPr>
                      <w:color w:val="auto"/>
                    </w:rPr>
                    <w:t>-08</w:t>
                  </w:r>
                </w:p>
              </w:tc>
              <w:tc>
                <w:tcPr>
                  <w:tcW w:w="491" w:type="pct"/>
                  <w:noWrap w:val="0"/>
                  <w:vAlign w:val="center"/>
                </w:tcPr>
                <w:p>
                  <w:pPr>
                    <w:pStyle w:val="15"/>
                    <w:rPr>
                      <w:rFonts w:hint="default" w:eastAsia="宋体"/>
                      <w:color w:val="auto"/>
                      <w:lang w:val="en-US" w:eastAsia="zh-CN"/>
                    </w:rPr>
                  </w:pPr>
                  <w:r>
                    <w:rPr>
                      <w:rFonts w:hint="eastAsia"/>
                      <w:color w:val="auto"/>
                      <w:lang w:val="en-US" w:eastAsia="zh-CN"/>
                    </w:rPr>
                    <w:t>0.5</w:t>
                  </w:r>
                </w:p>
              </w:tc>
              <w:tc>
                <w:tcPr>
                  <w:tcW w:w="285" w:type="pct"/>
                  <w:noWrap w:val="0"/>
                  <w:vAlign w:val="center"/>
                </w:tcPr>
                <w:p>
                  <w:pPr>
                    <w:pStyle w:val="15"/>
                    <w:rPr>
                      <w:color w:val="auto"/>
                    </w:rPr>
                  </w:pPr>
                  <w:r>
                    <w:rPr>
                      <w:color w:val="auto"/>
                    </w:rPr>
                    <w:t>T，I</w:t>
                  </w:r>
                </w:p>
              </w:tc>
              <w:tc>
                <w:tcPr>
                  <w:tcW w:w="345" w:type="pct"/>
                  <w:noWrap w:val="0"/>
                  <w:vAlign w:val="center"/>
                </w:tcPr>
                <w:p>
                  <w:pPr>
                    <w:pStyle w:val="15"/>
                    <w:rPr>
                      <w:color w:val="auto"/>
                    </w:rPr>
                  </w:pPr>
                  <w:r>
                    <w:rPr>
                      <w:color w:val="auto"/>
                    </w:rPr>
                    <w:t>危废间暂存</w:t>
                  </w:r>
                </w:p>
              </w:tc>
              <w:tc>
                <w:tcPr>
                  <w:tcW w:w="466" w:type="pct"/>
                  <w:noWrap w:val="0"/>
                  <w:vAlign w:val="center"/>
                </w:tcPr>
                <w:p>
                  <w:pPr>
                    <w:pStyle w:val="15"/>
                    <w:rPr>
                      <w:color w:val="auto"/>
                    </w:rPr>
                  </w:pPr>
                  <w:r>
                    <w:rPr>
                      <w:color w:val="auto"/>
                    </w:rPr>
                    <w:t>委托有资质单位处置</w:t>
                  </w:r>
                </w:p>
              </w:tc>
            </w:tr>
          </w:tbl>
          <w:p>
            <w:pPr>
              <w:pStyle w:val="22"/>
              <w:rPr>
                <w:rFonts w:ascii="Times New Roman" w:hAnsi="Times New Roman"/>
                <w:color w:val="auto"/>
              </w:rPr>
            </w:pPr>
            <w:r>
              <w:rPr>
                <w:rFonts w:ascii="Times New Roman" w:hAnsi="Times New Roman"/>
                <w:color w:val="auto"/>
              </w:rPr>
              <w:t>4.2.4.2固体废物管理要求</w:t>
            </w:r>
          </w:p>
          <w:p>
            <w:pPr>
              <w:ind w:firstLine="480"/>
              <w:rPr>
                <w:color w:val="auto"/>
              </w:rPr>
            </w:pPr>
            <w:r>
              <w:rPr>
                <w:color w:val="auto"/>
              </w:rPr>
              <w:t>根据国家《一般工业固体废物贮存和填埋污染控制标准》（GB18599-2020）的要求，一般工业固体废物的贮存和管理应做到：</w:t>
            </w:r>
          </w:p>
          <w:p>
            <w:pPr>
              <w:ind w:firstLine="480"/>
              <w:rPr>
                <w:color w:val="auto"/>
              </w:rPr>
            </w:pPr>
            <w:r>
              <w:rPr>
                <w:rFonts w:hint="eastAsia"/>
                <w:color w:val="auto"/>
              </w:rPr>
              <w:t>①</w:t>
            </w:r>
            <w:r>
              <w:rPr>
                <w:color w:val="auto"/>
              </w:rPr>
              <w:t>一般工业固体废物应按</w:t>
            </w:r>
            <w:r>
              <w:rPr>
                <w:rFonts w:hint="eastAsia"/>
                <w:color w:val="auto"/>
              </w:rPr>
              <w:t>Ⅰ</w:t>
            </w:r>
            <w:r>
              <w:rPr>
                <w:color w:val="auto"/>
              </w:rPr>
              <w:t>类和</w:t>
            </w:r>
            <w:r>
              <w:rPr>
                <w:rFonts w:hint="eastAsia"/>
                <w:color w:val="auto"/>
              </w:rPr>
              <w:t>Ⅱ</w:t>
            </w:r>
            <w:r>
              <w:rPr>
                <w:color w:val="auto"/>
              </w:rPr>
              <w:t>类废物分别储存，建立分类收集房。不允许将危险废物和生活垃圾混入。</w:t>
            </w:r>
          </w:p>
          <w:p>
            <w:pPr>
              <w:ind w:firstLine="480"/>
              <w:rPr>
                <w:color w:val="auto"/>
              </w:rPr>
            </w:pPr>
            <w:r>
              <w:rPr>
                <w:rFonts w:hint="eastAsia"/>
                <w:color w:val="auto"/>
              </w:rPr>
              <w:t>②</w:t>
            </w:r>
            <w:r>
              <w:rPr>
                <w:color w:val="auto"/>
              </w:rPr>
              <w:t>尽量将可利用的一般工业固体废物回收、利用。</w:t>
            </w:r>
          </w:p>
          <w:p>
            <w:pPr>
              <w:ind w:firstLine="480"/>
              <w:rPr>
                <w:color w:val="auto"/>
              </w:rPr>
            </w:pPr>
            <w:r>
              <w:rPr>
                <w:rFonts w:hint="eastAsia"/>
                <w:color w:val="auto"/>
              </w:rPr>
              <w:t>③</w:t>
            </w:r>
            <w:r>
              <w:rPr>
                <w:color w:val="auto"/>
              </w:rPr>
              <w:t>污泥间临时储存地点必须建有雨棚，不允许露天堆放，以防止雨水冲刷，雨水应通过场地四周导流渠流向雨水排放管；临时堆放场地为水泥铺设地面，以防渗漏。</w:t>
            </w:r>
          </w:p>
          <w:p>
            <w:pPr>
              <w:ind w:firstLine="480"/>
              <w:rPr>
                <w:color w:val="auto"/>
              </w:rPr>
            </w:pPr>
            <w:r>
              <w:rPr>
                <w:rFonts w:hint="eastAsia"/>
                <w:color w:val="auto"/>
              </w:rPr>
              <w:t>④</w:t>
            </w:r>
            <w:r>
              <w:rPr>
                <w:color w:val="auto"/>
              </w:rPr>
              <w:t>为加强管理监督，贮存、处置场所地应按《环境保护图形标志－固体废物贮存（处置）场所》（GB15562.2-1995）设置环境保护图形标志。</w:t>
            </w:r>
          </w:p>
          <w:p>
            <w:pPr>
              <w:bidi w:val="0"/>
              <w:rPr>
                <w:color w:val="auto"/>
              </w:rPr>
            </w:pPr>
            <w:r>
              <w:rPr>
                <w:color w:val="auto"/>
              </w:rPr>
              <w:t>危险废物的收集和贮存应遵循以下要求：</w:t>
            </w:r>
          </w:p>
          <w:p>
            <w:pPr>
              <w:bidi w:val="0"/>
              <w:rPr>
                <w:color w:val="auto"/>
              </w:rPr>
            </w:pPr>
            <w:r>
              <w:rPr>
                <w:rFonts w:hint="eastAsia"/>
                <w:color w:val="auto"/>
              </w:rPr>
              <w:t>①</w:t>
            </w:r>
            <w:r>
              <w:rPr>
                <w:color w:val="auto"/>
              </w:rPr>
              <w:t>危险废物的收集容器和临时贮存场所应严格按照《危险废物贮存污染控制标准》（GB18597-2001）中的有关规定执行。贮存区必须按GB15562.2的规定设置警示标志，并具有防雨淋、防日晒、防渗漏措施，且危险废物要有专用的收集容器，定期对所贮存的危险废物贮存设施进行检查，发现破损，应及时采取措施。根据业主介绍，按照《危险废物污染防治技术政策》（环发【2001】199号）、《危险废物贮存污染控制标准》（GB18597-2001）及其修改单《建设项目危险废物环境影响评价指南》（2017.10.1实施）等文件、技术规范要求设置危险废物临时贮存间。</w:t>
            </w:r>
          </w:p>
          <w:p>
            <w:pPr>
              <w:bidi w:val="0"/>
              <w:rPr>
                <w:color w:val="auto"/>
              </w:rPr>
            </w:pPr>
            <w:r>
              <w:rPr>
                <w:color w:val="auto"/>
              </w:rPr>
              <w:t>危险废物临时贮存的几点要求：</w:t>
            </w:r>
          </w:p>
          <w:p>
            <w:pPr>
              <w:bidi w:val="0"/>
              <w:rPr>
                <w:color w:val="auto"/>
              </w:rPr>
            </w:pPr>
            <w:r>
              <w:rPr>
                <w:color w:val="auto"/>
              </w:rPr>
              <w:t>A、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bidi w:val="0"/>
              <w:rPr>
                <w:color w:val="auto"/>
              </w:rPr>
            </w:pPr>
            <w:r>
              <w:rPr>
                <w:color w:val="auto"/>
              </w:rPr>
              <w:t>B、按《环境保护图形标识——固体废物贮存（处置）场》（GB15562.2）在收集场所醒目的地方设置危险废物警告标识。</w:t>
            </w:r>
          </w:p>
          <w:p>
            <w:pPr>
              <w:bidi w:val="0"/>
              <w:rPr>
                <w:color w:val="auto"/>
              </w:rPr>
            </w:pPr>
            <w:r>
              <w:rPr>
                <w:color w:val="auto"/>
              </w:rPr>
              <w:t>C、由专人负责管理。危险废物按不同名录分类分区堆放，并做好隔离、防水、防晒、防雨、防渗、防火处理。</w:t>
            </w:r>
          </w:p>
          <w:p>
            <w:pPr>
              <w:bidi w:val="0"/>
              <w:rPr>
                <w:color w:val="auto"/>
              </w:rPr>
            </w:pPr>
            <w:r>
              <w:rPr>
                <w:color w:val="auto"/>
              </w:rPr>
              <w:t>D、应配备通讯设备、照明设施、安全防护服装及工具，并设有报警装置和应急防护设施。</w:t>
            </w:r>
          </w:p>
          <w:p>
            <w:pPr>
              <w:bidi w:val="0"/>
              <w:rPr>
                <w:color w:val="auto"/>
              </w:rPr>
            </w:pPr>
            <w:r>
              <w:rPr>
                <w:color w:val="auto"/>
              </w:rPr>
              <w:t>E、贮存区内禁止混放不相容危险废物；禁止危险废物混入非危险废物中贮存；危险废物按种类分别存放，且不同类废物间有明显的间隔（如过道等）。</w:t>
            </w:r>
          </w:p>
          <w:p>
            <w:pPr>
              <w:bidi w:val="0"/>
              <w:rPr>
                <w:color w:val="auto"/>
              </w:rPr>
            </w:pPr>
            <w:r>
              <w:rPr>
                <w:color w:val="auto"/>
              </w:rPr>
              <w:t>F、危险废物临时贮存场所的地面和裙脚要用坚固、防渗的材料建造；该贮存场所的地面与裙脚围建一定的空间，该容积不低于堵截最大容器的最大储量或总储量的1/5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1m厚粘土层（渗透系数≤10-7cm/s），或2mm厚高密度聚乙烯，或至少2mm厚的其他人工材料，渗透系数≤10-10cm/s。具体设计原则参见《危险废物贮存污染控制标准》（GB18597-2001）。</w:t>
            </w:r>
          </w:p>
          <w:p>
            <w:pPr>
              <w:bidi w:val="0"/>
              <w:rPr>
                <w:color w:val="auto"/>
              </w:rPr>
            </w:pPr>
            <w:r>
              <w:rPr>
                <w:rFonts w:hint="eastAsia"/>
                <w:color w:val="auto"/>
              </w:rPr>
              <w:t>②</w:t>
            </w:r>
            <w:r>
              <w:rPr>
                <w:color w:val="auto"/>
              </w:rPr>
              <w:t>建立危废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18597-2001）及其修改单和《危险废物转移联单管理办法》要求执行。建设单位应强化废物产生、收集、贮放各环节的管理，各种固体废物按照类别分类存放，杜绝固体废物在厂区内散失、渗漏，达到无害化的目的，避免产生二次污染。</w:t>
            </w:r>
          </w:p>
          <w:p>
            <w:pPr>
              <w:bidi w:val="0"/>
              <w:rPr>
                <w:color w:val="auto"/>
              </w:rPr>
            </w:pPr>
            <w:r>
              <w:rPr>
                <w:color w:val="auto"/>
              </w:rPr>
              <w:t>危险废物的运输采取危险废物转移“电子联单”制度，保证运输安全，防止非法转移和非法处置，保证危险废物的安全监控，防止危险废物污染事故发生。</w:t>
            </w:r>
          </w:p>
          <w:p>
            <w:pPr>
              <w:bidi w:val="0"/>
              <w:rPr>
                <w:color w:val="auto"/>
              </w:rPr>
            </w:pPr>
            <w:r>
              <w:rPr>
                <w:color w:val="auto"/>
              </w:rPr>
              <w:t>“电子联单”应通过福建省固体废物环境监管平台申请电子联单，危险废物产生者及其它需要转移危险废物的单位在转移危险废物之前，须按照国家有关规定报批危险废物转移计划。经批准后，通过《信息系统》申请电子联单。</w:t>
            </w:r>
          </w:p>
          <w:p>
            <w:pPr>
              <w:bidi w:val="0"/>
              <w:rPr>
                <w:color w:val="auto"/>
              </w:rPr>
            </w:pPr>
            <w:r>
              <w:rPr>
                <w:rFonts w:hint="eastAsia"/>
                <w:color w:val="auto"/>
              </w:rPr>
              <w:t>③</w:t>
            </w:r>
            <w:r>
              <w:rPr>
                <w:color w:val="auto"/>
              </w:rPr>
              <w:t>应将危险废物提供或者委托给有危险废物经营许可证的单位从事利用和处置，并签订处置合同。同时应加强对运输单位及处置单位的跟踪检查，控制运输过程中的环境风险。</w:t>
            </w:r>
          </w:p>
          <w:p>
            <w:pPr>
              <w:pStyle w:val="17"/>
              <w:rPr>
                <w:color w:val="auto"/>
              </w:rPr>
            </w:pPr>
            <w:r>
              <w:rPr>
                <w:color w:val="auto"/>
              </w:rPr>
              <w:t>4.2.5环境风险</w:t>
            </w:r>
          </w:p>
          <w:p>
            <w:pPr>
              <w:bidi w:val="0"/>
              <w:rPr>
                <w:color w:val="auto"/>
              </w:rPr>
            </w:pPr>
            <w:r>
              <w:rPr>
                <w:color w:val="auto"/>
              </w:rPr>
              <w:t>根据《建设项目环境风险评价技术导则》（HJ169-2018）以及《关于进一步加强环境影响评价管理防范环境风险的通知》（环发[2012]77号），环境风险评价应以突发性事故导致的危险物质环境急性损害防控为目标，对建设项目的环境风险进行分析、预测和评估，提出环境风险预防、控制、减缓措施。</w:t>
            </w:r>
          </w:p>
          <w:p>
            <w:pPr>
              <w:pStyle w:val="22"/>
              <w:rPr>
                <w:rFonts w:ascii="Times New Roman" w:hAnsi="Times New Roman"/>
                <w:color w:val="auto"/>
              </w:rPr>
            </w:pPr>
            <w:r>
              <w:rPr>
                <w:rFonts w:ascii="Times New Roman" w:hAnsi="Times New Roman"/>
                <w:color w:val="auto"/>
              </w:rPr>
              <w:t>4.2.5.1风险调查</w:t>
            </w:r>
          </w:p>
          <w:p>
            <w:pPr>
              <w:bidi w:val="0"/>
              <w:rPr>
                <w:color w:val="auto"/>
              </w:rPr>
            </w:pPr>
            <w:r>
              <w:rPr>
                <w:color w:val="auto"/>
              </w:rPr>
              <w:t>在整个生产过程中所涉及的原辅材料、中间产品、最终产品以及排放的“三废”污染物等，根据《建设项目环境风险评价技术导则》（HJ169-2018），项目原辅材料不涉及风险物质。</w:t>
            </w:r>
          </w:p>
          <w:p>
            <w:pPr>
              <w:pStyle w:val="22"/>
              <w:rPr>
                <w:rFonts w:ascii="Times New Roman" w:hAnsi="Times New Roman"/>
                <w:color w:val="auto"/>
              </w:rPr>
            </w:pPr>
            <w:r>
              <w:rPr>
                <w:rFonts w:ascii="Times New Roman" w:hAnsi="Times New Roman"/>
                <w:color w:val="auto"/>
              </w:rPr>
              <w:t>4.2.5.2环境风险潜势初判</w:t>
            </w:r>
          </w:p>
          <w:p>
            <w:pPr>
              <w:bidi w:val="0"/>
              <w:rPr>
                <w:color w:val="auto"/>
              </w:rPr>
            </w:pPr>
            <w:r>
              <w:rPr>
                <w:color w:val="auto"/>
              </w:rPr>
              <w:t>建设项目环境风险潜势划分为</w:t>
            </w:r>
            <w:r>
              <w:rPr>
                <w:rFonts w:hint="eastAsia"/>
                <w:color w:val="auto"/>
              </w:rPr>
              <w:t>Ⅰ</w:t>
            </w:r>
            <w:r>
              <w:rPr>
                <w:color w:val="auto"/>
              </w:rPr>
              <w:t>、</w:t>
            </w:r>
            <w:r>
              <w:rPr>
                <w:rFonts w:hint="eastAsia"/>
                <w:color w:val="auto"/>
              </w:rPr>
              <w:t>Ⅱ</w:t>
            </w:r>
            <w:r>
              <w:rPr>
                <w:color w:val="auto"/>
              </w:rPr>
              <w:t>、</w:t>
            </w:r>
            <w:r>
              <w:rPr>
                <w:rFonts w:hint="eastAsia"/>
                <w:color w:val="auto"/>
              </w:rPr>
              <w:t>Ⅲ</w:t>
            </w:r>
            <w:r>
              <w:rPr>
                <w:color w:val="auto"/>
              </w:rPr>
              <w:t>、</w:t>
            </w:r>
            <w:r>
              <w:rPr>
                <w:rFonts w:hint="eastAsia"/>
                <w:color w:val="auto"/>
              </w:rPr>
              <w:t>Ⅳ</w:t>
            </w:r>
            <w:r>
              <w:rPr>
                <w:color w:val="auto"/>
              </w:rPr>
              <w:t>/</w:t>
            </w:r>
            <w:r>
              <w:rPr>
                <w:rFonts w:hint="eastAsia"/>
                <w:color w:val="auto"/>
              </w:rPr>
              <w:t>Ⅳ</w:t>
            </w:r>
            <w:r>
              <w:rPr>
                <w:color w:val="auto"/>
              </w:rPr>
              <w:t>+级。根据建设项目涉及的物质和工艺系统的危险性及其所在地的环境敏感程度，结合事故情形下环境影响途径，对建设项目潜在环境危害程度进行概化分析，根据危险物质及工艺系统危险性（P）、环境敏感程度（E）进行判定。</w:t>
            </w:r>
          </w:p>
          <w:p>
            <w:pPr>
              <w:bidi w:val="0"/>
              <w:rPr>
                <w:color w:val="auto"/>
              </w:rPr>
            </w:pPr>
            <w:r>
              <w:rPr>
                <w:color w:val="auto"/>
              </w:rPr>
              <w:t>危险物质数量与临界量比值（Q）：</w:t>
            </w:r>
          </w:p>
          <w:p>
            <w:pPr>
              <w:bidi w:val="0"/>
              <w:rPr>
                <w:color w:val="auto"/>
              </w:rPr>
            </w:pPr>
            <w:r>
              <w:rPr>
                <w:color w:val="auto"/>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p>
          <w:p>
            <w:pPr>
              <w:bidi w:val="0"/>
              <w:rPr>
                <w:color w:val="auto"/>
              </w:rPr>
            </w:pPr>
            <w:r>
              <w:rPr>
                <w:color w:val="auto"/>
              </w:rPr>
              <w:t>当只涉及一种危险物质时，计算该物质的总量与其临界量比值，即为 Q；当存在多种危险物质时，则按式（C.1）计算物质总量与其临界量比值（Q）：</w:t>
            </w:r>
          </w:p>
          <w:p>
            <w:pPr>
              <w:bidi w:val="0"/>
              <w:rPr>
                <w:color w:val="auto"/>
              </w:rPr>
            </w:pPr>
            <w:r>
              <w:rPr>
                <w:color w:val="auto"/>
              </w:rPr>
              <w:fldChar w:fldCharType="begin"/>
            </w:r>
            <w:r>
              <w:rPr>
                <w:color w:val="auto"/>
              </w:rPr>
              <w:instrText xml:space="preserve"> INCLUDEPICTURE "C:\\Users\\ADMINI~1\\AppData\\Local\\Temp\\ksohtml4088\\wps2.png" \* MERGEFORMATINET </w:instrText>
            </w:r>
            <w:r>
              <w:rPr>
                <w:color w:val="auto"/>
              </w:rPr>
              <w:fldChar w:fldCharType="separate"/>
            </w:r>
            <w:r>
              <w:rPr>
                <w:color w:val="auto"/>
              </w:rPr>
              <w:drawing>
                <wp:inline distT="0" distB="0" distL="114300" distR="114300">
                  <wp:extent cx="5066665" cy="1525270"/>
                  <wp:effectExtent l="0" t="0" r="635" b="17780"/>
                  <wp:docPr id="35" name="图片 35"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wps2"/>
                          <pic:cNvPicPr>
                            <a:picLocks noChangeAspect="1"/>
                          </pic:cNvPicPr>
                        </pic:nvPicPr>
                        <pic:blipFill>
                          <a:blip r:embed="rId26"/>
                          <a:stretch>
                            <a:fillRect/>
                          </a:stretch>
                        </pic:blipFill>
                        <pic:spPr>
                          <a:xfrm>
                            <a:off x="0" y="0"/>
                            <a:ext cx="5066665" cy="1525270"/>
                          </a:xfrm>
                          <a:prstGeom prst="rect">
                            <a:avLst/>
                          </a:prstGeom>
                          <a:noFill/>
                          <a:ln>
                            <a:noFill/>
                          </a:ln>
                        </pic:spPr>
                      </pic:pic>
                    </a:graphicData>
                  </a:graphic>
                </wp:inline>
              </w:drawing>
            </w:r>
            <w:r>
              <w:rPr>
                <w:color w:val="auto"/>
              </w:rPr>
              <w:fldChar w:fldCharType="end"/>
            </w:r>
          </w:p>
          <w:p>
            <w:pPr>
              <w:pStyle w:val="13"/>
              <w:rPr>
                <w:color w:val="auto"/>
              </w:rPr>
            </w:pPr>
            <w:r>
              <w:rPr>
                <w:color w:val="auto"/>
              </w:rPr>
              <w:t>表4.2-</w:t>
            </w:r>
            <w:r>
              <w:rPr>
                <w:rFonts w:hint="eastAsia"/>
                <w:color w:val="auto"/>
                <w:lang w:val="en-US" w:eastAsia="zh-CN"/>
              </w:rPr>
              <w:t>6</w:t>
            </w:r>
            <w:r>
              <w:rPr>
                <w:color w:val="auto"/>
              </w:rPr>
              <w:t>危险物质数量与临界量比值计算</w:t>
            </w:r>
          </w:p>
          <w:tbl>
            <w:tblPr>
              <w:tblStyle w:val="10"/>
              <w:tblW w:w="5000" w:type="pct"/>
              <w:tblInd w:w="0" w:type="dxa"/>
              <w:tblLayout w:type="fixed"/>
              <w:tblCellMar>
                <w:top w:w="0" w:type="dxa"/>
                <w:left w:w="108" w:type="dxa"/>
                <w:bottom w:w="0" w:type="dxa"/>
                <w:right w:w="108" w:type="dxa"/>
              </w:tblCellMar>
            </w:tblPr>
            <w:tblGrid>
              <w:gridCol w:w="659"/>
              <w:gridCol w:w="1221"/>
              <w:gridCol w:w="1524"/>
              <w:gridCol w:w="1303"/>
              <w:gridCol w:w="1591"/>
              <w:gridCol w:w="1308"/>
              <w:gridCol w:w="823"/>
            </w:tblGrid>
            <w:tr>
              <w:tblPrEx>
                <w:tblCellMar>
                  <w:top w:w="0" w:type="dxa"/>
                  <w:left w:w="108" w:type="dxa"/>
                  <w:bottom w:w="0" w:type="dxa"/>
                  <w:right w:w="108" w:type="dxa"/>
                </w:tblCellMar>
              </w:tblPrEx>
              <w:trPr>
                <w:trHeight w:val="795" w:hRule="atLeast"/>
              </w:trPr>
              <w:tc>
                <w:tcPr>
                  <w:tcW w:w="391" w:type="pct"/>
                  <w:tcBorders>
                    <w:top w:val="single" w:color="auto" w:sz="12" w:space="0"/>
                    <w:left w:val="single" w:color="auto" w:sz="12" w:space="0"/>
                    <w:bottom w:val="single" w:color="auto" w:sz="4" w:space="0"/>
                    <w:right w:val="single" w:color="auto" w:sz="4" w:space="0"/>
                  </w:tcBorders>
                  <w:noWrap w:val="0"/>
                  <w:vAlign w:val="center"/>
                </w:tcPr>
                <w:p>
                  <w:pPr>
                    <w:pStyle w:val="15"/>
                    <w:rPr>
                      <w:color w:val="auto"/>
                    </w:rPr>
                  </w:pPr>
                  <w:r>
                    <w:rPr>
                      <w:color w:val="auto"/>
                    </w:rPr>
                    <w:t>序号</w:t>
                  </w:r>
                </w:p>
              </w:tc>
              <w:tc>
                <w:tcPr>
                  <w:tcW w:w="724"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物料名称</w:t>
                  </w:r>
                </w:p>
              </w:tc>
              <w:tc>
                <w:tcPr>
                  <w:tcW w:w="904"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CAS号</w:t>
                  </w:r>
                </w:p>
              </w:tc>
              <w:tc>
                <w:tcPr>
                  <w:tcW w:w="773"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贮存方式</w:t>
                  </w:r>
                </w:p>
              </w:tc>
              <w:tc>
                <w:tcPr>
                  <w:tcW w:w="944"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厂内设计最大储存量q（kg）</w:t>
                  </w:r>
                </w:p>
              </w:tc>
              <w:tc>
                <w:tcPr>
                  <w:tcW w:w="775"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贮存场所临界量Q（t）</w:t>
                  </w:r>
                </w:p>
              </w:tc>
              <w:tc>
                <w:tcPr>
                  <w:tcW w:w="488" w:type="pct"/>
                  <w:tcBorders>
                    <w:top w:val="single" w:color="auto" w:sz="12" w:space="0"/>
                    <w:left w:val="nil"/>
                    <w:bottom w:val="single" w:color="auto" w:sz="4" w:space="0"/>
                    <w:right w:val="single" w:color="auto" w:sz="12" w:space="0"/>
                  </w:tcBorders>
                  <w:noWrap w:val="0"/>
                  <w:vAlign w:val="center"/>
                </w:tcPr>
                <w:p>
                  <w:pPr>
                    <w:pStyle w:val="15"/>
                    <w:rPr>
                      <w:color w:val="auto"/>
                    </w:rPr>
                  </w:pPr>
                  <w:r>
                    <w:rPr>
                      <w:color w:val="auto"/>
                    </w:rPr>
                    <w:t>q/Q</w:t>
                  </w:r>
                </w:p>
              </w:tc>
            </w:tr>
            <w:tr>
              <w:tblPrEx>
                <w:tblCellMar>
                  <w:top w:w="0" w:type="dxa"/>
                  <w:left w:w="108" w:type="dxa"/>
                  <w:bottom w:w="0" w:type="dxa"/>
                  <w:right w:w="108" w:type="dxa"/>
                </w:tblCellMar>
              </w:tblPrEx>
              <w:trPr>
                <w:trHeight w:val="285" w:hRule="atLeast"/>
              </w:trPr>
              <w:tc>
                <w:tcPr>
                  <w:tcW w:w="391" w:type="pct"/>
                  <w:tcBorders>
                    <w:top w:val="nil"/>
                    <w:left w:val="single" w:color="auto" w:sz="12" w:space="0"/>
                    <w:bottom w:val="single" w:color="auto" w:sz="4" w:space="0"/>
                    <w:right w:val="single" w:color="auto" w:sz="4" w:space="0"/>
                  </w:tcBorders>
                  <w:noWrap w:val="0"/>
                  <w:vAlign w:val="center"/>
                </w:tcPr>
                <w:p>
                  <w:pPr>
                    <w:pStyle w:val="15"/>
                    <w:rPr>
                      <w:color w:val="auto"/>
                    </w:rPr>
                  </w:pPr>
                  <w:r>
                    <w:rPr>
                      <w:color w:val="auto"/>
                    </w:rPr>
                    <w:t>1</w:t>
                  </w:r>
                </w:p>
              </w:tc>
              <w:tc>
                <w:tcPr>
                  <w:tcW w:w="724" w:type="pct"/>
                  <w:tcBorders>
                    <w:top w:val="nil"/>
                    <w:left w:val="nil"/>
                    <w:bottom w:val="single" w:color="auto" w:sz="4" w:space="0"/>
                    <w:right w:val="single" w:color="auto" w:sz="4" w:space="0"/>
                  </w:tcBorders>
                  <w:noWrap w:val="0"/>
                  <w:vAlign w:val="center"/>
                </w:tcPr>
                <w:p>
                  <w:pPr>
                    <w:pStyle w:val="15"/>
                    <w:rPr>
                      <w:color w:val="auto"/>
                    </w:rPr>
                  </w:pPr>
                  <w:r>
                    <w:rPr>
                      <w:color w:val="auto"/>
                    </w:rPr>
                    <w:t>润滑油</w:t>
                  </w:r>
                </w:p>
              </w:tc>
              <w:tc>
                <w:tcPr>
                  <w:tcW w:w="904" w:type="pct"/>
                  <w:tcBorders>
                    <w:top w:val="nil"/>
                    <w:left w:val="nil"/>
                    <w:bottom w:val="single" w:color="auto" w:sz="4" w:space="0"/>
                    <w:right w:val="single" w:color="auto" w:sz="4" w:space="0"/>
                  </w:tcBorders>
                  <w:noWrap w:val="0"/>
                  <w:vAlign w:val="center"/>
                </w:tcPr>
                <w:p>
                  <w:pPr>
                    <w:pStyle w:val="15"/>
                    <w:rPr>
                      <w:color w:val="auto"/>
                    </w:rPr>
                  </w:pPr>
                  <w:r>
                    <w:rPr>
                      <w:color w:val="auto"/>
                    </w:rPr>
                    <w:t>/</w:t>
                  </w:r>
                </w:p>
              </w:tc>
              <w:tc>
                <w:tcPr>
                  <w:tcW w:w="773" w:type="pct"/>
                  <w:tcBorders>
                    <w:top w:val="nil"/>
                    <w:left w:val="nil"/>
                    <w:bottom w:val="single" w:color="auto" w:sz="4" w:space="0"/>
                    <w:right w:val="single" w:color="auto" w:sz="4" w:space="0"/>
                  </w:tcBorders>
                  <w:noWrap w:val="0"/>
                  <w:vAlign w:val="center"/>
                </w:tcPr>
                <w:p>
                  <w:pPr>
                    <w:pStyle w:val="15"/>
                    <w:rPr>
                      <w:color w:val="auto"/>
                    </w:rPr>
                  </w:pPr>
                  <w:r>
                    <w:rPr>
                      <w:color w:val="auto"/>
                    </w:rPr>
                    <w:t>180kg桶装</w:t>
                  </w:r>
                </w:p>
              </w:tc>
              <w:tc>
                <w:tcPr>
                  <w:tcW w:w="944" w:type="pct"/>
                  <w:tcBorders>
                    <w:top w:val="nil"/>
                    <w:left w:val="nil"/>
                    <w:bottom w:val="single" w:color="auto" w:sz="4" w:space="0"/>
                    <w:right w:val="single" w:color="auto" w:sz="4" w:space="0"/>
                  </w:tcBorders>
                  <w:noWrap w:val="0"/>
                  <w:vAlign w:val="center"/>
                </w:tcPr>
                <w:p>
                  <w:pPr>
                    <w:pStyle w:val="15"/>
                    <w:rPr>
                      <w:color w:val="auto"/>
                    </w:rPr>
                  </w:pPr>
                  <w:r>
                    <w:rPr>
                      <w:color w:val="auto"/>
                    </w:rPr>
                    <w:t>1</w:t>
                  </w:r>
                </w:p>
              </w:tc>
              <w:tc>
                <w:tcPr>
                  <w:tcW w:w="775" w:type="pct"/>
                  <w:tcBorders>
                    <w:top w:val="nil"/>
                    <w:left w:val="nil"/>
                    <w:bottom w:val="single" w:color="auto" w:sz="4" w:space="0"/>
                    <w:right w:val="single" w:color="auto" w:sz="4" w:space="0"/>
                  </w:tcBorders>
                  <w:noWrap w:val="0"/>
                  <w:vAlign w:val="center"/>
                </w:tcPr>
                <w:p>
                  <w:pPr>
                    <w:pStyle w:val="15"/>
                    <w:rPr>
                      <w:color w:val="auto"/>
                    </w:rPr>
                  </w:pPr>
                  <w:r>
                    <w:rPr>
                      <w:color w:val="auto"/>
                    </w:rPr>
                    <w:t>2500</w:t>
                  </w:r>
                </w:p>
              </w:tc>
              <w:tc>
                <w:tcPr>
                  <w:tcW w:w="488" w:type="pct"/>
                  <w:tcBorders>
                    <w:top w:val="nil"/>
                    <w:left w:val="nil"/>
                    <w:bottom w:val="single" w:color="auto" w:sz="4" w:space="0"/>
                    <w:right w:val="single" w:color="auto" w:sz="12" w:space="0"/>
                  </w:tcBorders>
                  <w:noWrap w:val="0"/>
                  <w:vAlign w:val="center"/>
                </w:tcPr>
                <w:p>
                  <w:pPr>
                    <w:pStyle w:val="15"/>
                    <w:rPr>
                      <w:color w:val="auto"/>
                    </w:rPr>
                  </w:pPr>
                  <w:r>
                    <w:rPr>
                      <w:color w:val="auto"/>
                    </w:rPr>
                    <w:t>0.0004</w:t>
                  </w:r>
                </w:p>
              </w:tc>
            </w:tr>
            <w:tr>
              <w:tblPrEx>
                <w:tblCellMar>
                  <w:top w:w="0" w:type="dxa"/>
                  <w:left w:w="108" w:type="dxa"/>
                  <w:bottom w:w="0" w:type="dxa"/>
                  <w:right w:w="108" w:type="dxa"/>
                </w:tblCellMar>
              </w:tblPrEx>
              <w:trPr>
                <w:trHeight w:val="285" w:hRule="atLeast"/>
              </w:trPr>
              <w:tc>
                <w:tcPr>
                  <w:tcW w:w="4512" w:type="pct"/>
                  <w:gridSpan w:val="6"/>
                  <w:tcBorders>
                    <w:top w:val="single" w:color="auto" w:sz="4" w:space="0"/>
                    <w:left w:val="single" w:color="auto" w:sz="12" w:space="0"/>
                    <w:bottom w:val="single" w:color="auto" w:sz="12" w:space="0"/>
                    <w:right w:val="single" w:color="auto" w:sz="4" w:space="0"/>
                  </w:tcBorders>
                  <w:noWrap w:val="0"/>
                  <w:vAlign w:val="center"/>
                </w:tcPr>
                <w:p>
                  <w:pPr>
                    <w:pStyle w:val="15"/>
                    <w:rPr>
                      <w:color w:val="auto"/>
                    </w:rPr>
                  </w:pPr>
                  <w:r>
                    <w:rPr>
                      <w:color w:val="auto"/>
                    </w:rPr>
                    <w:t>Q</w:t>
                  </w:r>
                </w:p>
              </w:tc>
              <w:tc>
                <w:tcPr>
                  <w:tcW w:w="488" w:type="pct"/>
                  <w:tcBorders>
                    <w:top w:val="nil"/>
                    <w:left w:val="nil"/>
                    <w:bottom w:val="single" w:color="auto" w:sz="12" w:space="0"/>
                    <w:right w:val="single" w:color="auto" w:sz="12" w:space="0"/>
                  </w:tcBorders>
                  <w:noWrap w:val="0"/>
                  <w:vAlign w:val="center"/>
                </w:tcPr>
                <w:p>
                  <w:pPr>
                    <w:pStyle w:val="15"/>
                    <w:rPr>
                      <w:color w:val="auto"/>
                    </w:rPr>
                  </w:pPr>
                  <w:r>
                    <w:rPr>
                      <w:color w:val="auto"/>
                    </w:rPr>
                    <w:t xml:space="preserve">0.0004 </w:t>
                  </w:r>
                </w:p>
              </w:tc>
            </w:tr>
          </w:tbl>
          <w:p>
            <w:pPr>
              <w:adjustRightInd w:val="0"/>
              <w:snapToGrid w:val="0"/>
              <w:ind w:firstLine="480"/>
              <w:jc w:val="left"/>
              <w:rPr>
                <w:rFonts w:hint="default"/>
                <w:color w:val="auto"/>
              </w:rPr>
            </w:pPr>
            <w:r>
              <w:rPr>
                <w:color w:val="auto"/>
              </w:rPr>
              <w:t>项目Q=0.0004＜1，</w:t>
            </w:r>
            <w:r>
              <w:rPr>
                <w:rFonts w:hint="default"/>
                <w:color w:val="auto"/>
              </w:rPr>
              <w:t>该项目风险潜势为I。</w:t>
            </w:r>
          </w:p>
          <w:p>
            <w:pPr>
              <w:pStyle w:val="22"/>
              <w:rPr>
                <w:rFonts w:ascii="Times New Roman" w:hAnsi="Times New Roman"/>
                <w:color w:val="auto"/>
              </w:rPr>
            </w:pPr>
            <w:r>
              <w:rPr>
                <w:rFonts w:ascii="Times New Roman" w:hAnsi="Times New Roman"/>
                <w:color w:val="auto"/>
              </w:rPr>
              <w:t>4.2.5.3评价等级</w:t>
            </w:r>
          </w:p>
          <w:p>
            <w:pPr>
              <w:bidi w:val="0"/>
              <w:rPr>
                <w:color w:val="auto"/>
              </w:rPr>
            </w:pPr>
            <w:r>
              <w:rPr>
                <w:color w:val="auto"/>
              </w:rPr>
              <w:t>根据建设项目涉及的物质工艺系统危险性和所在地的环境敏感性确定境风险潜势，按照表4.2-</w:t>
            </w:r>
            <w:r>
              <w:rPr>
                <w:rFonts w:hint="eastAsia"/>
                <w:color w:val="auto"/>
                <w:lang w:val="en-US" w:eastAsia="zh-CN"/>
              </w:rPr>
              <w:t>7</w:t>
            </w:r>
            <w:r>
              <w:rPr>
                <w:color w:val="auto"/>
              </w:rPr>
              <w:t>确定评价工作等级。风险潜势为</w:t>
            </w:r>
            <w:r>
              <w:rPr>
                <w:rFonts w:hint="eastAsia"/>
                <w:color w:val="auto"/>
              </w:rPr>
              <w:t>Ⅳ</w:t>
            </w:r>
            <w:r>
              <w:rPr>
                <w:color w:val="auto"/>
              </w:rPr>
              <w:t>及以上，进行一级评价；风险潜势为</w:t>
            </w:r>
            <w:r>
              <w:rPr>
                <w:rFonts w:hint="eastAsia"/>
                <w:color w:val="auto"/>
              </w:rPr>
              <w:t>Ⅲ</w:t>
            </w:r>
            <w:r>
              <w:rPr>
                <w:color w:val="auto"/>
              </w:rPr>
              <w:t>，进行二级评价；风险潜势为</w:t>
            </w:r>
            <w:r>
              <w:rPr>
                <w:rFonts w:hint="eastAsia"/>
                <w:color w:val="auto"/>
              </w:rPr>
              <w:t>Ⅱ</w:t>
            </w:r>
            <w:r>
              <w:rPr>
                <w:color w:val="auto"/>
              </w:rPr>
              <w:t>，进行三级评价；风险潜势为</w:t>
            </w:r>
            <w:r>
              <w:rPr>
                <w:rFonts w:hint="eastAsia"/>
                <w:color w:val="auto"/>
              </w:rPr>
              <w:t>Ⅰ</w:t>
            </w:r>
            <w:r>
              <w:rPr>
                <w:color w:val="auto"/>
              </w:rPr>
              <w:t>，可开展简单分析。</w:t>
            </w:r>
          </w:p>
          <w:p>
            <w:pPr>
              <w:pStyle w:val="13"/>
              <w:rPr>
                <w:color w:val="auto"/>
              </w:rPr>
            </w:pPr>
            <w:r>
              <w:rPr>
                <w:color w:val="auto"/>
              </w:rPr>
              <w:t>表4.2-</w:t>
            </w:r>
            <w:r>
              <w:rPr>
                <w:rFonts w:hint="eastAsia"/>
                <w:color w:val="auto"/>
                <w:lang w:val="en-US" w:eastAsia="zh-CN"/>
              </w:rPr>
              <w:t>7</w:t>
            </w:r>
            <w:r>
              <w:rPr>
                <w:color w:val="auto"/>
              </w:rPr>
              <w:t>风险评价等级判定表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89"/>
              <w:gridCol w:w="1816"/>
              <w:gridCol w:w="1816"/>
              <w:gridCol w:w="1364"/>
              <w:gridCol w:w="1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6" w:type="pct"/>
                  <w:tcBorders>
                    <w:top w:val="single" w:color="auto" w:sz="12" w:space="0"/>
                    <w:left w:val="single" w:color="auto" w:sz="12" w:space="0"/>
                    <w:bottom w:val="single" w:color="auto" w:sz="4" w:space="0"/>
                    <w:right w:val="single" w:color="auto" w:sz="4" w:space="0"/>
                  </w:tcBorders>
                  <w:noWrap w:val="0"/>
                  <w:vAlign w:val="center"/>
                </w:tcPr>
                <w:p>
                  <w:pPr>
                    <w:pStyle w:val="15"/>
                    <w:rPr>
                      <w:color w:val="auto"/>
                    </w:rPr>
                  </w:pPr>
                  <w:r>
                    <w:rPr>
                      <w:color w:val="auto"/>
                    </w:rPr>
                    <w:t>环境风险潜势</w:t>
                  </w:r>
                </w:p>
              </w:tc>
              <w:tc>
                <w:tcPr>
                  <w:tcW w:w="1081"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IV、IV+</w:t>
                  </w:r>
                </w:p>
              </w:tc>
              <w:tc>
                <w:tcPr>
                  <w:tcW w:w="1081"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III</w:t>
                  </w:r>
                </w:p>
              </w:tc>
              <w:tc>
                <w:tcPr>
                  <w:tcW w:w="812" w:type="pct"/>
                  <w:tcBorders>
                    <w:top w:val="single" w:color="auto" w:sz="12" w:space="0"/>
                    <w:left w:val="nil"/>
                    <w:bottom w:val="single" w:color="auto" w:sz="4" w:space="0"/>
                    <w:right w:val="single" w:color="auto" w:sz="4" w:space="0"/>
                  </w:tcBorders>
                  <w:noWrap w:val="0"/>
                  <w:vAlign w:val="center"/>
                </w:tcPr>
                <w:p>
                  <w:pPr>
                    <w:pStyle w:val="15"/>
                    <w:rPr>
                      <w:color w:val="auto"/>
                    </w:rPr>
                  </w:pPr>
                  <w:r>
                    <w:rPr>
                      <w:color w:val="auto"/>
                    </w:rPr>
                    <w:t>II</w:t>
                  </w:r>
                </w:p>
              </w:tc>
              <w:tc>
                <w:tcPr>
                  <w:tcW w:w="1080" w:type="pct"/>
                  <w:tcBorders>
                    <w:top w:val="single" w:color="auto" w:sz="12" w:space="0"/>
                    <w:left w:val="nil"/>
                    <w:bottom w:val="single" w:color="auto" w:sz="4" w:space="0"/>
                    <w:right w:val="single" w:color="auto" w:sz="12" w:space="0"/>
                  </w:tcBorders>
                  <w:noWrap w:val="0"/>
                  <w:vAlign w:val="center"/>
                </w:tcPr>
                <w:p>
                  <w:pPr>
                    <w:pStyle w:val="15"/>
                    <w:rPr>
                      <w:color w:val="auto"/>
                    </w:rPr>
                  </w:pPr>
                  <w:r>
                    <w:rPr>
                      <w:color w:val="auto"/>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46" w:type="pct"/>
                  <w:tcBorders>
                    <w:top w:val="single" w:color="auto" w:sz="4" w:space="0"/>
                    <w:left w:val="single" w:color="auto" w:sz="12" w:space="0"/>
                    <w:bottom w:val="single" w:color="auto" w:sz="12" w:space="0"/>
                    <w:right w:val="single" w:color="auto" w:sz="4" w:space="0"/>
                  </w:tcBorders>
                  <w:shd w:val="clear" w:color="auto" w:fill="auto"/>
                  <w:noWrap w:val="0"/>
                  <w:vAlign w:val="center"/>
                </w:tcPr>
                <w:p>
                  <w:pPr>
                    <w:pStyle w:val="15"/>
                    <w:rPr>
                      <w:color w:val="auto"/>
                    </w:rPr>
                  </w:pPr>
                  <w:r>
                    <w:rPr>
                      <w:color w:val="auto"/>
                    </w:rPr>
                    <w:t>评价工作等级</w:t>
                  </w:r>
                </w:p>
              </w:tc>
              <w:tc>
                <w:tcPr>
                  <w:tcW w:w="1081" w:type="pct"/>
                  <w:tcBorders>
                    <w:top w:val="single" w:color="auto" w:sz="4" w:space="0"/>
                    <w:left w:val="nil"/>
                    <w:bottom w:val="single" w:color="auto" w:sz="12" w:space="0"/>
                    <w:right w:val="single" w:color="auto" w:sz="4" w:space="0"/>
                  </w:tcBorders>
                  <w:shd w:val="clear" w:color="auto" w:fill="auto"/>
                  <w:noWrap w:val="0"/>
                  <w:vAlign w:val="center"/>
                </w:tcPr>
                <w:p>
                  <w:pPr>
                    <w:pStyle w:val="15"/>
                    <w:rPr>
                      <w:color w:val="auto"/>
                    </w:rPr>
                  </w:pPr>
                  <w:r>
                    <w:rPr>
                      <w:color w:val="auto"/>
                    </w:rPr>
                    <w:t>一</w:t>
                  </w:r>
                </w:p>
              </w:tc>
              <w:tc>
                <w:tcPr>
                  <w:tcW w:w="1081" w:type="pct"/>
                  <w:tcBorders>
                    <w:top w:val="single" w:color="auto" w:sz="4" w:space="0"/>
                    <w:left w:val="nil"/>
                    <w:bottom w:val="single" w:color="auto" w:sz="12" w:space="0"/>
                    <w:right w:val="single" w:color="auto" w:sz="4" w:space="0"/>
                  </w:tcBorders>
                  <w:shd w:val="clear" w:color="auto" w:fill="auto"/>
                  <w:noWrap w:val="0"/>
                  <w:vAlign w:val="center"/>
                </w:tcPr>
                <w:p>
                  <w:pPr>
                    <w:pStyle w:val="15"/>
                    <w:rPr>
                      <w:color w:val="auto"/>
                    </w:rPr>
                  </w:pPr>
                  <w:r>
                    <w:rPr>
                      <w:color w:val="auto"/>
                    </w:rPr>
                    <w:t>二</w:t>
                  </w:r>
                </w:p>
              </w:tc>
              <w:tc>
                <w:tcPr>
                  <w:tcW w:w="812" w:type="pct"/>
                  <w:tcBorders>
                    <w:top w:val="single" w:color="auto" w:sz="4" w:space="0"/>
                    <w:left w:val="nil"/>
                    <w:bottom w:val="single" w:color="auto" w:sz="12" w:space="0"/>
                    <w:right w:val="single" w:color="auto" w:sz="4" w:space="0"/>
                  </w:tcBorders>
                  <w:shd w:val="clear" w:color="auto" w:fill="FFFFFF"/>
                  <w:noWrap w:val="0"/>
                  <w:vAlign w:val="center"/>
                </w:tcPr>
                <w:p>
                  <w:pPr>
                    <w:pStyle w:val="15"/>
                    <w:rPr>
                      <w:color w:val="auto"/>
                    </w:rPr>
                  </w:pPr>
                  <w:r>
                    <w:rPr>
                      <w:color w:val="auto"/>
                    </w:rPr>
                    <w:t>三</w:t>
                  </w:r>
                </w:p>
              </w:tc>
              <w:tc>
                <w:tcPr>
                  <w:tcW w:w="1080" w:type="pct"/>
                  <w:tcBorders>
                    <w:top w:val="single" w:color="auto" w:sz="4" w:space="0"/>
                    <w:left w:val="nil"/>
                    <w:bottom w:val="single" w:color="auto" w:sz="12" w:space="0"/>
                    <w:right w:val="single" w:color="auto" w:sz="12" w:space="0"/>
                  </w:tcBorders>
                  <w:shd w:val="clear" w:color="auto" w:fill="D9D9D9"/>
                  <w:noWrap w:val="0"/>
                  <w:vAlign w:val="center"/>
                </w:tcPr>
                <w:p>
                  <w:pPr>
                    <w:pStyle w:val="15"/>
                    <w:rPr>
                      <w:color w:val="auto"/>
                    </w:rPr>
                  </w:pPr>
                  <w:r>
                    <w:rPr>
                      <w:color w:val="auto"/>
                    </w:rPr>
                    <w:t>简单分析</w:t>
                  </w:r>
                </w:p>
              </w:tc>
            </w:tr>
          </w:tbl>
          <w:p>
            <w:pPr>
              <w:bidi w:val="0"/>
              <w:rPr>
                <w:color w:val="auto"/>
              </w:rPr>
            </w:pPr>
            <w:r>
              <w:rPr>
                <w:color w:val="auto"/>
              </w:rPr>
              <w:t>由此可知，项目环境风险评价只需参照《建设项目环境风险评价技术导则》（HJ169-2018，以下简称“导则”）附录A进行简单分析。</w:t>
            </w:r>
          </w:p>
          <w:p>
            <w:pPr>
              <w:pStyle w:val="22"/>
              <w:rPr>
                <w:color w:val="auto"/>
              </w:rPr>
            </w:pPr>
            <w:r>
              <w:rPr>
                <w:rFonts w:hint="default" w:ascii="Times New Roman" w:hAnsi="Times New Roman" w:cs="Times New Roman"/>
                <w:color w:val="auto"/>
              </w:rPr>
              <w:t>4.2.5.4</w:t>
            </w:r>
            <w:r>
              <w:rPr>
                <w:color w:val="auto"/>
              </w:rPr>
              <w:t>风险防范措施</w:t>
            </w:r>
          </w:p>
          <w:p>
            <w:pPr>
              <w:bidi w:val="0"/>
              <w:rPr>
                <w:color w:val="auto"/>
              </w:rPr>
            </w:pPr>
            <w:r>
              <w:rPr>
                <w:rFonts w:hint="eastAsia"/>
                <w:color w:val="auto"/>
              </w:rPr>
              <w:t>①</w:t>
            </w:r>
            <w:r>
              <w:rPr>
                <w:color w:val="auto"/>
              </w:rPr>
              <w:t>清洗废水收集池配套的2个自动感应泵应加强日常的维护工作，杜绝发生自动感应泵故障情况，致使清洗废水收集池内的污水无法及时抽取至</w:t>
            </w:r>
            <w:r>
              <w:rPr>
                <w:rFonts w:hint="eastAsia"/>
                <w:color w:val="auto"/>
                <w:lang w:val="en-US" w:eastAsia="zh-CN"/>
              </w:rPr>
              <w:t>二</w:t>
            </w:r>
            <w:r>
              <w:rPr>
                <w:color w:val="auto"/>
              </w:rPr>
              <w:t>级沉淀罐处理，满溢出收集池的情况。</w:t>
            </w:r>
          </w:p>
          <w:p>
            <w:pPr>
              <w:bidi w:val="0"/>
              <w:rPr>
                <w:color w:val="auto"/>
              </w:rPr>
            </w:pPr>
            <w:r>
              <w:rPr>
                <w:rFonts w:hint="eastAsia"/>
                <w:color w:val="auto"/>
              </w:rPr>
              <w:t>②</w:t>
            </w:r>
            <w:r>
              <w:rPr>
                <w:color w:val="auto"/>
              </w:rPr>
              <w:t>初期雨水沉淀池配套的</w:t>
            </w:r>
            <w:r>
              <w:rPr>
                <w:rFonts w:hint="eastAsia"/>
                <w:color w:val="auto"/>
                <w:lang w:val="en-US" w:eastAsia="zh-CN"/>
              </w:rPr>
              <w:t>1</w:t>
            </w:r>
            <w:r>
              <w:rPr>
                <w:color w:val="auto"/>
              </w:rPr>
              <w:t>个自动感应泵应加强日常的维护工作，同时应做好员工培训工作，告知员工在雨天，尤其是暂时性的大雨天，应及时做好初期雨水沉淀池切换阀门的切换工作，截留前15分钟的初期雨水，使其不外流出厂区。</w:t>
            </w:r>
          </w:p>
          <w:p>
            <w:pPr>
              <w:bidi w:val="0"/>
              <w:rPr>
                <w:color w:val="auto"/>
              </w:rPr>
            </w:pPr>
            <w:r>
              <w:rPr>
                <w:rFonts w:hint="eastAsia"/>
                <w:color w:val="auto"/>
              </w:rPr>
              <w:t>③</w:t>
            </w:r>
            <w:r>
              <w:rPr>
                <w:color w:val="auto"/>
              </w:rPr>
              <w:t>加强废气和废水治理设施的日常维护，确保废气和废水治理设施正常运行。</w:t>
            </w:r>
          </w:p>
          <w:p>
            <w:pPr>
              <w:bidi w:val="0"/>
              <w:rPr>
                <w:color w:val="auto"/>
              </w:rPr>
            </w:pPr>
            <w:r>
              <w:rPr>
                <w:rFonts w:hint="eastAsia"/>
                <w:color w:val="auto"/>
              </w:rPr>
              <w:t>④</w:t>
            </w:r>
            <w:r>
              <w:rPr>
                <w:color w:val="auto"/>
              </w:rPr>
              <w:t>做好废机油的贮存工作，应暂存于危险废物暂存间内，不应随意堆放在生产车间内，定期委托有资质的单位处置。</w:t>
            </w:r>
          </w:p>
          <w:p>
            <w:pPr>
              <w:pStyle w:val="22"/>
              <w:rPr>
                <w:rFonts w:hint="default"/>
                <w:color w:val="auto"/>
                <w:lang w:val="en-US"/>
              </w:rPr>
            </w:pPr>
            <w:r>
              <w:rPr>
                <w:rFonts w:hint="default" w:ascii="Times New Roman" w:hAnsi="Times New Roman" w:cs="Times New Roman"/>
                <w:color w:val="auto"/>
              </w:rPr>
              <w:t>4.2.5.</w:t>
            </w:r>
            <w:r>
              <w:rPr>
                <w:rFonts w:hint="eastAsia" w:ascii="Times New Roman" w:hAnsi="Times New Roman" w:cs="Times New Roman"/>
                <w:color w:val="auto"/>
                <w:lang w:val="en-US" w:eastAsia="zh-CN"/>
              </w:rPr>
              <w:t>5结论</w:t>
            </w:r>
          </w:p>
          <w:p>
            <w:pPr>
              <w:bidi w:val="0"/>
              <w:rPr>
                <w:color w:val="auto"/>
              </w:rPr>
            </w:pPr>
            <w:r>
              <w:rPr>
                <w:color w:val="auto"/>
              </w:rPr>
              <w:t>本项目风险评价等级为简单分析，但建设单位依然要采取了相关安全生产保障和环境风险事故防范措施，将建设项目风险降至最低程度，可使项目建设、营运中的环境风险控制在可接受的范围内。因此，该项目建设从环境风险的角度认为是可控的。</w:t>
            </w:r>
          </w:p>
          <w:p>
            <w:pPr>
              <w:pStyle w:val="17"/>
              <w:adjustRightInd w:val="0"/>
              <w:snapToGrid w:val="0"/>
              <w:rPr>
                <w:color w:val="auto"/>
              </w:rPr>
            </w:pPr>
            <w:r>
              <w:rPr>
                <w:color w:val="auto"/>
              </w:rPr>
              <w:t>4.2.6土壤环境影响分析</w:t>
            </w:r>
          </w:p>
          <w:p>
            <w:pPr>
              <w:bidi w:val="0"/>
              <w:rPr>
                <w:color w:val="auto"/>
              </w:rPr>
            </w:pPr>
            <w:r>
              <w:rPr>
                <w:color w:val="auto"/>
              </w:rPr>
              <w:t>根据《环境影响评价技术导则土壤环境（试行）》（HJ964-2018）附录A土壤环境影评项目类别，本项目属于制造业，金属冶炼和压延加工及非金属矿物制品中的其他，项目类别为</w:t>
            </w:r>
            <w:r>
              <w:rPr>
                <w:rFonts w:hint="eastAsia"/>
                <w:color w:val="auto"/>
              </w:rPr>
              <w:t>Ⅲ</w:t>
            </w:r>
            <w:r>
              <w:rPr>
                <w:color w:val="auto"/>
              </w:rPr>
              <w:t>类。项目占地规模</w:t>
            </w:r>
            <w:r>
              <w:rPr>
                <w:rFonts w:hint="eastAsia"/>
                <w:color w:val="auto"/>
                <w:lang w:val="en-US" w:eastAsia="zh-CN"/>
              </w:rPr>
              <w:t>13333m</w:t>
            </w:r>
            <w:r>
              <w:rPr>
                <w:rFonts w:hint="eastAsia"/>
                <w:color w:val="auto"/>
                <w:vertAlign w:val="superscript"/>
                <w:lang w:val="en-US" w:eastAsia="zh-CN"/>
              </w:rPr>
              <w:t>2</w:t>
            </w:r>
            <w:r>
              <w:rPr>
                <w:color w:val="auto"/>
              </w:rPr>
              <w:t>，为小型项目，项目评价范围为占地范围+厂界外扩0.05km范围内，根据现场调查该项目评价范围内存在居民点。根据导则表4污染影响型评价工作等级划分表，</w:t>
            </w:r>
            <w:r>
              <w:rPr>
                <w:rFonts w:hint="eastAsia"/>
                <w:color w:val="auto"/>
                <w:lang w:val="en-US" w:eastAsia="zh-CN"/>
              </w:rPr>
              <w:t>项目评价等级为三级，但项目为百胜片区22-25号地块场地平整剩余石料加工扩建项目，不存在土壤污染途径，故</w:t>
            </w:r>
            <w:r>
              <w:rPr>
                <w:color w:val="auto"/>
              </w:rPr>
              <w:t>可不开展土壤环境影响评价。</w:t>
            </w:r>
          </w:p>
          <w:p>
            <w:pPr>
              <w:pStyle w:val="17"/>
              <w:rPr>
                <w:color w:val="auto"/>
              </w:rPr>
            </w:pPr>
            <w:r>
              <w:rPr>
                <w:color w:val="auto"/>
              </w:rPr>
              <w:t>4.2.7地下水环境影响分析</w:t>
            </w:r>
          </w:p>
          <w:p>
            <w:pPr>
              <w:bidi w:val="0"/>
              <w:rPr>
                <w:color w:val="auto"/>
              </w:rPr>
            </w:pPr>
            <w:r>
              <w:rPr>
                <w:color w:val="auto"/>
              </w:rPr>
              <w:t>根据《环境影响评价技术导则地下水环境》（HJ610-2016）附录A行业分类表，本项目属于J非金属矿采选及制品制造，69、石墨及其他非金属矿物制品中其他，项目类别为</w:t>
            </w:r>
            <w:r>
              <w:rPr>
                <w:rFonts w:hint="eastAsia"/>
                <w:color w:val="auto"/>
              </w:rPr>
              <w:t>Ⅳ</w:t>
            </w:r>
            <w:r>
              <w:rPr>
                <w:color w:val="auto"/>
              </w:rPr>
              <w:t>类，不开展地下水环境影响评价。</w:t>
            </w:r>
          </w:p>
          <w:p>
            <w:pPr>
              <w:pStyle w:val="17"/>
              <w:rPr>
                <w:color w:val="auto"/>
              </w:rPr>
            </w:pPr>
            <w:r>
              <w:rPr>
                <w:color w:val="auto"/>
              </w:rPr>
              <w:t>4.2.8生态环境影响</w:t>
            </w:r>
          </w:p>
          <w:p>
            <w:pPr>
              <w:numPr>
                <w:ilvl w:val="0"/>
                <w:numId w:val="3"/>
              </w:numPr>
              <w:bidi w:val="0"/>
              <w:ind w:left="0" w:leftChars="0" w:firstLine="480" w:firstLineChars="200"/>
              <w:rPr>
                <w:rFonts w:hint="eastAsia"/>
                <w:color w:val="auto"/>
              </w:rPr>
            </w:pPr>
            <w:r>
              <w:rPr>
                <w:rFonts w:hint="eastAsia"/>
                <w:color w:val="auto"/>
              </w:rPr>
              <w:t xml:space="preserve">渣石加工生产防治区 </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本工</w:t>
            </w:r>
            <w:r>
              <w:rPr>
                <w:rFonts w:hint="eastAsia" w:eastAsia="宋体" w:cs="Times New Roman"/>
                <w:color w:val="auto"/>
                <w:kern w:val="2"/>
                <w:sz w:val="24"/>
                <w:szCs w:val="21"/>
                <w:lang w:val="en-US" w:eastAsia="zh-CN" w:bidi="ar-SA"/>
              </w:rPr>
              <w:t>程</w:t>
            </w:r>
            <w:r>
              <w:rPr>
                <w:rFonts w:hint="eastAsia" w:ascii="Times New Roman" w:hAnsi="Times New Roman" w:eastAsia="宋体" w:cs="Times New Roman"/>
                <w:color w:val="auto"/>
                <w:kern w:val="2"/>
                <w:sz w:val="24"/>
                <w:szCs w:val="21"/>
                <w:lang w:val="en-US" w:eastAsia="zh-CN" w:bidi="ar-SA"/>
              </w:rPr>
              <w:t>渣石加工生产防治区</w:t>
            </w:r>
            <w:r>
              <w:rPr>
                <w:rFonts w:hint="eastAsia" w:eastAsia="宋体" w:cs="Times New Roman"/>
                <w:color w:val="auto"/>
                <w:kern w:val="2"/>
                <w:sz w:val="24"/>
                <w:szCs w:val="21"/>
                <w:lang w:val="en-US" w:eastAsia="zh-CN" w:bidi="ar-SA"/>
              </w:rPr>
              <w:t>10328m</w:t>
            </w:r>
            <w:r>
              <w:rPr>
                <w:rFonts w:hint="eastAsia" w:eastAsia="宋体" w:cs="Times New Roman"/>
                <w:color w:val="auto"/>
                <w:kern w:val="2"/>
                <w:sz w:val="24"/>
                <w:szCs w:val="21"/>
                <w:vertAlign w:val="superscript"/>
                <w:lang w:val="en-US" w:eastAsia="zh-CN" w:bidi="ar-SA"/>
              </w:rPr>
              <w:t>2</w:t>
            </w:r>
            <w:r>
              <w:rPr>
                <w:rFonts w:hint="eastAsia" w:ascii="Times New Roman" w:hAnsi="Times New Roman" w:eastAsia="宋体" w:cs="Times New Roman"/>
                <w:color w:val="auto"/>
                <w:kern w:val="2"/>
                <w:sz w:val="24"/>
                <w:szCs w:val="21"/>
                <w:lang w:val="en-US" w:eastAsia="zh-CN" w:bidi="ar-SA"/>
              </w:rPr>
              <w:t>，项目施工方案对该区场地周边布设排水沟，排水沟沿线末端增设沉沙池，经沉沙池沉淀后，排入主体工程排水沟；施工结束后，场地及时拆除，按后期用地计划进行建设。</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jc w:val="left"/>
              <w:textAlignment w:val="auto"/>
              <w:rPr>
                <w:rFonts w:hint="eastAsia"/>
                <w:color w:val="auto"/>
                <w:lang w:val="en-US" w:eastAsia="zh-CN"/>
              </w:rPr>
            </w:pPr>
            <w:r>
              <w:rPr>
                <w:rFonts w:hint="eastAsia"/>
                <w:color w:val="auto"/>
                <w:lang w:val="en-US" w:eastAsia="zh-CN"/>
              </w:rPr>
              <w:t>成品堆场</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color w:val="auto"/>
              </w:rPr>
            </w:pPr>
            <w:r>
              <w:rPr>
                <w:rFonts w:hint="eastAsia"/>
                <w:color w:val="auto"/>
              </w:rPr>
              <w:t>本工程共布设 1 处</w:t>
            </w:r>
            <w:r>
              <w:rPr>
                <w:rFonts w:hint="eastAsia"/>
                <w:color w:val="auto"/>
                <w:lang w:val="en-US" w:eastAsia="zh-CN"/>
              </w:rPr>
              <w:t>成品堆</w:t>
            </w:r>
            <w:r>
              <w:rPr>
                <w:rFonts w:hint="eastAsia"/>
                <w:color w:val="auto"/>
              </w:rPr>
              <w:t>场，位于项目区</w:t>
            </w:r>
            <w:r>
              <w:rPr>
                <w:rFonts w:hint="eastAsia"/>
                <w:color w:val="auto"/>
                <w:lang w:val="en-US" w:eastAsia="zh-CN"/>
              </w:rPr>
              <w:t>东北</w:t>
            </w:r>
            <w:r>
              <w:rPr>
                <w:rFonts w:hint="eastAsia"/>
                <w:color w:val="auto"/>
              </w:rPr>
              <w:t>侧位置。</w:t>
            </w:r>
            <w:r>
              <w:rPr>
                <w:rFonts w:hint="eastAsia"/>
                <w:color w:val="auto"/>
                <w:lang w:val="en-US" w:eastAsia="zh-CN"/>
              </w:rPr>
              <w:t>补充</w:t>
            </w:r>
            <w:r>
              <w:rPr>
                <w:rFonts w:hint="eastAsia"/>
                <w:color w:val="auto"/>
              </w:rPr>
              <w:t>临时堆场</w:t>
            </w:r>
            <w:r>
              <w:rPr>
                <w:rFonts w:hint="eastAsia"/>
                <w:color w:val="auto"/>
                <w:lang w:val="en-US" w:eastAsia="zh-CN"/>
              </w:rPr>
              <w:t>的</w:t>
            </w:r>
            <w:r>
              <w:rPr>
                <w:rFonts w:hint="eastAsia" w:ascii="Times New Roman" w:hAnsi="Times New Roman" w:eastAsia="宋体" w:cs="Times New Roman"/>
                <w:color w:val="auto"/>
                <w:kern w:val="2"/>
                <w:sz w:val="24"/>
                <w:szCs w:val="21"/>
                <w:lang w:val="en-US" w:eastAsia="zh-CN" w:bidi="ar-SA"/>
              </w:rPr>
              <w:t>排水沟、沉沙池、苫盖密目网和填土编织袋挡墙</w:t>
            </w:r>
            <w:r>
              <w:rPr>
                <w:rFonts w:hint="eastAsia"/>
                <w:color w:val="auto"/>
              </w:rPr>
              <w:t>等</w:t>
            </w:r>
            <w:r>
              <w:rPr>
                <w:rFonts w:hint="eastAsia"/>
                <w:color w:val="auto"/>
                <w:lang w:val="en-US" w:eastAsia="zh-CN"/>
              </w:rPr>
              <w:t>建设</w:t>
            </w:r>
            <w:r>
              <w:rPr>
                <w:rFonts w:hint="eastAsia"/>
                <w:color w:val="auto"/>
              </w:rPr>
              <w:t>。</w:t>
            </w:r>
          </w:p>
          <w:p>
            <w:pPr>
              <w:pStyle w:val="17"/>
              <w:rPr>
                <w:color w:val="auto"/>
              </w:rPr>
            </w:pPr>
            <w:r>
              <w:rPr>
                <w:color w:val="auto"/>
              </w:rPr>
              <w:t>4.2.9监测要求</w:t>
            </w:r>
          </w:p>
          <w:p>
            <w:pPr>
              <w:pStyle w:val="16"/>
              <w:ind w:firstLine="480"/>
              <w:rPr>
                <w:rFonts w:ascii="Times New Roman" w:hAnsi="Times New Roman"/>
                <w:color w:val="auto"/>
              </w:rPr>
            </w:pPr>
            <w:r>
              <w:rPr>
                <w:rFonts w:ascii="Times New Roman" w:hAnsi="Times New Roman"/>
                <w:color w:val="auto"/>
              </w:rPr>
              <w:t>本项目不设置专门的环境监测机构，建设单位应该根据《排污单位自行监测技术指南-总则》（HJ819-2017）和《排污许可申请与核发技术规范陶瓷砖瓦工业》（HJ954-2018）的要求，对项目营运期开展自行监测。环境监测工作拟由建设单位委托有资质的监测单位按已制定的环境监测计划进行监测。</w:t>
            </w:r>
          </w:p>
          <w:p>
            <w:pPr>
              <w:pStyle w:val="16"/>
              <w:ind w:firstLine="480"/>
              <w:rPr>
                <w:rFonts w:ascii="Times New Roman" w:hAnsi="Times New Roman"/>
                <w:color w:val="auto"/>
              </w:rPr>
            </w:pPr>
            <w:r>
              <w:rPr>
                <w:rFonts w:ascii="Times New Roman" w:hAnsi="Times New Roman"/>
                <w:color w:val="auto"/>
              </w:rPr>
              <w:t>每次监测都应有完整的记录。监测数据应及时整理、统计，按时向管理部门、调度部门报告，做好监测资料的归档工作。本项目环境监测计划详见表4.2-</w:t>
            </w:r>
            <w:r>
              <w:rPr>
                <w:rFonts w:hint="eastAsia" w:ascii="Times New Roman" w:hAnsi="Times New Roman"/>
                <w:color w:val="auto"/>
                <w:lang w:val="en-US" w:eastAsia="zh-CN"/>
              </w:rPr>
              <w:t>8</w:t>
            </w:r>
            <w:r>
              <w:rPr>
                <w:rFonts w:ascii="Times New Roman" w:hAnsi="Times New Roman"/>
                <w:color w:val="auto"/>
              </w:rPr>
              <w:t>。</w:t>
            </w:r>
          </w:p>
          <w:p>
            <w:pPr>
              <w:pStyle w:val="13"/>
              <w:rPr>
                <w:color w:val="auto"/>
              </w:rPr>
            </w:pPr>
            <w:r>
              <w:rPr>
                <w:color w:val="auto"/>
              </w:rPr>
              <w:t>表4.2-</w:t>
            </w:r>
            <w:r>
              <w:rPr>
                <w:rFonts w:hint="eastAsia"/>
                <w:color w:val="auto"/>
                <w:lang w:val="en-US" w:eastAsia="zh-CN"/>
              </w:rPr>
              <w:t>8</w:t>
            </w:r>
            <w:r>
              <w:rPr>
                <w:color w:val="auto"/>
              </w:rPr>
              <w:t>项目监测计划内容一览表</w:t>
            </w:r>
          </w:p>
          <w:tbl>
            <w:tblPr>
              <w:tblStyle w:val="1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3"/>
              <w:gridCol w:w="1332"/>
              <w:gridCol w:w="2322"/>
              <w:gridCol w:w="3129"/>
              <w:gridCol w:w="10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359" w:type="pct"/>
                  <w:noWrap w:val="0"/>
                  <w:vAlign w:val="center"/>
                </w:tcPr>
                <w:p>
                  <w:pPr>
                    <w:pStyle w:val="15"/>
                    <w:rPr>
                      <w:color w:val="auto"/>
                    </w:rPr>
                  </w:pPr>
                  <w:r>
                    <w:rPr>
                      <w:color w:val="auto"/>
                    </w:rPr>
                    <w:t>序号</w:t>
                  </w:r>
                </w:p>
              </w:tc>
              <w:tc>
                <w:tcPr>
                  <w:tcW w:w="793" w:type="pct"/>
                  <w:noWrap w:val="0"/>
                  <w:vAlign w:val="center"/>
                </w:tcPr>
                <w:p>
                  <w:pPr>
                    <w:pStyle w:val="15"/>
                    <w:rPr>
                      <w:color w:val="auto"/>
                    </w:rPr>
                  </w:pPr>
                  <w:r>
                    <w:rPr>
                      <w:color w:val="auto"/>
                    </w:rPr>
                    <w:t>污染源名称</w:t>
                  </w:r>
                </w:p>
              </w:tc>
              <w:tc>
                <w:tcPr>
                  <w:tcW w:w="1382" w:type="pct"/>
                  <w:noWrap w:val="0"/>
                  <w:vAlign w:val="center"/>
                </w:tcPr>
                <w:p>
                  <w:pPr>
                    <w:pStyle w:val="15"/>
                    <w:rPr>
                      <w:color w:val="auto"/>
                    </w:rPr>
                  </w:pPr>
                  <w:r>
                    <w:rPr>
                      <w:color w:val="auto"/>
                    </w:rPr>
                    <w:t>监测位置</w:t>
                  </w:r>
                </w:p>
              </w:tc>
              <w:tc>
                <w:tcPr>
                  <w:tcW w:w="1862" w:type="pct"/>
                  <w:noWrap w:val="0"/>
                  <w:vAlign w:val="center"/>
                </w:tcPr>
                <w:p>
                  <w:pPr>
                    <w:pStyle w:val="15"/>
                    <w:rPr>
                      <w:color w:val="auto"/>
                    </w:rPr>
                  </w:pPr>
                  <w:r>
                    <w:rPr>
                      <w:color w:val="auto"/>
                    </w:rPr>
                    <w:t>监测项目</w:t>
                  </w:r>
                </w:p>
              </w:tc>
              <w:tc>
                <w:tcPr>
                  <w:tcW w:w="603" w:type="pct"/>
                  <w:noWrap w:val="0"/>
                  <w:vAlign w:val="center"/>
                </w:tcPr>
                <w:p>
                  <w:pPr>
                    <w:pStyle w:val="15"/>
                    <w:rPr>
                      <w:color w:val="auto"/>
                    </w:rPr>
                  </w:pPr>
                  <w:r>
                    <w:rPr>
                      <w:color w:val="auto"/>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59" w:type="pct"/>
                  <w:noWrap w:val="0"/>
                  <w:vAlign w:val="center"/>
                </w:tcPr>
                <w:p>
                  <w:pPr>
                    <w:pStyle w:val="15"/>
                    <w:rPr>
                      <w:color w:val="auto"/>
                      <w:szCs w:val="24"/>
                    </w:rPr>
                  </w:pPr>
                  <w:r>
                    <w:rPr>
                      <w:color w:val="auto"/>
                      <w:szCs w:val="24"/>
                    </w:rPr>
                    <w:t>1</w:t>
                  </w:r>
                </w:p>
              </w:tc>
              <w:tc>
                <w:tcPr>
                  <w:tcW w:w="793" w:type="pct"/>
                  <w:noWrap w:val="0"/>
                  <w:vAlign w:val="center"/>
                </w:tcPr>
                <w:p>
                  <w:pPr>
                    <w:pStyle w:val="15"/>
                    <w:rPr>
                      <w:color w:val="auto"/>
                      <w:szCs w:val="24"/>
                    </w:rPr>
                  </w:pPr>
                  <w:r>
                    <w:rPr>
                      <w:color w:val="auto"/>
                      <w:szCs w:val="24"/>
                    </w:rPr>
                    <w:t>废气</w:t>
                  </w:r>
                </w:p>
              </w:tc>
              <w:tc>
                <w:tcPr>
                  <w:tcW w:w="1382" w:type="pct"/>
                  <w:noWrap w:val="0"/>
                  <w:vAlign w:val="center"/>
                </w:tcPr>
                <w:p>
                  <w:pPr>
                    <w:pStyle w:val="15"/>
                    <w:rPr>
                      <w:color w:val="auto"/>
                    </w:rPr>
                  </w:pPr>
                  <w:r>
                    <w:rPr>
                      <w:color w:val="auto"/>
                    </w:rPr>
                    <w:t>厂界上下风向</w:t>
                  </w:r>
                </w:p>
              </w:tc>
              <w:tc>
                <w:tcPr>
                  <w:tcW w:w="1862" w:type="pct"/>
                  <w:noWrap w:val="0"/>
                  <w:vAlign w:val="center"/>
                </w:tcPr>
                <w:p>
                  <w:pPr>
                    <w:pStyle w:val="15"/>
                    <w:rPr>
                      <w:color w:val="auto"/>
                    </w:rPr>
                  </w:pPr>
                  <w:r>
                    <w:rPr>
                      <w:color w:val="auto"/>
                    </w:rPr>
                    <w:t>颗粒物</w:t>
                  </w:r>
                </w:p>
              </w:tc>
              <w:tc>
                <w:tcPr>
                  <w:tcW w:w="603" w:type="pct"/>
                  <w:noWrap w:val="0"/>
                  <w:vAlign w:val="center"/>
                </w:tcPr>
                <w:p>
                  <w:pPr>
                    <w:pStyle w:val="15"/>
                    <w:rPr>
                      <w:color w:val="auto"/>
                    </w:rPr>
                  </w:pPr>
                  <w:r>
                    <w:rPr>
                      <w:color w:val="auto"/>
                    </w:rPr>
                    <w:t>1次/年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59" w:type="pct"/>
                  <w:noWrap w:val="0"/>
                  <w:vAlign w:val="center"/>
                </w:tcPr>
                <w:p>
                  <w:pPr>
                    <w:pStyle w:val="15"/>
                    <w:rPr>
                      <w:color w:val="auto"/>
                    </w:rPr>
                  </w:pPr>
                  <w:r>
                    <w:rPr>
                      <w:color w:val="auto"/>
                    </w:rPr>
                    <w:t>2</w:t>
                  </w:r>
                </w:p>
              </w:tc>
              <w:tc>
                <w:tcPr>
                  <w:tcW w:w="793" w:type="pct"/>
                  <w:noWrap w:val="0"/>
                  <w:vAlign w:val="center"/>
                </w:tcPr>
                <w:p>
                  <w:pPr>
                    <w:pStyle w:val="15"/>
                    <w:rPr>
                      <w:color w:val="auto"/>
                    </w:rPr>
                  </w:pPr>
                  <w:r>
                    <w:rPr>
                      <w:color w:val="auto"/>
                    </w:rPr>
                    <w:t>噪声</w:t>
                  </w:r>
                </w:p>
              </w:tc>
              <w:tc>
                <w:tcPr>
                  <w:tcW w:w="1382" w:type="pct"/>
                  <w:noWrap w:val="0"/>
                  <w:vAlign w:val="center"/>
                </w:tcPr>
                <w:p>
                  <w:pPr>
                    <w:pStyle w:val="15"/>
                    <w:rPr>
                      <w:color w:val="auto"/>
                    </w:rPr>
                  </w:pPr>
                  <w:r>
                    <w:rPr>
                      <w:color w:val="auto"/>
                    </w:rPr>
                    <w:t>厂界（东南西北侧）</w:t>
                  </w:r>
                </w:p>
              </w:tc>
              <w:tc>
                <w:tcPr>
                  <w:tcW w:w="1862" w:type="pct"/>
                  <w:noWrap w:val="0"/>
                  <w:vAlign w:val="center"/>
                </w:tcPr>
                <w:p>
                  <w:pPr>
                    <w:pStyle w:val="15"/>
                    <w:rPr>
                      <w:color w:val="auto"/>
                    </w:rPr>
                  </w:pPr>
                  <w:r>
                    <w:rPr>
                      <w:color w:val="auto"/>
                    </w:rPr>
                    <w:t>等效A声级</w:t>
                  </w:r>
                </w:p>
              </w:tc>
              <w:tc>
                <w:tcPr>
                  <w:tcW w:w="603" w:type="pct"/>
                  <w:noWrap w:val="0"/>
                  <w:vAlign w:val="center"/>
                </w:tcPr>
                <w:p>
                  <w:pPr>
                    <w:pStyle w:val="15"/>
                    <w:rPr>
                      <w:color w:val="auto"/>
                    </w:rPr>
                  </w:pPr>
                  <w:r>
                    <w:rPr>
                      <w:color w:val="auto"/>
                    </w:rPr>
                    <w:t>1次/季</w:t>
                  </w:r>
                </w:p>
              </w:tc>
            </w:tr>
          </w:tbl>
          <w:p>
            <w:pPr>
              <w:pStyle w:val="2"/>
              <w:ind w:left="0" w:leftChars="0" w:firstLine="0" w:firstLineChars="0"/>
              <w:rPr>
                <w:color w:val="auto"/>
              </w:rPr>
            </w:pPr>
          </w:p>
        </w:tc>
      </w:tr>
    </w:tbl>
    <w:p>
      <w:pPr>
        <w:ind w:left="0" w:leftChars="0" w:firstLine="0" w:firstLineChars="0"/>
        <w:rPr>
          <w:rFonts w:hint="default"/>
          <w:color w:val="auto"/>
          <w:lang w:val="en-US" w:eastAsia="zh-CN"/>
        </w:rPr>
      </w:pPr>
      <w:r>
        <w:rPr>
          <w:rFonts w:hint="default"/>
          <w:color w:val="auto"/>
          <w:lang w:val="en-US" w:eastAsia="zh-CN"/>
        </w:rPr>
        <w:br w:type="page"/>
      </w:r>
    </w:p>
    <w:p>
      <w:pPr>
        <w:pStyle w:val="14"/>
        <w:rPr>
          <w:snapToGrid w:val="0"/>
          <w:color w:val="auto"/>
        </w:rPr>
      </w:pPr>
      <w:r>
        <w:rPr>
          <w:snapToGrid w:val="0"/>
          <w:color w:val="auto"/>
        </w:rPr>
        <w:t>五、</w:t>
      </w:r>
      <w:bookmarkStart w:id="4" w:name="_Hlk54167917"/>
      <w:r>
        <w:rPr>
          <w:snapToGrid w:val="0"/>
          <w:color w:val="auto"/>
        </w:rPr>
        <w:t>环境保护措施监督检查清单</w:t>
      </w:r>
      <w:bookmarkEnd w:id="4"/>
    </w:p>
    <w:tbl>
      <w:tblPr>
        <w:tblStyle w:val="1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45" w:type="dxa"/>
          <w:bottom w:w="0" w:type="dxa"/>
          <w:right w:w="45" w:type="dxa"/>
        </w:tblCellMar>
      </w:tblPr>
      <w:tblGrid>
        <w:gridCol w:w="1058"/>
        <w:gridCol w:w="1080"/>
        <w:gridCol w:w="1327"/>
        <w:gridCol w:w="2568"/>
        <w:gridCol w:w="2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0" w:type="pct"/>
            <w:tcBorders>
              <w:top w:val="single" w:color="auto" w:sz="12" w:space="0"/>
              <w:left w:val="single" w:color="auto" w:sz="12" w:space="0"/>
              <w:bottom w:val="single" w:color="auto" w:sz="4" w:space="0"/>
              <w:right w:val="single" w:color="auto" w:sz="4" w:space="0"/>
              <w:tl2br w:val="single" w:color="auto" w:sz="4" w:space="0"/>
            </w:tcBorders>
            <w:noWrap w:val="0"/>
            <w:vAlign w:val="top"/>
          </w:tcPr>
          <w:p>
            <w:pPr>
              <w:pStyle w:val="15"/>
              <w:ind w:firstLine="525" w:firstLineChars="250"/>
              <w:jc w:val="both"/>
              <w:rPr>
                <w:color w:val="auto"/>
              </w:rPr>
            </w:pPr>
            <w:r>
              <w:rPr>
                <w:color w:val="auto"/>
              </w:rPr>
              <w:t>内容</w:t>
            </w:r>
          </w:p>
          <w:p>
            <w:pPr>
              <w:pStyle w:val="15"/>
              <w:jc w:val="both"/>
              <w:rPr>
                <w:color w:val="auto"/>
              </w:rPr>
            </w:pPr>
          </w:p>
          <w:p>
            <w:pPr>
              <w:pStyle w:val="15"/>
              <w:jc w:val="both"/>
              <w:rPr>
                <w:color w:val="auto"/>
              </w:rPr>
            </w:pPr>
            <w:r>
              <w:rPr>
                <w:color w:val="auto"/>
              </w:rPr>
              <w:t>要素</w:t>
            </w:r>
          </w:p>
        </w:tc>
        <w:tc>
          <w:tcPr>
            <w:tcW w:w="643" w:type="pct"/>
            <w:tcBorders>
              <w:top w:val="single" w:color="auto" w:sz="12" w:space="0"/>
              <w:left w:val="single" w:color="auto" w:sz="4" w:space="0"/>
              <w:bottom w:val="single" w:color="auto" w:sz="4" w:space="0"/>
              <w:right w:val="single" w:color="auto" w:sz="4" w:space="0"/>
            </w:tcBorders>
            <w:noWrap w:val="0"/>
            <w:vAlign w:val="center"/>
          </w:tcPr>
          <w:p>
            <w:pPr>
              <w:pStyle w:val="15"/>
              <w:rPr>
                <w:color w:val="auto"/>
              </w:rPr>
            </w:pPr>
            <w:r>
              <w:rPr>
                <w:color w:val="auto"/>
              </w:rPr>
              <w:t>排放口(编号、名称)/污染源</w:t>
            </w:r>
          </w:p>
        </w:tc>
        <w:tc>
          <w:tcPr>
            <w:tcW w:w="790" w:type="pct"/>
            <w:tcBorders>
              <w:top w:val="single" w:color="auto" w:sz="12" w:space="0"/>
              <w:left w:val="single" w:color="auto" w:sz="4" w:space="0"/>
              <w:bottom w:val="single" w:color="auto" w:sz="4" w:space="0"/>
              <w:right w:val="single" w:color="auto" w:sz="4" w:space="0"/>
            </w:tcBorders>
            <w:noWrap w:val="0"/>
            <w:vAlign w:val="center"/>
          </w:tcPr>
          <w:p>
            <w:pPr>
              <w:pStyle w:val="15"/>
              <w:rPr>
                <w:color w:val="auto"/>
              </w:rPr>
            </w:pPr>
            <w:r>
              <w:rPr>
                <w:color w:val="auto"/>
              </w:rPr>
              <w:t>污染物项目</w:t>
            </w:r>
          </w:p>
        </w:tc>
        <w:tc>
          <w:tcPr>
            <w:tcW w:w="1529" w:type="pct"/>
            <w:tcBorders>
              <w:top w:val="single" w:color="auto" w:sz="12" w:space="0"/>
              <w:left w:val="single" w:color="auto" w:sz="4" w:space="0"/>
              <w:bottom w:val="single" w:color="auto" w:sz="4" w:space="0"/>
              <w:right w:val="single" w:color="auto" w:sz="4" w:space="0"/>
            </w:tcBorders>
            <w:noWrap w:val="0"/>
            <w:vAlign w:val="center"/>
          </w:tcPr>
          <w:p>
            <w:pPr>
              <w:pStyle w:val="15"/>
              <w:rPr>
                <w:color w:val="auto"/>
              </w:rPr>
            </w:pPr>
            <w:r>
              <w:rPr>
                <w:color w:val="auto"/>
              </w:rPr>
              <w:t>环境保护措施</w:t>
            </w:r>
          </w:p>
        </w:tc>
        <w:tc>
          <w:tcPr>
            <w:tcW w:w="1406" w:type="pct"/>
            <w:tcBorders>
              <w:top w:val="single" w:color="auto" w:sz="12" w:space="0"/>
              <w:left w:val="single" w:color="auto" w:sz="4" w:space="0"/>
              <w:bottom w:val="single" w:color="auto" w:sz="4" w:space="0"/>
              <w:right w:val="single" w:color="auto" w:sz="12" w:space="0"/>
            </w:tcBorders>
            <w:noWrap w:val="0"/>
            <w:vAlign w:val="center"/>
          </w:tcPr>
          <w:p>
            <w:pPr>
              <w:pStyle w:val="15"/>
              <w:rPr>
                <w:color w:val="auto"/>
              </w:rPr>
            </w:pPr>
            <w:r>
              <w:rPr>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0" w:type="pct"/>
            <w:tcBorders>
              <w:top w:val="single" w:color="auto" w:sz="4" w:space="0"/>
              <w:left w:val="single" w:color="auto" w:sz="12" w:space="0"/>
              <w:right w:val="single" w:color="auto" w:sz="4" w:space="0"/>
            </w:tcBorders>
            <w:noWrap w:val="0"/>
            <w:vAlign w:val="center"/>
          </w:tcPr>
          <w:p>
            <w:pPr>
              <w:pStyle w:val="15"/>
              <w:rPr>
                <w:color w:val="auto"/>
              </w:rPr>
            </w:pPr>
            <w:r>
              <w:rPr>
                <w:color w:val="auto"/>
              </w:rPr>
              <w:t>大气环境</w:t>
            </w:r>
          </w:p>
        </w:tc>
        <w:tc>
          <w:tcPr>
            <w:tcW w:w="643"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rFonts w:hint="eastAsia"/>
                <w:color w:val="auto"/>
                <w:lang w:val="en-US" w:eastAsia="zh-CN"/>
              </w:rPr>
              <w:t>厂区</w:t>
            </w:r>
            <w:r>
              <w:rPr>
                <w:color w:val="auto"/>
              </w:rPr>
              <w:t>（无组织）</w:t>
            </w:r>
          </w:p>
        </w:tc>
        <w:tc>
          <w:tcPr>
            <w:tcW w:w="790"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颗粒物</w:t>
            </w:r>
          </w:p>
        </w:tc>
        <w:tc>
          <w:tcPr>
            <w:tcW w:w="1529"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1、破碎、干式筛分生产线和制砂生产线位于车间内，在破碎、干式筛分和制砂设备产尘口上方设置喷淋装置；筛分（湿式）设备采用水洗工艺筛分；</w:t>
            </w:r>
          </w:p>
          <w:p>
            <w:pPr>
              <w:pStyle w:val="15"/>
              <w:rPr>
                <w:color w:val="auto"/>
              </w:rPr>
            </w:pPr>
            <w:r>
              <w:rPr>
                <w:color w:val="auto"/>
              </w:rPr>
              <w:t>2、洒水车对渣石加工厂区进行洒水降尘；</w:t>
            </w:r>
          </w:p>
          <w:p>
            <w:pPr>
              <w:pStyle w:val="15"/>
              <w:rPr>
                <w:color w:val="auto"/>
              </w:rPr>
            </w:pPr>
            <w:r>
              <w:rPr>
                <w:color w:val="auto"/>
              </w:rPr>
              <w:t>3、原料卸料位于生产车间内，在设备装卸口安装喷头降尘；</w:t>
            </w:r>
          </w:p>
          <w:p>
            <w:pPr>
              <w:pStyle w:val="15"/>
              <w:rPr>
                <w:color w:val="auto"/>
              </w:rPr>
            </w:pPr>
            <w:r>
              <w:rPr>
                <w:color w:val="auto"/>
              </w:rPr>
              <w:t>4、输送带落料口安装喷头降尘。</w:t>
            </w:r>
          </w:p>
          <w:p>
            <w:pPr>
              <w:pStyle w:val="15"/>
              <w:rPr>
                <w:color w:val="auto"/>
              </w:rPr>
            </w:pPr>
            <w:r>
              <w:rPr>
                <w:color w:val="auto"/>
              </w:rPr>
              <w:t>5、厂区运输出入口设置洗车池，清洁运输车辆轮胎，降低运输扬尘。</w:t>
            </w:r>
          </w:p>
        </w:tc>
        <w:tc>
          <w:tcPr>
            <w:tcW w:w="1406" w:type="pct"/>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《大气污染物综合排放标准》（GB16297-1996）（颗粒物≤1mg/m³）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0" w:type="pct"/>
            <w:vMerge w:val="restart"/>
            <w:tcBorders>
              <w:top w:val="single" w:color="auto" w:sz="4" w:space="0"/>
              <w:left w:val="single" w:color="auto" w:sz="12" w:space="0"/>
              <w:right w:val="single" w:color="auto" w:sz="4" w:space="0"/>
            </w:tcBorders>
            <w:noWrap w:val="0"/>
            <w:vAlign w:val="center"/>
          </w:tcPr>
          <w:p>
            <w:pPr>
              <w:pStyle w:val="15"/>
              <w:rPr>
                <w:color w:val="auto"/>
              </w:rPr>
            </w:pPr>
            <w:r>
              <w:rPr>
                <w:color w:val="auto"/>
              </w:rPr>
              <w:t>地表水环境</w:t>
            </w:r>
          </w:p>
        </w:tc>
        <w:tc>
          <w:tcPr>
            <w:tcW w:w="643"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生活污水（/）</w:t>
            </w:r>
          </w:p>
        </w:tc>
        <w:tc>
          <w:tcPr>
            <w:tcW w:w="790"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pH、COD、BOD</w:t>
            </w:r>
            <w:r>
              <w:rPr>
                <w:color w:val="auto"/>
                <w:vertAlign w:val="subscript"/>
              </w:rPr>
              <w:t>5</w:t>
            </w:r>
            <w:r>
              <w:rPr>
                <w:color w:val="auto"/>
              </w:rPr>
              <w:t>、SS、NH</w:t>
            </w:r>
            <w:r>
              <w:rPr>
                <w:color w:val="auto"/>
                <w:vertAlign w:val="subscript"/>
              </w:rPr>
              <w:t>3</w:t>
            </w:r>
            <w:r>
              <w:rPr>
                <w:color w:val="auto"/>
              </w:rPr>
              <w:t>-N</w:t>
            </w:r>
          </w:p>
        </w:tc>
        <w:tc>
          <w:tcPr>
            <w:tcW w:w="1529"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kern w:val="0"/>
              </w:rPr>
              <w:t>生活污水经化粪池处理后利用槽罐车定期抽吸后运送至福鼎市第一污水处理厂集中处理</w:t>
            </w:r>
          </w:p>
        </w:tc>
        <w:tc>
          <w:tcPr>
            <w:tcW w:w="1406" w:type="pct"/>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0" w:type="pct"/>
            <w:vMerge w:val="continue"/>
            <w:tcBorders>
              <w:left w:val="single" w:color="auto" w:sz="12" w:space="0"/>
              <w:right w:val="single" w:color="auto" w:sz="4" w:space="0"/>
            </w:tcBorders>
            <w:noWrap w:val="0"/>
            <w:vAlign w:val="center"/>
          </w:tcPr>
          <w:p>
            <w:pPr>
              <w:pStyle w:val="15"/>
              <w:rPr>
                <w:color w:val="auto"/>
              </w:rPr>
            </w:pPr>
          </w:p>
        </w:tc>
        <w:tc>
          <w:tcPr>
            <w:tcW w:w="643"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初期雨水（/）</w:t>
            </w:r>
          </w:p>
        </w:tc>
        <w:tc>
          <w:tcPr>
            <w:tcW w:w="790"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SS</w:t>
            </w:r>
          </w:p>
        </w:tc>
        <w:tc>
          <w:tcPr>
            <w:tcW w:w="1529"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kern w:val="0"/>
              </w:rPr>
            </w:pPr>
            <w:r>
              <w:rPr>
                <w:color w:val="auto"/>
                <w:kern w:val="0"/>
              </w:rPr>
              <w:t>初期雨水经雨水沟收集至初期雨水沉淀池处理后回用生产</w:t>
            </w:r>
          </w:p>
        </w:tc>
        <w:tc>
          <w:tcPr>
            <w:tcW w:w="1406" w:type="pct"/>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0" w:type="pct"/>
            <w:vMerge w:val="continue"/>
            <w:tcBorders>
              <w:left w:val="single" w:color="auto" w:sz="12" w:space="0"/>
              <w:bottom w:val="single" w:color="auto" w:sz="4" w:space="0"/>
              <w:right w:val="single" w:color="auto" w:sz="4" w:space="0"/>
            </w:tcBorders>
            <w:noWrap w:val="0"/>
            <w:vAlign w:val="center"/>
          </w:tcPr>
          <w:p>
            <w:pPr>
              <w:pStyle w:val="15"/>
              <w:rPr>
                <w:color w:val="auto"/>
              </w:rPr>
            </w:pPr>
          </w:p>
        </w:tc>
        <w:tc>
          <w:tcPr>
            <w:tcW w:w="643"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清洗废水</w:t>
            </w:r>
          </w:p>
          <w:p>
            <w:pPr>
              <w:pStyle w:val="15"/>
              <w:rPr>
                <w:color w:val="auto"/>
              </w:rPr>
            </w:pPr>
            <w:r>
              <w:rPr>
                <w:color w:val="auto"/>
              </w:rPr>
              <w:t>（/）</w:t>
            </w:r>
          </w:p>
        </w:tc>
        <w:tc>
          <w:tcPr>
            <w:tcW w:w="790"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SS</w:t>
            </w:r>
          </w:p>
        </w:tc>
        <w:tc>
          <w:tcPr>
            <w:tcW w:w="1529"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kern w:val="0"/>
              </w:rPr>
            </w:pPr>
            <w:r>
              <w:rPr>
                <w:color w:val="auto"/>
              </w:rPr>
              <w:t>经振动筛下方的废水收集池收集后排入二级沉淀池处理后回用生产，不外排</w:t>
            </w:r>
          </w:p>
        </w:tc>
        <w:tc>
          <w:tcPr>
            <w:tcW w:w="1406" w:type="pct"/>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425" w:hRule="atLeast"/>
          <w:jc w:val="center"/>
        </w:trPr>
        <w:tc>
          <w:tcPr>
            <w:tcW w:w="630" w:type="pct"/>
            <w:tcBorders>
              <w:top w:val="single" w:color="auto" w:sz="4" w:space="0"/>
              <w:left w:val="single" w:color="auto" w:sz="12" w:space="0"/>
              <w:right w:val="single" w:color="auto" w:sz="4" w:space="0"/>
            </w:tcBorders>
            <w:noWrap w:val="0"/>
            <w:vAlign w:val="center"/>
          </w:tcPr>
          <w:p>
            <w:pPr>
              <w:pStyle w:val="15"/>
              <w:rPr>
                <w:color w:val="auto"/>
              </w:rPr>
            </w:pPr>
            <w:r>
              <w:rPr>
                <w:color w:val="auto"/>
              </w:rPr>
              <w:t>声环境</w:t>
            </w:r>
          </w:p>
        </w:tc>
        <w:tc>
          <w:tcPr>
            <w:tcW w:w="643"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渣石加工区</w:t>
            </w:r>
          </w:p>
        </w:tc>
        <w:tc>
          <w:tcPr>
            <w:tcW w:w="790"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生产噪声（L</w:t>
            </w:r>
            <w:r>
              <w:rPr>
                <w:color w:val="auto"/>
                <w:vertAlign w:val="subscript"/>
              </w:rPr>
              <w:t>eq</w:t>
            </w:r>
            <w:r>
              <w:rPr>
                <w:color w:val="auto"/>
              </w:rPr>
              <w:t>）</w:t>
            </w:r>
          </w:p>
        </w:tc>
        <w:tc>
          <w:tcPr>
            <w:tcW w:w="1529" w:type="pct"/>
            <w:tcBorders>
              <w:top w:val="single" w:color="auto" w:sz="4" w:space="0"/>
              <w:left w:val="single" w:color="auto" w:sz="4" w:space="0"/>
              <w:bottom w:val="single" w:color="auto" w:sz="4" w:space="0"/>
              <w:right w:val="single" w:color="auto" w:sz="4" w:space="0"/>
            </w:tcBorders>
            <w:noWrap w:val="0"/>
            <w:vAlign w:val="center"/>
          </w:tcPr>
          <w:p>
            <w:pPr>
              <w:pStyle w:val="15"/>
              <w:rPr>
                <w:color w:val="auto"/>
              </w:rPr>
            </w:pPr>
            <w:r>
              <w:rPr>
                <w:color w:val="auto"/>
              </w:rPr>
              <w:t>1、选用低噪声级设备；</w:t>
            </w:r>
          </w:p>
          <w:p>
            <w:pPr>
              <w:pStyle w:val="15"/>
              <w:rPr>
                <w:color w:val="auto"/>
              </w:rPr>
            </w:pPr>
            <w:r>
              <w:rPr>
                <w:color w:val="auto"/>
              </w:rPr>
              <w:t>2、采用设备减振、厂房隔声等措施。</w:t>
            </w:r>
          </w:p>
        </w:tc>
        <w:tc>
          <w:tcPr>
            <w:tcW w:w="1406" w:type="pct"/>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各厂界噪声达到《工业企业厂界环境噪声排放标准》（GB12348-2008）中2类标准。</w:t>
            </w:r>
          </w:p>
          <w:p>
            <w:pPr>
              <w:pStyle w:val="15"/>
              <w:rPr>
                <w:color w:val="auto"/>
              </w:rPr>
            </w:pPr>
            <w:r>
              <w:rPr>
                <w:color w:val="auto"/>
              </w:rPr>
              <w:t>即：昼间≤60dB（A）；</w:t>
            </w:r>
          </w:p>
          <w:p>
            <w:pPr>
              <w:pStyle w:val="15"/>
              <w:rPr>
                <w:color w:val="auto"/>
              </w:rPr>
            </w:pPr>
            <w:r>
              <w:rPr>
                <w:color w:val="auto"/>
              </w:rPr>
              <w:t>夜间≤50dB（A）。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840" w:hRule="atLeast"/>
          <w:jc w:val="center"/>
        </w:trPr>
        <w:tc>
          <w:tcPr>
            <w:tcW w:w="630"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电磁辐射</w:t>
            </w:r>
          </w:p>
        </w:tc>
        <w:tc>
          <w:tcPr>
            <w:tcW w:w="4369" w:type="pct"/>
            <w:gridSpan w:val="4"/>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967" w:hRule="atLeast"/>
          <w:jc w:val="center"/>
        </w:trPr>
        <w:tc>
          <w:tcPr>
            <w:tcW w:w="630"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固体废物</w:t>
            </w:r>
          </w:p>
        </w:tc>
        <w:tc>
          <w:tcPr>
            <w:tcW w:w="4369" w:type="pct"/>
            <w:gridSpan w:val="4"/>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沉淀池污泥经压滤机脱水处理后用于制砖；</w:t>
            </w:r>
          </w:p>
          <w:p>
            <w:pPr>
              <w:pStyle w:val="15"/>
              <w:rPr>
                <w:color w:val="auto"/>
              </w:rPr>
            </w:pPr>
            <w:r>
              <w:rPr>
                <w:color w:val="auto"/>
              </w:rPr>
              <w:t>收集的砂粉用于制砖；</w:t>
            </w:r>
          </w:p>
          <w:p>
            <w:pPr>
              <w:pStyle w:val="15"/>
              <w:rPr>
                <w:color w:val="auto"/>
              </w:rPr>
            </w:pPr>
            <w:r>
              <w:rPr>
                <w:color w:val="auto"/>
              </w:rPr>
              <w:t>危险废物暂存于危废间，委托有资质单位处置；</w:t>
            </w:r>
          </w:p>
          <w:p>
            <w:pPr>
              <w:pStyle w:val="15"/>
              <w:rPr>
                <w:color w:val="auto"/>
              </w:rPr>
            </w:pPr>
            <w:r>
              <w:rPr>
                <w:color w:val="auto"/>
              </w:rPr>
              <w:t>生活垃圾委托环卫部门清运处置。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136" w:hRule="atLeast"/>
          <w:jc w:val="center"/>
        </w:trPr>
        <w:tc>
          <w:tcPr>
            <w:tcW w:w="630"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土壤及地下水污染防治措施</w:t>
            </w:r>
          </w:p>
        </w:tc>
        <w:tc>
          <w:tcPr>
            <w:tcW w:w="4369" w:type="pct"/>
            <w:gridSpan w:val="4"/>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557" w:hRule="atLeast"/>
          <w:jc w:val="center"/>
        </w:trPr>
        <w:tc>
          <w:tcPr>
            <w:tcW w:w="630"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rPr>
            </w:pPr>
            <w:r>
              <w:rPr>
                <w:color w:val="auto"/>
              </w:rPr>
              <w:t>生态保护措施</w:t>
            </w:r>
          </w:p>
        </w:tc>
        <w:tc>
          <w:tcPr>
            <w:tcW w:w="4369" w:type="pct"/>
            <w:gridSpan w:val="4"/>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rFonts w:hint="eastAsia"/>
                <w:color w:val="auto"/>
                <w:lang w:val="en-US" w:eastAsia="zh-CN"/>
              </w:rPr>
              <w:t>1、加工区</w:t>
            </w:r>
            <w:r>
              <w:rPr>
                <w:color w:val="auto"/>
              </w:rPr>
              <w:t>建设截排水沟和沉淀（砂）池，雨水经截排水沟排往沉淀（砂）池处理后由周边自然沟道排放；</w:t>
            </w:r>
          </w:p>
          <w:p>
            <w:pPr>
              <w:pStyle w:val="15"/>
              <w:rPr>
                <w:rFonts w:hint="eastAsia" w:eastAsia="宋体"/>
                <w:color w:val="auto"/>
                <w:lang w:val="en-US" w:eastAsia="zh-CN"/>
              </w:rPr>
            </w:pPr>
            <w:r>
              <w:rPr>
                <w:color w:val="auto"/>
              </w:rPr>
              <w:t>2、</w:t>
            </w:r>
            <w:r>
              <w:rPr>
                <w:rFonts w:hint="eastAsia"/>
                <w:color w:val="auto"/>
                <w:lang w:val="en-US" w:eastAsia="zh-CN"/>
              </w:rPr>
              <w:t>成品</w:t>
            </w:r>
            <w:r>
              <w:rPr>
                <w:color w:val="auto"/>
              </w:rPr>
              <w:t>堆场设置排水沟、沉沙池、苫盖密目网和填土编织袋挡墙等。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908" w:hRule="atLeast"/>
          <w:jc w:val="center"/>
        </w:trPr>
        <w:tc>
          <w:tcPr>
            <w:tcW w:w="630" w:type="pct"/>
            <w:tcBorders>
              <w:top w:val="single" w:color="auto" w:sz="4" w:space="0"/>
              <w:left w:val="single" w:color="auto" w:sz="12" w:space="0"/>
              <w:bottom w:val="single" w:color="auto" w:sz="4" w:space="0"/>
              <w:right w:val="single" w:color="auto" w:sz="4" w:space="0"/>
            </w:tcBorders>
            <w:noWrap w:val="0"/>
            <w:vAlign w:val="center"/>
          </w:tcPr>
          <w:p>
            <w:pPr>
              <w:pStyle w:val="15"/>
              <w:rPr>
                <w:color w:val="auto"/>
                <w:spacing w:val="-8"/>
              </w:rPr>
            </w:pPr>
            <w:r>
              <w:rPr>
                <w:color w:val="auto"/>
                <w:spacing w:val="-8"/>
              </w:rPr>
              <w:t>环境风险</w:t>
            </w:r>
          </w:p>
          <w:p>
            <w:pPr>
              <w:pStyle w:val="15"/>
              <w:rPr>
                <w:color w:val="auto"/>
                <w:spacing w:val="-8"/>
              </w:rPr>
            </w:pPr>
            <w:r>
              <w:rPr>
                <w:color w:val="auto"/>
                <w:spacing w:val="-8"/>
              </w:rPr>
              <w:t>防范措施</w:t>
            </w:r>
          </w:p>
        </w:tc>
        <w:tc>
          <w:tcPr>
            <w:tcW w:w="4369" w:type="pct"/>
            <w:gridSpan w:val="4"/>
            <w:tcBorders>
              <w:top w:val="single" w:color="auto" w:sz="4" w:space="0"/>
              <w:left w:val="single" w:color="auto" w:sz="4" w:space="0"/>
              <w:bottom w:val="single" w:color="auto" w:sz="4" w:space="0"/>
              <w:right w:val="single" w:color="auto" w:sz="12" w:space="0"/>
            </w:tcBorders>
            <w:noWrap w:val="0"/>
            <w:vAlign w:val="center"/>
          </w:tcPr>
          <w:p>
            <w:pPr>
              <w:pStyle w:val="15"/>
              <w:rPr>
                <w:color w:val="auto"/>
              </w:rPr>
            </w:pPr>
            <w:r>
              <w:rPr>
                <w:color w:val="auto"/>
              </w:rPr>
              <w:t>1、设备定期维护；2、加强管理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5" w:type="dxa"/>
            <w:bottom w:w="0" w:type="dxa"/>
            <w:right w:w="45" w:type="dxa"/>
          </w:tblCellMar>
        </w:tblPrEx>
        <w:trPr>
          <w:trHeight w:val="1505" w:hRule="atLeast"/>
          <w:jc w:val="center"/>
        </w:trPr>
        <w:tc>
          <w:tcPr>
            <w:tcW w:w="630" w:type="pct"/>
            <w:tcBorders>
              <w:top w:val="single" w:color="auto" w:sz="4" w:space="0"/>
              <w:left w:val="single" w:color="auto" w:sz="12" w:space="0"/>
              <w:bottom w:val="single" w:color="auto" w:sz="12" w:space="0"/>
              <w:right w:val="single" w:color="auto" w:sz="4" w:space="0"/>
            </w:tcBorders>
            <w:noWrap w:val="0"/>
            <w:vAlign w:val="center"/>
          </w:tcPr>
          <w:p>
            <w:pPr>
              <w:pStyle w:val="15"/>
              <w:rPr>
                <w:color w:val="auto"/>
                <w:spacing w:val="-8"/>
              </w:rPr>
            </w:pPr>
            <w:r>
              <w:rPr>
                <w:color w:val="auto"/>
                <w:spacing w:val="-8"/>
              </w:rPr>
              <w:t>其他环境</w:t>
            </w:r>
          </w:p>
          <w:p>
            <w:pPr>
              <w:pStyle w:val="15"/>
              <w:rPr>
                <w:color w:val="auto"/>
                <w:spacing w:val="-8"/>
              </w:rPr>
            </w:pPr>
            <w:r>
              <w:rPr>
                <w:color w:val="auto"/>
                <w:spacing w:val="-8"/>
              </w:rPr>
              <w:t>管理要求</w:t>
            </w:r>
          </w:p>
        </w:tc>
        <w:tc>
          <w:tcPr>
            <w:tcW w:w="4369" w:type="pct"/>
            <w:gridSpan w:val="4"/>
            <w:tcBorders>
              <w:top w:val="single" w:color="auto" w:sz="4" w:space="0"/>
              <w:left w:val="single" w:color="auto" w:sz="4" w:space="0"/>
              <w:bottom w:val="single" w:color="auto" w:sz="12" w:space="0"/>
              <w:right w:val="single" w:color="auto" w:sz="12" w:space="0"/>
            </w:tcBorders>
            <w:noWrap w:val="0"/>
            <w:vAlign w:val="center"/>
          </w:tcPr>
          <w:p>
            <w:pPr>
              <w:pStyle w:val="15"/>
              <w:rPr>
                <w:color w:val="auto"/>
              </w:rPr>
            </w:pPr>
            <w:r>
              <w:rPr>
                <w:color w:val="auto"/>
              </w:rPr>
              <w:t>1、设立环保机构，配备兼职环保工作人员。</w:t>
            </w:r>
          </w:p>
          <w:p>
            <w:pPr>
              <w:pStyle w:val="15"/>
              <w:rPr>
                <w:color w:val="auto"/>
              </w:rPr>
            </w:pPr>
            <w:r>
              <w:rPr>
                <w:color w:val="auto"/>
              </w:rPr>
              <w:t>2、建立日常环境管理制度和环境管理工作计划。</w:t>
            </w:r>
          </w:p>
          <w:p>
            <w:pPr>
              <w:pStyle w:val="15"/>
              <w:rPr>
                <w:color w:val="auto"/>
              </w:rPr>
            </w:pPr>
            <w:r>
              <w:rPr>
                <w:color w:val="auto"/>
              </w:rPr>
              <w:t>3、加强环保设施运行管理维护，建立环保设施运行台账，确保环保设施正常运行及污染物稳定达标排放。</w:t>
            </w:r>
          </w:p>
          <w:p>
            <w:pPr>
              <w:pStyle w:val="15"/>
              <w:rPr>
                <w:color w:val="auto"/>
              </w:rPr>
            </w:pPr>
            <w:r>
              <w:rPr>
                <w:color w:val="auto"/>
              </w:rPr>
              <w:t>4、落实“三同时”制度，完成项目竣工验收。</w:t>
            </w:r>
          </w:p>
          <w:p>
            <w:pPr>
              <w:pStyle w:val="15"/>
              <w:rPr>
                <w:color w:val="auto"/>
              </w:rPr>
            </w:pPr>
            <w:r>
              <w:rPr>
                <w:color w:val="auto"/>
              </w:rPr>
              <w:t>5、根据《固定污染源排污许可分类管理名录(2019年版)》(生态环境部第11号)可知，项目属于二十五、非金属矿物制品业30中70石墨及其他非金属矿物制品制造：其他非金属矿物制品制造3099，实行登记管理；因此，建设单位应当在启动生产设施或者发生实际排污之前在全国排污许可证管理信息平台进行排污许可登记。</w:t>
            </w:r>
          </w:p>
        </w:tc>
      </w:tr>
    </w:tbl>
    <w:p>
      <w:pPr>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color w:val="auto"/>
          <w:lang w:val="en-US" w:eastAsia="zh-CN"/>
        </w:rPr>
        <w:br w:type="page"/>
      </w:r>
      <w:r>
        <w:rPr>
          <w:rFonts w:hint="default"/>
          <w:lang w:val="en-US" w:eastAsia="zh-CN"/>
        </w:rPr>
        <w:drawing>
          <wp:inline distT="0" distB="0" distL="114300" distR="114300">
            <wp:extent cx="6068695" cy="8583295"/>
            <wp:effectExtent l="0" t="0" r="8255" b="8255"/>
            <wp:docPr id="64" name="图片 6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09"/>
                    <pic:cNvPicPr>
                      <a:picLocks noChangeAspect="1"/>
                    </pic:cNvPicPr>
                  </pic:nvPicPr>
                  <pic:blipFill>
                    <a:blip r:embed="rId27"/>
                    <a:stretch>
                      <a:fillRect/>
                    </a:stretch>
                  </pic:blipFill>
                  <pic:spPr>
                    <a:xfrm>
                      <a:off x="0" y="0"/>
                      <a:ext cx="6068695" cy="8583295"/>
                    </a:xfrm>
                    <a:prstGeom prst="rect">
                      <a:avLst/>
                    </a:prstGeom>
                  </pic:spPr>
                </pic:pic>
              </a:graphicData>
            </a:graphic>
          </wp:inline>
        </w:drawing>
      </w:r>
    </w:p>
    <w:p>
      <w:pPr>
        <w:pStyle w:val="14"/>
        <w:jc w:val="left"/>
        <w:rPr>
          <w:snapToGrid w:val="0"/>
        </w:rPr>
      </w:pPr>
      <w:r>
        <w:rPr>
          <w:snapToGrid w:val="0"/>
        </w:rPr>
        <w:t>附表</w:t>
      </w:r>
    </w:p>
    <w:p>
      <w:pPr>
        <w:pStyle w:val="14"/>
        <w:keepNext w:val="0"/>
        <w:keepLines w:val="0"/>
        <w:pageBreakBefore w:val="0"/>
        <w:widowControl w:val="0"/>
        <w:kinsoku/>
        <w:wordWrap/>
        <w:overflowPunct/>
        <w:topLinePunct w:val="0"/>
        <w:autoSpaceDE/>
        <w:autoSpaceDN/>
        <w:bidi w:val="0"/>
        <w:adjustRightInd/>
        <w:snapToGrid/>
        <w:textAlignment w:val="auto"/>
        <w:outlineLvl w:val="9"/>
        <w:rPr>
          <w:snapToGrid w:val="0"/>
          <w:sz w:val="30"/>
          <w:szCs w:val="30"/>
        </w:rPr>
      </w:pPr>
      <w:r>
        <w:rPr>
          <w:snapToGrid w:val="0"/>
          <w:sz w:val="30"/>
          <w:szCs w:val="30"/>
        </w:rPr>
        <w:t>建设项目污染物排放量汇总表</w:t>
      </w:r>
    </w:p>
    <w:tbl>
      <w:tblPr>
        <w:tblStyle w:val="10"/>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932"/>
        <w:gridCol w:w="1539"/>
        <w:gridCol w:w="1419"/>
        <w:gridCol w:w="1892"/>
        <w:gridCol w:w="1731"/>
        <w:gridCol w:w="1966"/>
        <w:gridCol w:w="1966"/>
        <w:gridCol w:w="12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op w:val="single" w:color="auto" w:sz="12" w:space="0"/>
              <w:left w:val="single" w:color="auto" w:sz="12" w:space="0"/>
              <w:bottom w:val="single" w:color="auto" w:sz="4" w:space="0"/>
              <w:tl2br w:val="single" w:color="auto" w:sz="4" w:space="0"/>
            </w:tcBorders>
            <w:noWrap w:val="0"/>
            <w:tcMar>
              <w:left w:w="28" w:type="dxa"/>
              <w:right w:w="28" w:type="dxa"/>
            </w:tcMar>
            <w:vAlign w:val="center"/>
          </w:tcPr>
          <w:p>
            <w:pPr>
              <w:pStyle w:val="15"/>
              <w:rPr>
                <w:snapToGrid w:val="0"/>
                <w:color w:val="auto"/>
              </w:rPr>
            </w:pPr>
            <w:r>
              <w:rPr>
                <w:snapToGrid w:val="0"/>
                <w:color w:val="auto"/>
              </w:rPr>
              <w:t>项目</w:t>
            </w:r>
          </w:p>
          <w:p>
            <w:pPr>
              <w:pStyle w:val="15"/>
              <w:jc w:val="both"/>
              <w:rPr>
                <w:snapToGrid w:val="0"/>
                <w:color w:val="auto"/>
              </w:rPr>
            </w:pPr>
            <w:r>
              <w:rPr>
                <w:snapToGrid w:val="0"/>
                <w:color w:val="auto"/>
              </w:rPr>
              <w:t>分类</w:t>
            </w:r>
          </w:p>
        </w:tc>
        <w:tc>
          <w:tcPr>
            <w:tcW w:w="624" w:type="pct"/>
            <w:tcBorders>
              <w:top w:val="single" w:color="auto" w:sz="12" w:space="0"/>
              <w:bottom w:val="single" w:color="auto" w:sz="4" w:space="0"/>
            </w:tcBorders>
            <w:noWrap w:val="0"/>
            <w:tcMar>
              <w:left w:w="28" w:type="dxa"/>
              <w:right w:w="28" w:type="dxa"/>
            </w:tcMar>
            <w:vAlign w:val="center"/>
          </w:tcPr>
          <w:p>
            <w:pPr>
              <w:pStyle w:val="15"/>
              <w:rPr>
                <w:snapToGrid w:val="0"/>
                <w:color w:val="auto"/>
              </w:rPr>
            </w:pPr>
            <w:r>
              <w:rPr>
                <w:snapToGrid w:val="0"/>
                <w:color w:val="auto"/>
              </w:rPr>
              <w:t>污染物名称</w:t>
            </w:r>
          </w:p>
        </w:tc>
        <w:tc>
          <w:tcPr>
            <w:tcW w:w="498" w:type="pct"/>
            <w:tcBorders>
              <w:top w:val="single" w:color="auto" w:sz="12" w:space="0"/>
              <w:bottom w:val="single" w:color="auto" w:sz="4" w:space="0"/>
            </w:tcBorders>
            <w:noWrap w:val="0"/>
            <w:tcMar>
              <w:left w:w="28" w:type="dxa"/>
              <w:right w:w="28" w:type="dxa"/>
            </w:tcMar>
            <w:vAlign w:val="center"/>
          </w:tcPr>
          <w:p>
            <w:pPr>
              <w:pStyle w:val="15"/>
              <w:rPr>
                <w:snapToGrid w:val="0"/>
                <w:color w:val="auto"/>
              </w:rPr>
            </w:pPr>
            <w:r>
              <w:rPr>
                <w:snapToGrid w:val="0"/>
                <w:color w:val="auto"/>
              </w:rPr>
              <w:t>现有工程</w:t>
            </w:r>
          </w:p>
          <w:p>
            <w:pPr>
              <w:pStyle w:val="15"/>
              <w:rPr>
                <w:snapToGrid w:val="0"/>
                <w:color w:val="auto"/>
              </w:rPr>
            </w:pPr>
            <w:r>
              <w:rPr>
                <w:snapToGrid w:val="0"/>
                <w:color w:val="auto"/>
              </w:rPr>
              <w:t>排放量(固体废物产生量)</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ascii="宋体" w:hAnsi="宋体" w:cs="宋体"/>
                <w:color w:val="auto"/>
              </w:rPr>
              <w:t>①</w:t>
            </w:r>
            <w:r>
              <w:rPr>
                <w:snapToGrid w:val="0"/>
                <w:color w:val="auto"/>
              </w:rPr>
              <w:fldChar w:fldCharType="end"/>
            </w:r>
          </w:p>
        </w:tc>
        <w:tc>
          <w:tcPr>
            <w:tcW w:w="459" w:type="pct"/>
            <w:tcBorders>
              <w:top w:val="single" w:color="auto" w:sz="12" w:space="0"/>
              <w:bottom w:val="single" w:color="auto" w:sz="4" w:space="0"/>
            </w:tcBorders>
            <w:noWrap w:val="0"/>
            <w:tcMar>
              <w:left w:w="28" w:type="dxa"/>
              <w:right w:w="28" w:type="dxa"/>
            </w:tcMar>
            <w:vAlign w:val="center"/>
          </w:tcPr>
          <w:p>
            <w:pPr>
              <w:pStyle w:val="15"/>
              <w:rPr>
                <w:snapToGrid w:val="0"/>
                <w:color w:val="auto"/>
              </w:rPr>
            </w:pPr>
            <w:r>
              <w:rPr>
                <w:snapToGrid w:val="0"/>
                <w:color w:val="auto"/>
              </w:rPr>
              <w:t>现有工程</w:t>
            </w:r>
          </w:p>
          <w:p>
            <w:pPr>
              <w:pStyle w:val="15"/>
              <w:rPr>
                <w:snapToGrid w:val="0"/>
                <w:color w:val="auto"/>
              </w:rPr>
            </w:pPr>
            <w:r>
              <w:rPr>
                <w:snapToGrid w:val="0"/>
                <w:color w:val="auto"/>
              </w:rPr>
              <w:t>许可排放量</w:t>
            </w:r>
          </w:p>
          <w:p>
            <w:pPr>
              <w:pStyle w:val="15"/>
              <w:rPr>
                <w:snapToGrid w:val="0"/>
                <w:color w:val="auto"/>
              </w:rPr>
            </w:pPr>
            <w:r>
              <w:rPr>
                <w:snapToGrid w:val="0"/>
                <w:color w:val="auto"/>
              </w:rPr>
              <w:fldChar w:fldCharType="begin"/>
            </w:r>
            <w:r>
              <w:rPr>
                <w:snapToGrid w:val="0"/>
                <w:color w:val="auto"/>
              </w:rPr>
              <w:instrText xml:space="preserve"> = 2 \* GB3 \* MERGEFORMAT </w:instrText>
            </w:r>
            <w:r>
              <w:rPr>
                <w:snapToGrid w:val="0"/>
                <w:color w:val="auto"/>
              </w:rPr>
              <w:fldChar w:fldCharType="separate"/>
            </w:r>
            <w:r>
              <w:rPr>
                <w:rFonts w:hint="eastAsia" w:ascii="宋体" w:hAnsi="宋体" w:cs="宋体"/>
                <w:snapToGrid w:val="0"/>
                <w:color w:val="auto"/>
              </w:rPr>
              <w:t>②</w:t>
            </w:r>
            <w:r>
              <w:rPr>
                <w:snapToGrid w:val="0"/>
                <w:color w:val="auto"/>
              </w:rPr>
              <w:fldChar w:fldCharType="end"/>
            </w:r>
          </w:p>
        </w:tc>
        <w:tc>
          <w:tcPr>
            <w:tcW w:w="612" w:type="pct"/>
            <w:tcBorders>
              <w:top w:val="single" w:color="auto" w:sz="12" w:space="0"/>
              <w:bottom w:val="single" w:color="auto" w:sz="4" w:space="0"/>
            </w:tcBorders>
            <w:noWrap w:val="0"/>
            <w:tcMar>
              <w:left w:w="28" w:type="dxa"/>
              <w:right w:w="28" w:type="dxa"/>
            </w:tcMar>
            <w:vAlign w:val="center"/>
          </w:tcPr>
          <w:p>
            <w:pPr>
              <w:pStyle w:val="15"/>
              <w:rPr>
                <w:snapToGrid w:val="0"/>
                <w:color w:val="auto"/>
              </w:rPr>
            </w:pPr>
            <w:r>
              <w:rPr>
                <w:snapToGrid w:val="0"/>
                <w:color w:val="auto"/>
              </w:rPr>
              <w:t>在建工程</w:t>
            </w:r>
          </w:p>
          <w:p>
            <w:pPr>
              <w:pStyle w:val="15"/>
              <w:rPr>
                <w:snapToGrid w:val="0"/>
                <w:color w:val="auto"/>
              </w:rPr>
            </w:pPr>
            <w:r>
              <w:rPr>
                <w:snapToGrid w:val="0"/>
                <w:color w:val="auto"/>
              </w:rPr>
              <w:t>排放量(固体废物产生量)</w:t>
            </w:r>
            <w:r>
              <w:rPr>
                <w:snapToGrid w:val="0"/>
                <w:color w:val="auto"/>
              </w:rPr>
              <w:fldChar w:fldCharType="begin"/>
            </w:r>
            <w:r>
              <w:rPr>
                <w:snapToGrid w:val="0"/>
                <w:color w:val="auto"/>
              </w:rPr>
              <w:instrText xml:space="preserve"> = 3 \* GB3 \* MERGEFORMAT </w:instrText>
            </w:r>
            <w:r>
              <w:rPr>
                <w:snapToGrid w:val="0"/>
                <w:color w:val="auto"/>
              </w:rPr>
              <w:fldChar w:fldCharType="separate"/>
            </w:r>
            <w:r>
              <w:rPr>
                <w:rFonts w:hint="eastAsia" w:ascii="宋体" w:hAnsi="宋体" w:cs="宋体"/>
                <w:color w:val="auto"/>
              </w:rPr>
              <w:t>③</w:t>
            </w:r>
            <w:r>
              <w:rPr>
                <w:snapToGrid w:val="0"/>
                <w:color w:val="auto"/>
              </w:rPr>
              <w:fldChar w:fldCharType="end"/>
            </w:r>
          </w:p>
        </w:tc>
        <w:tc>
          <w:tcPr>
            <w:tcW w:w="560" w:type="pct"/>
            <w:tcBorders>
              <w:top w:val="single" w:color="auto" w:sz="12" w:space="0"/>
              <w:bottom w:val="single" w:color="auto" w:sz="4" w:space="0"/>
            </w:tcBorders>
            <w:noWrap w:val="0"/>
            <w:tcMar>
              <w:left w:w="28" w:type="dxa"/>
              <w:right w:w="28" w:type="dxa"/>
            </w:tcMar>
            <w:vAlign w:val="center"/>
          </w:tcPr>
          <w:p>
            <w:pPr>
              <w:pStyle w:val="15"/>
              <w:rPr>
                <w:snapToGrid w:val="0"/>
                <w:color w:val="auto"/>
              </w:rPr>
            </w:pPr>
            <w:r>
              <w:rPr>
                <w:snapToGrid w:val="0"/>
                <w:color w:val="auto"/>
              </w:rPr>
              <w:t>本项目</w:t>
            </w:r>
          </w:p>
          <w:p>
            <w:pPr>
              <w:pStyle w:val="15"/>
              <w:rPr>
                <w:snapToGrid w:val="0"/>
                <w:color w:val="auto"/>
              </w:rPr>
            </w:pPr>
            <w:r>
              <w:rPr>
                <w:snapToGrid w:val="0"/>
                <w:color w:val="auto"/>
              </w:rPr>
              <w:t>排放量(固体废物产生量)</w:t>
            </w:r>
            <w:r>
              <w:rPr>
                <w:snapToGrid w:val="0"/>
                <w:color w:val="auto"/>
              </w:rPr>
              <w:fldChar w:fldCharType="begin"/>
            </w:r>
            <w:r>
              <w:rPr>
                <w:snapToGrid w:val="0"/>
                <w:color w:val="auto"/>
              </w:rPr>
              <w:instrText xml:space="preserve"> = 4 \* GB3 \* MERGEFORMAT </w:instrText>
            </w:r>
            <w:r>
              <w:rPr>
                <w:snapToGrid w:val="0"/>
                <w:color w:val="auto"/>
              </w:rPr>
              <w:fldChar w:fldCharType="separate"/>
            </w:r>
            <w:r>
              <w:rPr>
                <w:rFonts w:hint="eastAsia" w:ascii="宋体" w:hAnsi="宋体" w:cs="宋体"/>
                <w:color w:val="auto"/>
              </w:rPr>
              <w:t>④</w:t>
            </w:r>
            <w:r>
              <w:rPr>
                <w:snapToGrid w:val="0"/>
                <w:color w:val="auto"/>
              </w:rPr>
              <w:fldChar w:fldCharType="end"/>
            </w:r>
          </w:p>
        </w:tc>
        <w:tc>
          <w:tcPr>
            <w:tcW w:w="636" w:type="pct"/>
            <w:tcBorders>
              <w:top w:val="single" w:color="auto" w:sz="12" w:space="0"/>
              <w:bottom w:val="single" w:color="auto" w:sz="4" w:space="0"/>
            </w:tcBorders>
            <w:noWrap w:val="0"/>
            <w:tcMar>
              <w:left w:w="28" w:type="dxa"/>
              <w:right w:w="28" w:type="dxa"/>
            </w:tcMar>
            <w:vAlign w:val="center"/>
          </w:tcPr>
          <w:p>
            <w:pPr>
              <w:pStyle w:val="15"/>
              <w:rPr>
                <w:snapToGrid w:val="0"/>
                <w:color w:val="auto"/>
              </w:rPr>
            </w:pPr>
            <w:r>
              <w:rPr>
                <w:snapToGrid w:val="0"/>
                <w:color w:val="auto"/>
              </w:rPr>
              <w:t>以新带老削减量</w:t>
            </w:r>
          </w:p>
          <w:p>
            <w:pPr>
              <w:pStyle w:val="15"/>
              <w:rPr>
                <w:snapToGrid w:val="0"/>
                <w:color w:val="auto"/>
                <w:spacing w:val="-16"/>
              </w:rPr>
            </w:pPr>
            <w:r>
              <w:rPr>
                <w:snapToGrid w:val="0"/>
                <w:color w:val="auto"/>
              </w:rPr>
              <w:t>(新建项目不填)</w:t>
            </w:r>
            <w:r>
              <w:rPr>
                <w:snapToGrid w:val="0"/>
                <w:color w:val="auto"/>
              </w:rPr>
              <w:fldChar w:fldCharType="begin"/>
            </w:r>
            <w:r>
              <w:rPr>
                <w:snapToGrid w:val="0"/>
                <w:color w:val="auto"/>
              </w:rPr>
              <w:instrText xml:space="preserve"> = 5 \* GB3 \* MERGEFORMAT </w:instrText>
            </w:r>
            <w:r>
              <w:rPr>
                <w:snapToGrid w:val="0"/>
                <w:color w:val="auto"/>
              </w:rPr>
              <w:fldChar w:fldCharType="separate"/>
            </w:r>
            <w:r>
              <w:rPr>
                <w:rFonts w:hint="eastAsia" w:ascii="宋体" w:hAnsi="宋体" w:cs="宋体"/>
                <w:snapToGrid w:val="0"/>
                <w:color w:val="auto"/>
              </w:rPr>
              <w:t>⑤</w:t>
            </w:r>
            <w:r>
              <w:rPr>
                <w:snapToGrid w:val="0"/>
                <w:color w:val="auto"/>
              </w:rPr>
              <w:fldChar w:fldCharType="end"/>
            </w:r>
          </w:p>
        </w:tc>
        <w:tc>
          <w:tcPr>
            <w:tcW w:w="636" w:type="pct"/>
            <w:tcBorders>
              <w:top w:val="single" w:color="auto" w:sz="12" w:space="0"/>
              <w:bottom w:val="single" w:color="auto" w:sz="4" w:space="0"/>
            </w:tcBorders>
            <w:noWrap w:val="0"/>
            <w:tcMar>
              <w:left w:w="28" w:type="dxa"/>
              <w:right w:w="28" w:type="dxa"/>
            </w:tcMar>
            <w:vAlign w:val="center"/>
          </w:tcPr>
          <w:p>
            <w:pPr>
              <w:pStyle w:val="15"/>
              <w:rPr>
                <w:snapToGrid w:val="0"/>
                <w:color w:val="auto"/>
              </w:rPr>
            </w:pPr>
            <w:r>
              <w:rPr>
                <w:snapToGrid w:val="0"/>
                <w:color w:val="auto"/>
              </w:rPr>
              <w:t>本项目建成后</w:t>
            </w:r>
          </w:p>
          <w:p>
            <w:pPr>
              <w:pStyle w:val="15"/>
              <w:rPr>
                <w:snapToGrid w:val="0"/>
                <w:color w:val="auto"/>
                <w:spacing w:val="-16"/>
              </w:rPr>
            </w:pPr>
            <w:r>
              <w:rPr>
                <w:snapToGrid w:val="0"/>
                <w:color w:val="auto"/>
              </w:rPr>
              <w:t>全厂排放量(固体废物产生量)</w:t>
            </w:r>
            <w:r>
              <w:rPr>
                <w:snapToGrid w:val="0"/>
                <w:color w:val="auto"/>
              </w:rPr>
              <w:fldChar w:fldCharType="begin"/>
            </w:r>
            <w:r>
              <w:rPr>
                <w:snapToGrid w:val="0"/>
                <w:color w:val="auto"/>
              </w:rPr>
              <w:instrText xml:space="preserve"> = 6 \* GB3 \* MERGEFORMAT </w:instrText>
            </w:r>
            <w:r>
              <w:rPr>
                <w:snapToGrid w:val="0"/>
                <w:color w:val="auto"/>
              </w:rPr>
              <w:fldChar w:fldCharType="separate"/>
            </w:r>
            <w:r>
              <w:rPr>
                <w:rFonts w:hint="eastAsia" w:ascii="宋体" w:hAnsi="宋体" w:cs="宋体"/>
                <w:snapToGrid w:val="0"/>
                <w:color w:val="auto"/>
              </w:rPr>
              <w:t>⑥</w:t>
            </w:r>
            <w:r>
              <w:rPr>
                <w:snapToGrid w:val="0"/>
                <w:color w:val="auto"/>
              </w:rPr>
              <w:fldChar w:fldCharType="end"/>
            </w:r>
          </w:p>
        </w:tc>
        <w:tc>
          <w:tcPr>
            <w:tcW w:w="400" w:type="pct"/>
            <w:tcBorders>
              <w:top w:val="single" w:color="auto" w:sz="12" w:space="0"/>
              <w:bottom w:val="single" w:color="auto" w:sz="4" w:space="0"/>
              <w:right w:val="single" w:color="auto" w:sz="12" w:space="0"/>
            </w:tcBorders>
            <w:noWrap w:val="0"/>
            <w:tcMar>
              <w:left w:w="28" w:type="dxa"/>
              <w:right w:w="28" w:type="dxa"/>
            </w:tcMar>
            <w:vAlign w:val="center"/>
          </w:tcPr>
          <w:p>
            <w:pPr>
              <w:pStyle w:val="15"/>
              <w:rPr>
                <w:snapToGrid w:val="0"/>
                <w:color w:val="auto"/>
              </w:rPr>
            </w:pPr>
            <w:r>
              <w:rPr>
                <w:snapToGrid w:val="0"/>
                <w:color w:val="auto"/>
              </w:rPr>
              <w:t>变化量</w:t>
            </w:r>
          </w:p>
          <w:p>
            <w:pPr>
              <w:pStyle w:val="15"/>
              <w:rPr>
                <w:snapToGrid w:val="0"/>
                <w:color w:val="auto"/>
              </w:rPr>
            </w:pPr>
            <w:r>
              <w:rPr>
                <w:snapToGrid w:val="0"/>
                <w:color w:val="auto"/>
              </w:rPr>
              <w:fldChar w:fldCharType="begin"/>
            </w:r>
            <w:r>
              <w:rPr>
                <w:snapToGrid w:val="0"/>
                <w:color w:val="auto"/>
              </w:rPr>
              <w:instrText xml:space="preserve"> = 7 \* GB3 \* MERGEFORMAT </w:instrText>
            </w:r>
            <w:r>
              <w:rPr>
                <w:snapToGrid w:val="0"/>
                <w:color w:val="auto"/>
              </w:rPr>
              <w:fldChar w:fldCharType="separate"/>
            </w:r>
            <w:r>
              <w:rPr>
                <w:rFonts w:hint="eastAsia" w:ascii="宋体" w:hAnsi="宋体" w:cs="宋体"/>
                <w:color w:val="auto"/>
              </w:rPr>
              <w:t>⑦</w:t>
            </w:r>
            <w:r>
              <w:rPr>
                <w:snapToGrid w:val="0"/>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12" w:space="0"/>
              <w:bottom w:val="single" w:color="auto" w:sz="4" w:space="0"/>
            </w:tcBorders>
            <w:noWrap w:val="0"/>
            <w:vAlign w:val="center"/>
          </w:tcPr>
          <w:p>
            <w:pPr>
              <w:pStyle w:val="15"/>
              <w:rPr>
                <w:snapToGrid w:val="0"/>
                <w:color w:val="auto"/>
              </w:rPr>
            </w:pPr>
            <w:r>
              <w:rPr>
                <w:snapToGrid w:val="0"/>
                <w:color w:val="auto"/>
              </w:rPr>
              <w:t>废气</w:t>
            </w:r>
          </w:p>
        </w:tc>
        <w:tc>
          <w:tcPr>
            <w:tcW w:w="624" w:type="pct"/>
            <w:tcBorders>
              <w:top w:val="single" w:color="auto" w:sz="4" w:space="0"/>
              <w:bottom w:val="single" w:color="auto" w:sz="4" w:space="0"/>
            </w:tcBorders>
            <w:noWrap w:val="0"/>
            <w:vAlign w:val="center"/>
          </w:tcPr>
          <w:p>
            <w:pPr>
              <w:pStyle w:val="15"/>
              <w:rPr>
                <w:snapToGrid w:val="0"/>
                <w:color w:val="auto"/>
              </w:rPr>
            </w:pPr>
            <w:r>
              <w:rPr>
                <w:snapToGrid w:val="0"/>
                <w:color w:val="auto"/>
              </w:rPr>
              <w:t>颗粒物（t/a）</w:t>
            </w:r>
          </w:p>
        </w:tc>
        <w:tc>
          <w:tcPr>
            <w:tcW w:w="498"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459"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bottom w:val="single" w:color="auto" w:sz="4" w:space="0"/>
            </w:tcBorders>
            <w:noWrap w:val="0"/>
            <w:vAlign w:val="center"/>
          </w:tcPr>
          <w:p>
            <w:pPr>
              <w:widowControl/>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snapToGrid w:val="0"/>
                <w:color w:val="auto"/>
                <w:lang w:val="en-US" w:eastAsia="zh-CN"/>
              </w:rPr>
              <w:t>3.327</w:t>
            </w:r>
          </w:p>
        </w:tc>
        <w:tc>
          <w:tcPr>
            <w:tcW w:w="636"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bottom w:val="single" w:color="auto" w:sz="4" w:space="0"/>
            </w:tcBorders>
            <w:noWrap w:val="0"/>
            <w:vAlign w:val="center"/>
          </w:tcPr>
          <w:p>
            <w:pPr>
              <w:widowControl/>
              <w:spacing w:line="240" w:lineRule="auto"/>
              <w:ind w:firstLine="0" w:firstLineChars="0"/>
              <w:jc w:val="center"/>
              <w:rPr>
                <w:rFonts w:hint="default" w:eastAsia="宋体"/>
                <w:snapToGrid w:val="0"/>
                <w:color w:val="auto"/>
                <w:lang w:val="en-US" w:eastAsia="zh-CN"/>
              </w:rPr>
            </w:pPr>
            <w:r>
              <w:rPr>
                <w:rFonts w:hint="eastAsia"/>
                <w:snapToGrid w:val="0"/>
                <w:color w:val="auto"/>
                <w:lang w:val="en-US" w:eastAsia="zh-CN"/>
              </w:rPr>
              <w:t>3.327</w:t>
            </w:r>
          </w:p>
        </w:tc>
        <w:tc>
          <w:tcPr>
            <w:tcW w:w="1122" w:type="dxa"/>
            <w:tcBorders>
              <w:top w:val="single" w:color="auto" w:sz="4" w:space="0"/>
              <w:bottom w:val="single" w:color="auto" w:sz="4" w:space="0"/>
              <w:right w:val="single" w:color="auto" w:sz="12" w:space="0"/>
            </w:tcBorders>
            <w:noWrap w:val="0"/>
            <w:vAlign w:val="center"/>
          </w:tcPr>
          <w:p>
            <w:pPr>
              <w:widowControl/>
              <w:spacing w:line="240" w:lineRule="auto"/>
              <w:ind w:firstLine="0" w:firstLineChars="0"/>
              <w:jc w:val="center"/>
              <w:rPr>
                <w:snapToGrid w:val="0"/>
                <w:color w:val="auto"/>
              </w:rPr>
            </w:pPr>
            <w:r>
              <w:rPr>
                <w:rFonts w:hint="eastAsia"/>
                <w:snapToGrid w:val="0"/>
                <w:color w:val="auto"/>
                <w:lang w:val="en-US" w:eastAsia="zh-CN"/>
              </w:rPr>
              <w:t>+3.327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tcBorders>
              <w:top w:val="single" w:color="auto" w:sz="4" w:space="0"/>
              <w:left w:val="single" w:color="auto" w:sz="12" w:space="0"/>
              <w:bottom w:val="single" w:color="auto" w:sz="4" w:space="0"/>
              <w:right w:val="single" w:color="auto" w:sz="4" w:space="0"/>
            </w:tcBorders>
            <w:noWrap w:val="0"/>
            <w:vAlign w:val="center"/>
          </w:tcPr>
          <w:p>
            <w:pPr>
              <w:pStyle w:val="15"/>
              <w:rPr>
                <w:snapToGrid w:val="0"/>
                <w:color w:val="auto"/>
              </w:rPr>
            </w:pPr>
            <w:r>
              <w:rPr>
                <w:snapToGrid w:val="0"/>
                <w:color w:val="auto"/>
              </w:rPr>
              <w:t>废水</w:t>
            </w: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COD（t/a）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0.0504</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0.0504</w:t>
            </w:r>
          </w:p>
        </w:tc>
        <w:tc>
          <w:tcPr>
            <w:tcW w:w="1122" w:type="dxa"/>
            <w:tcBorders>
              <w:top w:val="single" w:color="auto" w:sz="4" w:space="0"/>
              <w:left w:val="single" w:color="auto" w:sz="4" w:space="0"/>
              <w:bottom w:val="single" w:color="auto" w:sz="4"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lang w:val="en-US" w:eastAsia="zh-CN"/>
              </w:rPr>
              <w:t>0.0504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right w:val="single" w:color="auto" w:sz="4" w:space="0"/>
            </w:tcBorders>
            <w:noWrap w:val="0"/>
            <w:vAlign w:val="center"/>
          </w:tcPr>
          <w:p>
            <w:pPr>
              <w:pStyle w:val="15"/>
              <w:rPr>
                <w:snapToGrid w:val="0"/>
                <w:color w:val="auto"/>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BOD</w:t>
            </w:r>
            <w:r>
              <w:rPr>
                <w:snapToGrid w:val="0"/>
                <w:color w:val="auto"/>
                <w:vertAlign w:val="subscript"/>
              </w:rPr>
              <w:t>5</w:t>
            </w:r>
            <w:r>
              <w:rPr>
                <w:snapToGrid w:val="0"/>
                <w:color w:val="auto"/>
              </w:rPr>
              <w:t>（t/a）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0.0252</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0.0252</w:t>
            </w:r>
          </w:p>
        </w:tc>
        <w:tc>
          <w:tcPr>
            <w:tcW w:w="1122" w:type="dxa"/>
            <w:tcBorders>
              <w:top w:val="single" w:color="auto" w:sz="4" w:space="0"/>
              <w:left w:val="single" w:color="auto" w:sz="4" w:space="0"/>
              <w:bottom w:val="single" w:color="auto" w:sz="4"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lang w:val="en-US" w:eastAsia="zh-CN"/>
              </w:rPr>
              <w:t>0.0252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right w:val="single" w:color="auto" w:sz="4" w:space="0"/>
            </w:tcBorders>
            <w:noWrap w:val="0"/>
            <w:vAlign w:val="center"/>
          </w:tcPr>
          <w:p>
            <w:pPr>
              <w:pStyle w:val="15"/>
              <w:rPr>
                <w:snapToGrid w:val="0"/>
                <w:color w:val="auto"/>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SS（t/a）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0.0302</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0.0302</w:t>
            </w:r>
          </w:p>
        </w:tc>
        <w:tc>
          <w:tcPr>
            <w:tcW w:w="1122" w:type="dxa"/>
            <w:tcBorders>
              <w:top w:val="single" w:color="auto" w:sz="4" w:space="0"/>
              <w:left w:val="single" w:color="auto" w:sz="4" w:space="0"/>
              <w:bottom w:val="single" w:color="auto" w:sz="4"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lang w:val="en-US" w:eastAsia="zh-CN"/>
              </w:rPr>
              <w:t>0.0302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right w:val="single" w:color="auto" w:sz="4" w:space="0"/>
            </w:tcBorders>
            <w:noWrap w:val="0"/>
            <w:vAlign w:val="center"/>
          </w:tcPr>
          <w:p>
            <w:pPr>
              <w:pStyle w:val="15"/>
              <w:rPr>
                <w:snapToGrid w:val="0"/>
                <w:color w:val="auto"/>
              </w:rPr>
            </w:pPr>
          </w:p>
        </w:tc>
        <w:tc>
          <w:tcPr>
            <w:tcW w:w="624"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NH</w:t>
            </w:r>
            <w:r>
              <w:rPr>
                <w:snapToGrid w:val="0"/>
                <w:color w:val="auto"/>
                <w:vertAlign w:val="subscript"/>
              </w:rPr>
              <w:t>3</w:t>
            </w:r>
            <w:r>
              <w:rPr>
                <w:snapToGrid w:val="0"/>
                <w:color w:val="auto"/>
              </w:rPr>
              <w:t>-N（t/a）</w:t>
            </w:r>
          </w:p>
        </w:tc>
        <w:tc>
          <w:tcPr>
            <w:tcW w:w="498"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459"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0.0059</w:t>
            </w:r>
          </w:p>
        </w:tc>
        <w:tc>
          <w:tcPr>
            <w:tcW w:w="636" w:type="pct"/>
            <w:tcBorders>
              <w:top w:val="single" w:color="auto" w:sz="4" w:space="0"/>
              <w:left w:val="single" w:color="auto" w:sz="4" w:space="0"/>
              <w:bottom w:val="single" w:color="auto" w:sz="4" w:space="0"/>
              <w:right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0.0059</w:t>
            </w:r>
          </w:p>
        </w:tc>
        <w:tc>
          <w:tcPr>
            <w:tcW w:w="1122" w:type="dxa"/>
            <w:tcBorders>
              <w:top w:val="single" w:color="auto" w:sz="4" w:space="0"/>
              <w:left w:val="single" w:color="auto" w:sz="4" w:space="0"/>
              <w:bottom w:val="single" w:color="auto" w:sz="4"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lang w:val="en-US" w:eastAsia="zh-CN"/>
              </w:rPr>
              <w:t>0.0059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6" w:type="pct"/>
            <w:gridSpan w:val="2"/>
            <w:tcBorders>
              <w:top w:val="single" w:color="auto" w:sz="4" w:space="0"/>
              <w:left w:val="single" w:color="auto" w:sz="12" w:space="0"/>
              <w:bottom w:val="single" w:color="auto" w:sz="4" w:space="0"/>
            </w:tcBorders>
            <w:noWrap w:val="0"/>
            <w:vAlign w:val="center"/>
          </w:tcPr>
          <w:p>
            <w:pPr>
              <w:pStyle w:val="15"/>
              <w:rPr>
                <w:b/>
                <w:color w:val="auto"/>
                <w:kern w:val="0"/>
              </w:rPr>
            </w:pPr>
            <w:r>
              <w:rPr>
                <w:color w:val="auto"/>
                <w:kern w:val="0"/>
              </w:rPr>
              <w:t>生活垃圾</w:t>
            </w:r>
            <w:r>
              <w:rPr>
                <w:snapToGrid w:val="0"/>
                <w:color w:val="auto"/>
              </w:rPr>
              <w:t>（t/a）</w:t>
            </w:r>
          </w:p>
        </w:tc>
        <w:tc>
          <w:tcPr>
            <w:tcW w:w="498" w:type="pct"/>
            <w:tcBorders>
              <w:top w:val="single" w:color="auto" w:sz="4" w:space="0"/>
              <w:bottom w:val="single" w:color="auto" w:sz="4" w:space="0"/>
            </w:tcBorders>
            <w:noWrap w:val="0"/>
            <w:vAlign w:val="center"/>
          </w:tcPr>
          <w:p>
            <w:pPr>
              <w:pStyle w:val="15"/>
              <w:rPr>
                <w:snapToGrid w:val="0"/>
                <w:color w:val="auto"/>
              </w:rPr>
            </w:pPr>
          </w:p>
        </w:tc>
        <w:tc>
          <w:tcPr>
            <w:tcW w:w="459"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bottom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kern w:val="0"/>
                <w:lang w:val="en-US" w:eastAsia="zh-CN"/>
              </w:rPr>
              <w:t>1.8</w:t>
            </w:r>
          </w:p>
        </w:tc>
        <w:tc>
          <w:tcPr>
            <w:tcW w:w="636"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bottom w:val="single" w:color="auto" w:sz="4" w:space="0"/>
            </w:tcBorders>
            <w:noWrap w:val="0"/>
            <w:vAlign w:val="center"/>
          </w:tcPr>
          <w:p>
            <w:pPr>
              <w:pStyle w:val="15"/>
              <w:ind w:firstLine="0" w:firstLineChars="0"/>
              <w:rPr>
                <w:rFonts w:hint="default" w:eastAsia="宋体"/>
                <w:color w:val="auto"/>
                <w:kern w:val="0"/>
                <w:lang w:val="en-US" w:eastAsia="zh-CN"/>
              </w:rPr>
            </w:pPr>
            <w:r>
              <w:rPr>
                <w:rFonts w:hint="eastAsia"/>
                <w:color w:val="auto"/>
                <w:kern w:val="0"/>
                <w:lang w:val="en-US" w:eastAsia="zh-CN"/>
              </w:rPr>
              <w:t>1.8</w:t>
            </w:r>
          </w:p>
        </w:tc>
        <w:tc>
          <w:tcPr>
            <w:tcW w:w="1122" w:type="dxa"/>
            <w:tcBorders>
              <w:top w:val="single" w:color="auto" w:sz="4" w:space="0"/>
              <w:bottom w:val="single" w:color="auto" w:sz="4"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kern w:val="0"/>
                <w:lang w:val="en-US" w:eastAsia="zh-CN"/>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tcBorders>
              <w:top w:val="single" w:color="auto" w:sz="4" w:space="0"/>
              <w:left w:val="single" w:color="auto" w:sz="12" w:space="0"/>
              <w:bottom w:val="single" w:color="auto" w:sz="4" w:space="0"/>
            </w:tcBorders>
            <w:noWrap w:val="0"/>
            <w:vAlign w:val="center"/>
          </w:tcPr>
          <w:p>
            <w:pPr>
              <w:pStyle w:val="15"/>
              <w:rPr>
                <w:snapToGrid w:val="0"/>
                <w:color w:val="auto"/>
              </w:rPr>
            </w:pPr>
            <w:r>
              <w:rPr>
                <w:snapToGrid w:val="0"/>
                <w:color w:val="auto"/>
              </w:rPr>
              <w:t>一般工业</w:t>
            </w:r>
          </w:p>
          <w:p>
            <w:pPr>
              <w:pStyle w:val="15"/>
              <w:rPr>
                <w:snapToGrid w:val="0"/>
                <w:color w:val="auto"/>
              </w:rPr>
            </w:pPr>
            <w:r>
              <w:rPr>
                <w:snapToGrid w:val="0"/>
                <w:color w:val="auto"/>
              </w:rPr>
              <w:t>固体废物</w:t>
            </w:r>
          </w:p>
        </w:tc>
        <w:tc>
          <w:tcPr>
            <w:tcW w:w="624" w:type="pct"/>
            <w:tcBorders>
              <w:top w:val="single" w:color="auto" w:sz="4" w:space="0"/>
              <w:bottom w:val="single" w:color="auto" w:sz="4" w:space="0"/>
            </w:tcBorders>
            <w:noWrap w:val="0"/>
            <w:vAlign w:val="center"/>
          </w:tcPr>
          <w:p>
            <w:pPr>
              <w:pStyle w:val="15"/>
              <w:rPr>
                <w:b/>
                <w:color w:val="auto"/>
              </w:rPr>
            </w:pPr>
            <w:r>
              <w:rPr>
                <w:color w:val="auto"/>
              </w:rPr>
              <w:t>收集粉尘</w:t>
            </w:r>
            <w:r>
              <w:rPr>
                <w:snapToGrid w:val="0"/>
                <w:color w:val="auto"/>
              </w:rPr>
              <w:t>（t/a）</w:t>
            </w:r>
          </w:p>
        </w:tc>
        <w:tc>
          <w:tcPr>
            <w:tcW w:w="498"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459"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bottom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21.127</w:t>
            </w:r>
          </w:p>
        </w:tc>
        <w:tc>
          <w:tcPr>
            <w:tcW w:w="636"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bottom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21.127</w:t>
            </w:r>
          </w:p>
        </w:tc>
        <w:tc>
          <w:tcPr>
            <w:tcW w:w="1122" w:type="dxa"/>
            <w:tcBorders>
              <w:top w:val="single" w:color="auto" w:sz="4" w:space="0"/>
              <w:bottom w:val="single" w:color="auto" w:sz="4"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lang w:val="en-US" w:eastAsia="zh-CN"/>
              </w:rPr>
              <w:t>21.127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tcBorders>
              <w:top w:val="single" w:color="auto" w:sz="4" w:space="0"/>
              <w:left w:val="single" w:color="auto" w:sz="12" w:space="0"/>
              <w:bottom w:val="single" w:color="auto" w:sz="4" w:space="0"/>
            </w:tcBorders>
            <w:noWrap w:val="0"/>
            <w:vAlign w:val="center"/>
          </w:tcPr>
          <w:p>
            <w:pPr>
              <w:pStyle w:val="15"/>
              <w:rPr>
                <w:snapToGrid w:val="0"/>
                <w:color w:val="auto"/>
              </w:rPr>
            </w:pPr>
          </w:p>
        </w:tc>
        <w:tc>
          <w:tcPr>
            <w:tcW w:w="624" w:type="pct"/>
            <w:tcBorders>
              <w:top w:val="single" w:color="auto" w:sz="4" w:space="0"/>
              <w:bottom w:val="single" w:color="auto" w:sz="4" w:space="0"/>
            </w:tcBorders>
            <w:noWrap w:val="0"/>
            <w:vAlign w:val="center"/>
          </w:tcPr>
          <w:p>
            <w:pPr>
              <w:pStyle w:val="15"/>
              <w:rPr>
                <w:color w:val="auto"/>
              </w:rPr>
            </w:pPr>
            <w:r>
              <w:rPr>
                <w:color w:val="auto"/>
              </w:rPr>
              <w:t>沉淀罐污泥</w:t>
            </w:r>
            <w:r>
              <w:rPr>
                <w:snapToGrid w:val="0"/>
                <w:color w:val="auto"/>
              </w:rPr>
              <w:t>（t/a）</w:t>
            </w:r>
          </w:p>
        </w:tc>
        <w:tc>
          <w:tcPr>
            <w:tcW w:w="498"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459"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612"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570" w:type="dxa"/>
            <w:tcBorders>
              <w:top w:val="single" w:color="auto" w:sz="4" w:space="0"/>
              <w:bottom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145775</w:t>
            </w:r>
          </w:p>
        </w:tc>
        <w:tc>
          <w:tcPr>
            <w:tcW w:w="636" w:type="pct"/>
            <w:tcBorders>
              <w:top w:val="single" w:color="auto" w:sz="4" w:space="0"/>
              <w:bottom w:val="single" w:color="auto" w:sz="4" w:space="0"/>
            </w:tcBorders>
            <w:noWrap w:val="0"/>
            <w:vAlign w:val="center"/>
          </w:tcPr>
          <w:p>
            <w:pPr>
              <w:pStyle w:val="15"/>
              <w:rPr>
                <w:snapToGrid w:val="0"/>
                <w:color w:val="auto"/>
              </w:rPr>
            </w:pPr>
            <w:r>
              <w:rPr>
                <w:snapToGrid w:val="0"/>
                <w:color w:val="auto"/>
              </w:rPr>
              <w:t>/</w:t>
            </w:r>
          </w:p>
        </w:tc>
        <w:tc>
          <w:tcPr>
            <w:tcW w:w="1783" w:type="dxa"/>
            <w:tcBorders>
              <w:top w:val="single" w:color="auto" w:sz="4" w:space="0"/>
              <w:bottom w:val="single" w:color="auto" w:sz="4"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145775</w:t>
            </w:r>
          </w:p>
        </w:tc>
        <w:tc>
          <w:tcPr>
            <w:tcW w:w="1122" w:type="dxa"/>
            <w:tcBorders>
              <w:top w:val="single" w:color="auto" w:sz="4" w:space="0"/>
              <w:bottom w:val="single" w:color="auto" w:sz="4"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lang w:val="en-US" w:eastAsia="zh-CN"/>
              </w:rPr>
              <w:t>145775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12" w:space="0"/>
              <w:bottom w:val="single" w:color="auto" w:sz="12" w:space="0"/>
            </w:tcBorders>
            <w:noWrap w:val="0"/>
            <w:vAlign w:val="center"/>
          </w:tcPr>
          <w:p>
            <w:pPr>
              <w:pStyle w:val="15"/>
              <w:rPr>
                <w:snapToGrid w:val="0"/>
                <w:color w:val="auto"/>
              </w:rPr>
            </w:pPr>
            <w:r>
              <w:rPr>
                <w:snapToGrid w:val="0"/>
                <w:color w:val="auto"/>
              </w:rPr>
              <w:t>危险废物</w:t>
            </w:r>
          </w:p>
        </w:tc>
        <w:tc>
          <w:tcPr>
            <w:tcW w:w="624" w:type="pct"/>
            <w:tcBorders>
              <w:top w:val="single" w:color="auto" w:sz="4" w:space="0"/>
              <w:bottom w:val="single" w:color="auto" w:sz="12" w:space="0"/>
            </w:tcBorders>
            <w:noWrap w:val="0"/>
            <w:vAlign w:val="center"/>
          </w:tcPr>
          <w:p>
            <w:pPr>
              <w:pStyle w:val="15"/>
              <w:rPr>
                <w:color w:val="auto"/>
              </w:rPr>
            </w:pPr>
            <w:r>
              <w:rPr>
                <w:color w:val="auto"/>
              </w:rPr>
              <w:t>废润滑油</w:t>
            </w:r>
          </w:p>
        </w:tc>
        <w:tc>
          <w:tcPr>
            <w:tcW w:w="498" w:type="pct"/>
            <w:tcBorders>
              <w:top w:val="single" w:color="auto" w:sz="4" w:space="0"/>
              <w:bottom w:val="single" w:color="auto" w:sz="12" w:space="0"/>
            </w:tcBorders>
            <w:noWrap w:val="0"/>
            <w:vAlign w:val="center"/>
          </w:tcPr>
          <w:p>
            <w:pPr>
              <w:pStyle w:val="15"/>
              <w:rPr>
                <w:snapToGrid w:val="0"/>
                <w:color w:val="auto"/>
              </w:rPr>
            </w:pPr>
            <w:r>
              <w:rPr>
                <w:snapToGrid w:val="0"/>
                <w:color w:val="auto"/>
              </w:rPr>
              <w:t>/</w:t>
            </w:r>
          </w:p>
        </w:tc>
        <w:tc>
          <w:tcPr>
            <w:tcW w:w="459" w:type="pct"/>
            <w:tcBorders>
              <w:top w:val="single" w:color="auto" w:sz="4" w:space="0"/>
              <w:bottom w:val="single" w:color="auto" w:sz="12" w:space="0"/>
            </w:tcBorders>
            <w:noWrap w:val="0"/>
            <w:vAlign w:val="center"/>
          </w:tcPr>
          <w:p>
            <w:pPr>
              <w:pStyle w:val="15"/>
              <w:rPr>
                <w:snapToGrid w:val="0"/>
                <w:color w:val="auto"/>
              </w:rPr>
            </w:pPr>
            <w:r>
              <w:rPr>
                <w:snapToGrid w:val="0"/>
                <w:color w:val="auto"/>
              </w:rPr>
              <w:t>/</w:t>
            </w:r>
          </w:p>
        </w:tc>
        <w:tc>
          <w:tcPr>
            <w:tcW w:w="612" w:type="pct"/>
            <w:tcBorders>
              <w:top w:val="single" w:color="auto" w:sz="4" w:space="0"/>
              <w:bottom w:val="single" w:color="auto" w:sz="12" w:space="0"/>
            </w:tcBorders>
            <w:noWrap w:val="0"/>
            <w:vAlign w:val="center"/>
          </w:tcPr>
          <w:p>
            <w:pPr>
              <w:pStyle w:val="15"/>
              <w:rPr>
                <w:snapToGrid w:val="0"/>
                <w:color w:val="auto"/>
              </w:rPr>
            </w:pPr>
            <w:r>
              <w:rPr>
                <w:snapToGrid w:val="0"/>
                <w:color w:val="auto"/>
              </w:rPr>
              <w:t>/</w:t>
            </w:r>
          </w:p>
        </w:tc>
        <w:tc>
          <w:tcPr>
            <w:tcW w:w="1570" w:type="dxa"/>
            <w:tcBorders>
              <w:top w:val="single" w:color="auto" w:sz="4" w:space="0"/>
              <w:bottom w:val="single" w:color="auto" w:sz="12" w:space="0"/>
            </w:tcBorders>
            <w:noWrap w:val="0"/>
            <w:vAlign w:val="center"/>
          </w:tcPr>
          <w:p>
            <w:pPr>
              <w:pStyle w:val="15"/>
              <w:ind w:firstLine="0" w:firstLineChars="0"/>
              <w:rPr>
                <w:color w:val="auto"/>
              </w:rPr>
            </w:pPr>
            <w:r>
              <w:rPr>
                <w:rFonts w:hint="eastAsia"/>
                <w:color w:val="auto"/>
                <w:lang w:val="en-US" w:eastAsia="zh-CN"/>
              </w:rPr>
              <w:t>0.5</w:t>
            </w:r>
          </w:p>
        </w:tc>
        <w:tc>
          <w:tcPr>
            <w:tcW w:w="636" w:type="pct"/>
            <w:tcBorders>
              <w:top w:val="single" w:color="auto" w:sz="4" w:space="0"/>
              <w:bottom w:val="single" w:color="auto" w:sz="12" w:space="0"/>
            </w:tcBorders>
            <w:noWrap w:val="0"/>
            <w:vAlign w:val="center"/>
          </w:tcPr>
          <w:p>
            <w:pPr>
              <w:pStyle w:val="15"/>
              <w:rPr>
                <w:snapToGrid w:val="0"/>
                <w:color w:val="auto"/>
              </w:rPr>
            </w:pPr>
            <w:r>
              <w:rPr>
                <w:snapToGrid w:val="0"/>
                <w:color w:val="auto"/>
              </w:rPr>
              <w:t>/</w:t>
            </w:r>
          </w:p>
        </w:tc>
        <w:tc>
          <w:tcPr>
            <w:tcW w:w="1783" w:type="dxa"/>
            <w:tcBorders>
              <w:top w:val="single" w:color="auto" w:sz="4" w:space="0"/>
              <w:bottom w:val="single" w:color="auto" w:sz="12" w:space="0"/>
            </w:tcBorders>
            <w:noWrap w:val="0"/>
            <w:vAlign w:val="center"/>
          </w:tcPr>
          <w:p>
            <w:pPr>
              <w:pStyle w:val="15"/>
              <w:ind w:firstLine="0" w:firstLineChars="0"/>
              <w:rPr>
                <w:rFonts w:hint="default" w:eastAsia="宋体"/>
                <w:color w:val="auto"/>
                <w:lang w:val="en-US" w:eastAsia="zh-CN"/>
              </w:rPr>
            </w:pPr>
            <w:r>
              <w:rPr>
                <w:rFonts w:hint="eastAsia"/>
                <w:color w:val="auto"/>
                <w:lang w:val="en-US" w:eastAsia="zh-CN"/>
              </w:rPr>
              <w:t>0.5</w:t>
            </w:r>
          </w:p>
        </w:tc>
        <w:tc>
          <w:tcPr>
            <w:tcW w:w="1122" w:type="dxa"/>
            <w:tcBorders>
              <w:top w:val="single" w:color="auto" w:sz="4" w:space="0"/>
              <w:bottom w:val="single" w:color="auto" w:sz="12" w:space="0"/>
              <w:right w:val="single" w:color="auto" w:sz="12" w:space="0"/>
            </w:tcBorders>
            <w:noWrap w:val="0"/>
            <w:vAlign w:val="center"/>
          </w:tcPr>
          <w:p>
            <w:pPr>
              <w:pStyle w:val="15"/>
              <w:ind w:firstLine="0" w:firstLineChars="0"/>
              <w:rPr>
                <w:color w:val="auto"/>
              </w:rPr>
            </w:pPr>
            <w:r>
              <w:rPr>
                <w:rFonts w:hint="eastAsia"/>
                <w:snapToGrid w:val="0"/>
                <w:color w:val="auto"/>
                <w:lang w:val="en-US" w:eastAsia="zh-CN"/>
              </w:rPr>
              <w:t>+</w:t>
            </w:r>
            <w:r>
              <w:rPr>
                <w:rFonts w:hint="eastAsia"/>
                <w:color w:val="auto"/>
                <w:lang w:val="en-US" w:eastAsia="zh-CN"/>
              </w:rPr>
              <w:t>0.5</w:t>
            </w:r>
          </w:p>
        </w:tc>
      </w:tr>
    </w:tbl>
    <w:p>
      <w:pPr>
        <w:pStyle w:val="15"/>
        <w:jc w:val="left"/>
        <w:rPr>
          <w:rFonts w:hint="eastAsia"/>
          <w:lang w:val="en-US" w:eastAsia="zh-CN"/>
        </w:rPr>
      </w:pPr>
      <w:r>
        <w:rPr>
          <w:snapToGrid w:val="0"/>
          <w:color w:val="auto"/>
        </w:rPr>
        <w:t>注：</w:t>
      </w:r>
      <w:r>
        <w:rPr>
          <w:snapToGrid w:val="0"/>
          <w:color w:val="auto"/>
          <w:spacing w:val="-16"/>
        </w:rPr>
        <w:fldChar w:fldCharType="begin"/>
      </w:r>
      <w:r>
        <w:rPr>
          <w:snapToGrid w:val="0"/>
          <w:color w:val="auto"/>
          <w:spacing w:val="-16"/>
        </w:rPr>
        <w:instrText xml:space="preserve"> = 6 \* GB3 \* MERGEFORMAT </w:instrText>
      </w:r>
      <w:r>
        <w:rPr>
          <w:snapToGrid w:val="0"/>
          <w:color w:val="auto"/>
          <w:spacing w:val="-16"/>
        </w:rPr>
        <w:fldChar w:fldCharType="separate"/>
      </w:r>
      <w:r>
        <w:rPr>
          <w:rFonts w:hint="eastAsia" w:ascii="宋体" w:hAnsi="宋体" w:cs="宋体"/>
          <w:color w:val="auto"/>
        </w:rPr>
        <w:t>⑥</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ascii="宋体" w:hAnsi="宋体" w:cs="宋体"/>
          <w:color w:val="auto"/>
        </w:rPr>
        <w:t>①</w:t>
      </w:r>
      <w:r>
        <w:rPr>
          <w:snapToGrid w:val="0"/>
          <w:color w:val="auto"/>
        </w:rPr>
        <w:fldChar w:fldCharType="end"/>
      </w:r>
      <w:r>
        <w:rPr>
          <w:snapToGrid w:val="0"/>
          <w:color w:val="auto"/>
        </w:rPr>
        <w:t>+</w:t>
      </w:r>
      <w:r>
        <w:rPr>
          <w:snapToGrid w:val="0"/>
          <w:color w:val="auto"/>
        </w:rPr>
        <w:fldChar w:fldCharType="begin"/>
      </w:r>
      <w:r>
        <w:rPr>
          <w:snapToGrid w:val="0"/>
          <w:color w:val="auto"/>
        </w:rPr>
        <w:instrText xml:space="preserve"> = 3 \* GB3 \* MERGEFORMAT </w:instrText>
      </w:r>
      <w:r>
        <w:rPr>
          <w:snapToGrid w:val="0"/>
          <w:color w:val="auto"/>
        </w:rPr>
        <w:fldChar w:fldCharType="separate"/>
      </w:r>
      <w:r>
        <w:rPr>
          <w:rFonts w:hint="eastAsia" w:ascii="宋体" w:hAnsi="宋体" w:cs="宋体"/>
          <w:color w:val="auto"/>
        </w:rPr>
        <w:t>③</w:t>
      </w:r>
      <w:r>
        <w:rPr>
          <w:snapToGrid w:val="0"/>
          <w:color w:val="auto"/>
        </w:rPr>
        <w:fldChar w:fldCharType="end"/>
      </w:r>
      <w:r>
        <w:rPr>
          <w:snapToGrid w:val="0"/>
          <w:color w:val="auto"/>
        </w:rPr>
        <w:t>+</w:t>
      </w:r>
      <w:r>
        <w:rPr>
          <w:snapToGrid w:val="0"/>
          <w:color w:val="auto"/>
        </w:rPr>
        <w:fldChar w:fldCharType="begin"/>
      </w:r>
      <w:r>
        <w:rPr>
          <w:snapToGrid w:val="0"/>
          <w:color w:val="auto"/>
        </w:rPr>
        <w:instrText xml:space="preserve"> = 4 \* GB3 \* MERGEFORMAT </w:instrText>
      </w:r>
      <w:r>
        <w:rPr>
          <w:snapToGrid w:val="0"/>
          <w:color w:val="auto"/>
        </w:rPr>
        <w:fldChar w:fldCharType="separate"/>
      </w:r>
      <w:r>
        <w:rPr>
          <w:rFonts w:hint="eastAsia" w:ascii="宋体" w:hAnsi="宋体" w:cs="宋体"/>
          <w:color w:val="auto"/>
        </w:rPr>
        <w:t>④</w:t>
      </w:r>
      <w:r>
        <w:rPr>
          <w:snapToGrid w:val="0"/>
          <w:color w:val="auto"/>
        </w:rPr>
        <w:fldChar w:fldCharType="end"/>
      </w:r>
      <w:r>
        <w:rPr>
          <w:snapToGrid w:val="0"/>
          <w:color w:val="auto"/>
        </w:rPr>
        <w:t>-</w:t>
      </w:r>
      <w:r>
        <w:rPr>
          <w:snapToGrid w:val="0"/>
          <w:color w:val="auto"/>
          <w:spacing w:val="-16"/>
        </w:rPr>
        <w:fldChar w:fldCharType="begin"/>
      </w:r>
      <w:r>
        <w:rPr>
          <w:snapToGrid w:val="0"/>
          <w:color w:val="auto"/>
          <w:spacing w:val="-16"/>
        </w:rPr>
        <w:instrText xml:space="preserve"> = 5 \* GB3 \* MERGEFORMAT </w:instrText>
      </w:r>
      <w:r>
        <w:rPr>
          <w:snapToGrid w:val="0"/>
          <w:color w:val="auto"/>
          <w:spacing w:val="-16"/>
        </w:rPr>
        <w:fldChar w:fldCharType="separate"/>
      </w:r>
      <w:r>
        <w:rPr>
          <w:rFonts w:hint="eastAsia" w:ascii="宋体" w:hAnsi="宋体" w:cs="宋体"/>
          <w:color w:val="auto"/>
        </w:rPr>
        <w:t>⑤</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7 \* GB3 \* MERGEFORMAT </w:instrText>
      </w:r>
      <w:r>
        <w:rPr>
          <w:snapToGrid w:val="0"/>
          <w:color w:val="auto"/>
        </w:rPr>
        <w:fldChar w:fldCharType="separate"/>
      </w:r>
      <w:r>
        <w:rPr>
          <w:rFonts w:hint="eastAsia" w:ascii="宋体" w:hAnsi="宋体" w:cs="宋体"/>
          <w:color w:val="auto"/>
        </w:rPr>
        <w:t>⑦</w:t>
      </w:r>
      <w:r>
        <w:rPr>
          <w:snapToGrid w:val="0"/>
          <w:color w:val="auto"/>
        </w:rPr>
        <w:fldChar w:fldCharType="end"/>
      </w:r>
      <w:r>
        <w:rPr>
          <w:snapToGrid w:val="0"/>
          <w:color w:val="auto"/>
        </w:rPr>
        <w:t>=</w:t>
      </w:r>
      <w:r>
        <w:rPr>
          <w:snapToGrid w:val="0"/>
          <w:color w:val="auto"/>
          <w:spacing w:val="-16"/>
        </w:rPr>
        <w:fldChar w:fldCharType="begin"/>
      </w:r>
      <w:r>
        <w:rPr>
          <w:snapToGrid w:val="0"/>
          <w:color w:val="auto"/>
          <w:spacing w:val="-16"/>
        </w:rPr>
        <w:instrText xml:space="preserve"> = 6 \* GB3 \* MERGEFORMAT </w:instrText>
      </w:r>
      <w:r>
        <w:rPr>
          <w:snapToGrid w:val="0"/>
          <w:color w:val="auto"/>
          <w:spacing w:val="-16"/>
        </w:rPr>
        <w:fldChar w:fldCharType="separate"/>
      </w:r>
      <w:r>
        <w:rPr>
          <w:rFonts w:hint="eastAsia" w:ascii="宋体" w:hAnsi="宋体" w:cs="宋体"/>
          <w:color w:val="auto"/>
        </w:rPr>
        <w:t>⑥</w:t>
      </w:r>
      <w:r>
        <w:rPr>
          <w:snapToGrid w:val="0"/>
          <w:color w:val="auto"/>
          <w:spacing w:val="-16"/>
        </w:rPr>
        <w:fldChar w:fldCharType="end"/>
      </w:r>
      <w:r>
        <w:rPr>
          <w:snapToGrid w:val="0"/>
          <w:color w:val="auto"/>
          <w:spacing w:val="-16"/>
        </w:rPr>
        <w:t>-</w:t>
      </w:r>
      <w:r>
        <w:rPr>
          <w:snapToGrid w:val="0"/>
          <w:color w:val="auto"/>
        </w:rPr>
        <w:fldChar w:fldCharType="begin"/>
      </w:r>
      <w:r>
        <w:rPr>
          <w:snapToGrid w:val="0"/>
          <w:color w:val="auto"/>
        </w:rPr>
        <w:instrText xml:space="preserve"> = 1 \* GB3 \* MERGEFORMAT </w:instrText>
      </w:r>
      <w:r>
        <w:rPr>
          <w:snapToGrid w:val="0"/>
          <w:color w:val="auto"/>
        </w:rPr>
        <w:fldChar w:fldCharType="separate"/>
      </w:r>
      <w:r>
        <w:rPr>
          <w:rFonts w:hint="eastAsia" w:ascii="宋体" w:hAnsi="宋体" w:cs="宋体"/>
          <w:color w:val="auto"/>
        </w:rPr>
        <w:t>①</w:t>
      </w:r>
      <w:r>
        <w:rPr>
          <w:snapToGrid w:val="0"/>
          <w:color w:val="auto"/>
        </w:rPr>
        <w:fldChar w:fldCharType="end"/>
      </w:r>
      <w:bookmarkStart w:id="5" w:name="_GoBack"/>
      <w:bookmarkEnd w:id="5"/>
    </w:p>
    <w:sectPr>
      <w:headerReference r:id="rId8" w:type="default"/>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51</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ind w:firstLine="360"/>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20CB8"/>
    <w:multiLevelType w:val="singleLevel"/>
    <w:tmpl w:val="8EF20CB8"/>
    <w:lvl w:ilvl="0" w:tentative="0">
      <w:start w:val="1"/>
      <w:numFmt w:val="decimal"/>
      <w:suff w:val="nothing"/>
      <w:lvlText w:val="（%1）"/>
      <w:lvlJc w:val="left"/>
    </w:lvl>
  </w:abstractNum>
  <w:abstractNum w:abstractNumId="1">
    <w:nsid w:val="36E054CC"/>
    <w:multiLevelType w:val="singleLevel"/>
    <w:tmpl w:val="36E054CC"/>
    <w:lvl w:ilvl="0" w:tentative="0">
      <w:start w:val="1"/>
      <w:numFmt w:val="decimal"/>
      <w:suff w:val="nothing"/>
      <w:lvlText w:val="%1、"/>
      <w:lvlJc w:val="left"/>
    </w:lvl>
  </w:abstractNum>
  <w:abstractNum w:abstractNumId="2">
    <w:nsid w:val="5B1F18B1"/>
    <w:multiLevelType w:val="singleLevel"/>
    <w:tmpl w:val="5B1F18B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2QyMDFlMTU5NjUwNmY2MzE3M2M2MjE4ZTJkYjAifQ=="/>
  </w:docVars>
  <w:rsids>
    <w:rsidRoot w:val="29BE38B2"/>
    <w:rsid w:val="006D2A98"/>
    <w:rsid w:val="0094193E"/>
    <w:rsid w:val="00BA3803"/>
    <w:rsid w:val="012623E8"/>
    <w:rsid w:val="016320EC"/>
    <w:rsid w:val="01C012ED"/>
    <w:rsid w:val="01E37862"/>
    <w:rsid w:val="01F01BD2"/>
    <w:rsid w:val="02331ABF"/>
    <w:rsid w:val="024141DC"/>
    <w:rsid w:val="024320C4"/>
    <w:rsid w:val="02B902F6"/>
    <w:rsid w:val="02D355FF"/>
    <w:rsid w:val="03684C22"/>
    <w:rsid w:val="03A5079A"/>
    <w:rsid w:val="03BB7FBE"/>
    <w:rsid w:val="041B0A5C"/>
    <w:rsid w:val="04293179"/>
    <w:rsid w:val="04700DA8"/>
    <w:rsid w:val="05377B18"/>
    <w:rsid w:val="054B5371"/>
    <w:rsid w:val="055F5E93"/>
    <w:rsid w:val="056301C7"/>
    <w:rsid w:val="059E1945"/>
    <w:rsid w:val="05E9008A"/>
    <w:rsid w:val="05EF03F3"/>
    <w:rsid w:val="062720B7"/>
    <w:rsid w:val="06DB4284"/>
    <w:rsid w:val="07155C37"/>
    <w:rsid w:val="075347A0"/>
    <w:rsid w:val="07B94814"/>
    <w:rsid w:val="08486B2D"/>
    <w:rsid w:val="08614F7F"/>
    <w:rsid w:val="086209B6"/>
    <w:rsid w:val="09184D15"/>
    <w:rsid w:val="0928162E"/>
    <w:rsid w:val="094D3F82"/>
    <w:rsid w:val="09570789"/>
    <w:rsid w:val="0967714B"/>
    <w:rsid w:val="097035F9"/>
    <w:rsid w:val="0ACC2AB1"/>
    <w:rsid w:val="0B705C98"/>
    <w:rsid w:val="0B9E269F"/>
    <w:rsid w:val="0BC4144B"/>
    <w:rsid w:val="0C0369A6"/>
    <w:rsid w:val="0CBE22B8"/>
    <w:rsid w:val="0CDC69F0"/>
    <w:rsid w:val="0DAE2941"/>
    <w:rsid w:val="0DC27DA1"/>
    <w:rsid w:val="0DF26E36"/>
    <w:rsid w:val="0E252C04"/>
    <w:rsid w:val="0E2A021A"/>
    <w:rsid w:val="0E370B89"/>
    <w:rsid w:val="0E770F85"/>
    <w:rsid w:val="0EBE4E06"/>
    <w:rsid w:val="0EC341CA"/>
    <w:rsid w:val="0F034AC4"/>
    <w:rsid w:val="0F220EF1"/>
    <w:rsid w:val="0F4E7F38"/>
    <w:rsid w:val="0FA62755"/>
    <w:rsid w:val="0FB104C7"/>
    <w:rsid w:val="10150A56"/>
    <w:rsid w:val="10625426"/>
    <w:rsid w:val="10DD0812"/>
    <w:rsid w:val="111B209C"/>
    <w:rsid w:val="117D5655"/>
    <w:rsid w:val="1218482D"/>
    <w:rsid w:val="1283696D"/>
    <w:rsid w:val="12A06CFD"/>
    <w:rsid w:val="134A310C"/>
    <w:rsid w:val="13BB36C2"/>
    <w:rsid w:val="13BD568C"/>
    <w:rsid w:val="145A0734"/>
    <w:rsid w:val="14DA401C"/>
    <w:rsid w:val="153F759E"/>
    <w:rsid w:val="15804BC3"/>
    <w:rsid w:val="166A4B5F"/>
    <w:rsid w:val="16AC73DB"/>
    <w:rsid w:val="16AE750E"/>
    <w:rsid w:val="177A3FD2"/>
    <w:rsid w:val="178672CA"/>
    <w:rsid w:val="17942BA8"/>
    <w:rsid w:val="18090783"/>
    <w:rsid w:val="181B371A"/>
    <w:rsid w:val="181B6E25"/>
    <w:rsid w:val="18A94431"/>
    <w:rsid w:val="196900E6"/>
    <w:rsid w:val="19A370D2"/>
    <w:rsid w:val="1A734CF7"/>
    <w:rsid w:val="1A89451A"/>
    <w:rsid w:val="1B7A3E63"/>
    <w:rsid w:val="1BDE0896"/>
    <w:rsid w:val="1C006A5E"/>
    <w:rsid w:val="1CC45CDD"/>
    <w:rsid w:val="1CD106DF"/>
    <w:rsid w:val="1CDF6673"/>
    <w:rsid w:val="1D4A6A1B"/>
    <w:rsid w:val="1E696B3C"/>
    <w:rsid w:val="1E975F50"/>
    <w:rsid w:val="1F013251"/>
    <w:rsid w:val="1FA83694"/>
    <w:rsid w:val="1FCB1131"/>
    <w:rsid w:val="1FF552A4"/>
    <w:rsid w:val="20A97FEC"/>
    <w:rsid w:val="20DA203C"/>
    <w:rsid w:val="2116462E"/>
    <w:rsid w:val="21350F58"/>
    <w:rsid w:val="2180050E"/>
    <w:rsid w:val="227C4964"/>
    <w:rsid w:val="22CC1448"/>
    <w:rsid w:val="23887A65"/>
    <w:rsid w:val="23ED09D4"/>
    <w:rsid w:val="24280375"/>
    <w:rsid w:val="24765B0F"/>
    <w:rsid w:val="252966D9"/>
    <w:rsid w:val="257162D7"/>
    <w:rsid w:val="25A71CF8"/>
    <w:rsid w:val="25C97EC1"/>
    <w:rsid w:val="265E301E"/>
    <w:rsid w:val="26D447AA"/>
    <w:rsid w:val="274041B2"/>
    <w:rsid w:val="27440052"/>
    <w:rsid w:val="274A3283"/>
    <w:rsid w:val="27F82F2A"/>
    <w:rsid w:val="28355CE1"/>
    <w:rsid w:val="28397580"/>
    <w:rsid w:val="28703057"/>
    <w:rsid w:val="28B5472C"/>
    <w:rsid w:val="28E13773"/>
    <w:rsid w:val="295F7336"/>
    <w:rsid w:val="29B80978"/>
    <w:rsid w:val="29BE38B2"/>
    <w:rsid w:val="2A282FC7"/>
    <w:rsid w:val="2A46591C"/>
    <w:rsid w:val="2A8E5CCA"/>
    <w:rsid w:val="2B053749"/>
    <w:rsid w:val="2B2C75A8"/>
    <w:rsid w:val="2B83485D"/>
    <w:rsid w:val="2BA207D1"/>
    <w:rsid w:val="2BC213FC"/>
    <w:rsid w:val="2DCD41C4"/>
    <w:rsid w:val="2E0F2B31"/>
    <w:rsid w:val="2E1B7727"/>
    <w:rsid w:val="2E24038A"/>
    <w:rsid w:val="2F5922B5"/>
    <w:rsid w:val="2F5C3B54"/>
    <w:rsid w:val="2F6173BC"/>
    <w:rsid w:val="2F8B52A4"/>
    <w:rsid w:val="2F8D1F90"/>
    <w:rsid w:val="30077F63"/>
    <w:rsid w:val="301B756B"/>
    <w:rsid w:val="308D102C"/>
    <w:rsid w:val="30C756D3"/>
    <w:rsid w:val="317E4255"/>
    <w:rsid w:val="318A2BFA"/>
    <w:rsid w:val="31BC4D7D"/>
    <w:rsid w:val="31C83722"/>
    <w:rsid w:val="31D742BB"/>
    <w:rsid w:val="31D9148B"/>
    <w:rsid w:val="326C67A3"/>
    <w:rsid w:val="328E04C8"/>
    <w:rsid w:val="32CE4D68"/>
    <w:rsid w:val="33E41473"/>
    <w:rsid w:val="34123777"/>
    <w:rsid w:val="34605E94"/>
    <w:rsid w:val="346C65E7"/>
    <w:rsid w:val="347831DE"/>
    <w:rsid w:val="34CC52D7"/>
    <w:rsid w:val="351A1559"/>
    <w:rsid w:val="35AF0E81"/>
    <w:rsid w:val="35C1013F"/>
    <w:rsid w:val="35FC399A"/>
    <w:rsid w:val="36321AB2"/>
    <w:rsid w:val="369104C3"/>
    <w:rsid w:val="36CB6A7D"/>
    <w:rsid w:val="3701195B"/>
    <w:rsid w:val="37164F30"/>
    <w:rsid w:val="38764615"/>
    <w:rsid w:val="38C34C43"/>
    <w:rsid w:val="39317DFF"/>
    <w:rsid w:val="39455658"/>
    <w:rsid w:val="397B72A5"/>
    <w:rsid w:val="3988228A"/>
    <w:rsid w:val="39AE7A9A"/>
    <w:rsid w:val="39B06F76"/>
    <w:rsid w:val="39F5707E"/>
    <w:rsid w:val="39FA2294"/>
    <w:rsid w:val="3A277744"/>
    <w:rsid w:val="3A704957"/>
    <w:rsid w:val="3AC81B67"/>
    <w:rsid w:val="3B057795"/>
    <w:rsid w:val="3C9E1C4F"/>
    <w:rsid w:val="3D874491"/>
    <w:rsid w:val="3DB32019"/>
    <w:rsid w:val="3DF45300"/>
    <w:rsid w:val="3E595E2E"/>
    <w:rsid w:val="3EA23BF5"/>
    <w:rsid w:val="3EE15E23"/>
    <w:rsid w:val="3F3423F7"/>
    <w:rsid w:val="3F6A5E19"/>
    <w:rsid w:val="3F8A64BB"/>
    <w:rsid w:val="3FCA4B09"/>
    <w:rsid w:val="3FEC77F5"/>
    <w:rsid w:val="3FFA53EF"/>
    <w:rsid w:val="40104C12"/>
    <w:rsid w:val="40254956"/>
    <w:rsid w:val="40F260C6"/>
    <w:rsid w:val="41404DF1"/>
    <w:rsid w:val="415B3C6B"/>
    <w:rsid w:val="416100B8"/>
    <w:rsid w:val="41742F7F"/>
    <w:rsid w:val="418525F9"/>
    <w:rsid w:val="420941F8"/>
    <w:rsid w:val="426231E8"/>
    <w:rsid w:val="430407F7"/>
    <w:rsid w:val="43B12268"/>
    <w:rsid w:val="43BD6E5F"/>
    <w:rsid w:val="441A7E0D"/>
    <w:rsid w:val="44663053"/>
    <w:rsid w:val="44B71391"/>
    <w:rsid w:val="45140D01"/>
    <w:rsid w:val="45DC473D"/>
    <w:rsid w:val="45EF7078"/>
    <w:rsid w:val="46080139"/>
    <w:rsid w:val="46713F31"/>
    <w:rsid w:val="46804174"/>
    <w:rsid w:val="46915AB2"/>
    <w:rsid w:val="46B207D1"/>
    <w:rsid w:val="46DC2E3D"/>
    <w:rsid w:val="46E44703"/>
    <w:rsid w:val="471D7B10"/>
    <w:rsid w:val="47A04ACD"/>
    <w:rsid w:val="48BE037C"/>
    <w:rsid w:val="48CE566A"/>
    <w:rsid w:val="48F871C5"/>
    <w:rsid w:val="49470F79"/>
    <w:rsid w:val="495C4A24"/>
    <w:rsid w:val="496D09DF"/>
    <w:rsid w:val="49980CE8"/>
    <w:rsid w:val="4A0F3A37"/>
    <w:rsid w:val="4A421E6C"/>
    <w:rsid w:val="4B6B53F2"/>
    <w:rsid w:val="4B8D5369"/>
    <w:rsid w:val="4BA267FC"/>
    <w:rsid w:val="4BBC79FC"/>
    <w:rsid w:val="4BE56F53"/>
    <w:rsid w:val="4C0373D9"/>
    <w:rsid w:val="4C0E1606"/>
    <w:rsid w:val="4D356A43"/>
    <w:rsid w:val="4E9B5FEF"/>
    <w:rsid w:val="4F0C2A48"/>
    <w:rsid w:val="4F376450"/>
    <w:rsid w:val="4F5522AA"/>
    <w:rsid w:val="4FA113E3"/>
    <w:rsid w:val="4FF534DD"/>
    <w:rsid w:val="5039786D"/>
    <w:rsid w:val="504223BD"/>
    <w:rsid w:val="50C420B9"/>
    <w:rsid w:val="510F25E0"/>
    <w:rsid w:val="515B7CB7"/>
    <w:rsid w:val="51FA74D0"/>
    <w:rsid w:val="52290F9E"/>
    <w:rsid w:val="532A7F69"/>
    <w:rsid w:val="533D7674"/>
    <w:rsid w:val="53C605B1"/>
    <w:rsid w:val="53D76A77"/>
    <w:rsid w:val="53F478A8"/>
    <w:rsid w:val="541D6CAF"/>
    <w:rsid w:val="5422686A"/>
    <w:rsid w:val="54D45DB6"/>
    <w:rsid w:val="550A4265"/>
    <w:rsid w:val="55757F75"/>
    <w:rsid w:val="55855303"/>
    <w:rsid w:val="56867584"/>
    <w:rsid w:val="56903F5F"/>
    <w:rsid w:val="569E667C"/>
    <w:rsid w:val="56B75990"/>
    <w:rsid w:val="56BA5480"/>
    <w:rsid w:val="56C9121F"/>
    <w:rsid w:val="56FC2128"/>
    <w:rsid w:val="571C3A45"/>
    <w:rsid w:val="58473F79"/>
    <w:rsid w:val="589C0766"/>
    <w:rsid w:val="58EB7CC4"/>
    <w:rsid w:val="59475CBC"/>
    <w:rsid w:val="5A6D75B6"/>
    <w:rsid w:val="5A70032F"/>
    <w:rsid w:val="5A7D2A4C"/>
    <w:rsid w:val="5A871B1D"/>
    <w:rsid w:val="5A97056C"/>
    <w:rsid w:val="5AA4622B"/>
    <w:rsid w:val="5C891F78"/>
    <w:rsid w:val="5CA97B29"/>
    <w:rsid w:val="5CB37094"/>
    <w:rsid w:val="5CDE3A5E"/>
    <w:rsid w:val="5DE80B25"/>
    <w:rsid w:val="5E473A9D"/>
    <w:rsid w:val="5EA66A16"/>
    <w:rsid w:val="5EE4309A"/>
    <w:rsid w:val="5EF157B7"/>
    <w:rsid w:val="5F2A3265"/>
    <w:rsid w:val="5FB213EA"/>
    <w:rsid w:val="601E25DC"/>
    <w:rsid w:val="604E0782"/>
    <w:rsid w:val="60671B1B"/>
    <w:rsid w:val="60BC65B4"/>
    <w:rsid w:val="6175447D"/>
    <w:rsid w:val="61BF6F20"/>
    <w:rsid w:val="61CA39B8"/>
    <w:rsid w:val="6210022A"/>
    <w:rsid w:val="62B61F11"/>
    <w:rsid w:val="633C08FC"/>
    <w:rsid w:val="63A75137"/>
    <w:rsid w:val="63D25BB7"/>
    <w:rsid w:val="641A4DCE"/>
    <w:rsid w:val="64A07A63"/>
    <w:rsid w:val="64E369B6"/>
    <w:rsid w:val="64E8140A"/>
    <w:rsid w:val="65A2780B"/>
    <w:rsid w:val="65C07C91"/>
    <w:rsid w:val="6609788A"/>
    <w:rsid w:val="667C2F02"/>
    <w:rsid w:val="677D5E3A"/>
    <w:rsid w:val="684626D0"/>
    <w:rsid w:val="68701E42"/>
    <w:rsid w:val="6884144A"/>
    <w:rsid w:val="68F4037D"/>
    <w:rsid w:val="690A41A6"/>
    <w:rsid w:val="695F613F"/>
    <w:rsid w:val="696D0DB3"/>
    <w:rsid w:val="69834FD6"/>
    <w:rsid w:val="69B61AD7"/>
    <w:rsid w:val="6A114F5F"/>
    <w:rsid w:val="6AA56AAB"/>
    <w:rsid w:val="6ACC5C2B"/>
    <w:rsid w:val="6AD95A7D"/>
    <w:rsid w:val="6B721FC8"/>
    <w:rsid w:val="6BCC7E83"/>
    <w:rsid w:val="6C032925"/>
    <w:rsid w:val="6C124DB1"/>
    <w:rsid w:val="6C757A27"/>
    <w:rsid w:val="6C7812C6"/>
    <w:rsid w:val="6CEA117F"/>
    <w:rsid w:val="6D0D1A0E"/>
    <w:rsid w:val="6DFA6436"/>
    <w:rsid w:val="6E0A2596"/>
    <w:rsid w:val="6E21600C"/>
    <w:rsid w:val="6E8B6320"/>
    <w:rsid w:val="6F024131"/>
    <w:rsid w:val="6F092906"/>
    <w:rsid w:val="6FB1521A"/>
    <w:rsid w:val="6FE54EC4"/>
    <w:rsid w:val="703E6828"/>
    <w:rsid w:val="70A05B26"/>
    <w:rsid w:val="70D87789"/>
    <w:rsid w:val="71A17EC1"/>
    <w:rsid w:val="71B32753"/>
    <w:rsid w:val="71BC1C54"/>
    <w:rsid w:val="71CB1E97"/>
    <w:rsid w:val="71EF202A"/>
    <w:rsid w:val="71FE5034"/>
    <w:rsid w:val="721101F2"/>
    <w:rsid w:val="72952BD1"/>
    <w:rsid w:val="729D3DE8"/>
    <w:rsid w:val="72E7565B"/>
    <w:rsid w:val="7329331A"/>
    <w:rsid w:val="74600FBD"/>
    <w:rsid w:val="74820F33"/>
    <w:rsid w:val="74B3399A"/>
    <w:rsid w:val="754B3A1B"/>
    <w:rsid w:val="759929D8"/>
    <w:rsid w:val="75A35605"/>
    <w:rsid w:val="75E8126A"/>
    <w:rsid w:val="76103E20"/>
    <w:rsid w:val="7614205F"/>
    <w:rsid w:val="76210C53"/>
    <w:rsid w:val="768014A2"/>
    <w:rsid w:val="768342E6"/>
    <w:rsid w:val="77075720"/>
    <w:rsid w:val="770B3462"/>
    <w:rsid w:val="7762504C"/>
    <w:rsid w:val="77876651"/>
    <w:rsid w:val="783C3AEF"/>
    <w:rsid w:val="78E72FD3"/>
    <w:rsid w:val="79825532"/>
    <w:rsid w:val="7A17211E"/>
    <w:rsid w:val="7AF000B0"/>
    <w:rsid w:val="7BA619AB"/>
    <w:rsid w:val="7BAF486E"/>
    <w:rsid w:val="7BBE0045"/>
    <w:rsid w:val="7BF727A4"/>
    <w:rsid w:val="7D254B52"/>
    <w:rsid w:val="7E843AFA"/>
    <w:rsid w:val="7EB9763C"/>
    <w:rsid w:val="7ED607F9"/>
    <w:rsid w:val="7F0A2251"/>
    <w:rsid w:val="7F435763"/>
    <w:rsid w:val="7F932247"/>
    <w:rsid w:val="7FA60E27"/>
    <w:rsid w:val="7FC40652"/>
    <w:rsid w:val="7FCD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link w:val="2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99"/>
    <w:pPr>
      <w:widowControl w:val="0"/>
      <w:adjustRightInd/>
      <w:snapToGrid/>
      <w:spacing w:line="240" w:lineRule="auto"/>
      <w:ind w:firstLine="420" w:firstLineChars="0"/>
    </w:pPr>
    <w:rPr>
      <w:rFonts w:eastAsia="仿宋_GB2312"/>
      <w:color w:val="auto"/>
      <w:sz w:val="28"/>
      <w:szCs w:val="20"/>
    </w:rPr>
  </w:style>
  <w:style w:type="paragraph" w:styleId="4">
    <w:name w:val="annotation text"/>
    <w:basedOn w:val="1"/>
    <w:qFormat/>
    <w:uiPriority w:val="0"/>
    <w:pPr>
      <w:jc w:val="left"/>
    </w:pPr>
  </w:style>
  <w:style w:type="paragraph" w:styleId="5">
    <w:name w:val="Body Text"/>
    <w:basedOn w:val="1"/>
    <w:qFormat/>
    <w:uiPriority w:val="0"/>
    <w:pPr>
      <w:widowControl/>
      <w:snapToGrid w:val="0"/>
      <w:spacing w:before="60" w:after="160" w:line="259" w:lineRule="auto"/>
      <w:ind w:right="113"/>
    </w:pPr>
    <w:rPr>
      <w:kern w:val="0"/>
      <w:sz w:val="18"/>
      <w:szCs w:val="20"/>
    </w:rPr>
  </w:style>
  <w:style w:type="paragraph" w:styleId="6">
    <w:name w:val="footer"/>
    <w:basedOn w:val="1"/>
    <w:qFormat/>
    <w:uiPriority w:val="99"/>
    <w:pPr>
      <w:tabs>
        <w:tab w:val="center" w:pos="4153"/>
        <w:tab w:val="right" w:pos="8306"/>
      </w:tabs>
      <w:spacing w:line="240" w:lineRule="auto"/>
      <w:jc w:val="left"/>
    </w:pPr>
    <w:rPr>
      <w:sz w:val="18"/>
      <w:szCs w:val="18"/>
    </w:rPr>
  </w:style>
  <w:style w:type="paragraph" w:styleId="7">
    <w:name w:val="header"/>
    <w:basedOn w:val="1"/>
    <w:qFormat/>
    <w:uiPriority w:val="0"/>
    <w:pPr>
      <w:pBdr>
        <w:bottom w:val="single" w:color="auto" w:sz="6" w:space="1"/>
      </w:pBdr>
      <w:tabs>
        <w:tab w:val="center" w:pos="4153"/>
        <w:tab w:val="right" w:pos="8306"/>
      </w:tabs>
      <w:spacing w:line="240" w:lineRule="auto"/>
      <w:jc w:val="center"/>
    </w:pPr>
    <w:rPr>
      <w:sz w:val="18"/>
      <w:szCs w:val="18"/>
    </w:rPr>
  </w:style>
  <w:style w:type="paragraph" w:styleId="8">
    <w:name w:val="Body Text First Indent"/>
    <w:basedOn w:val="5"/>
    <w:next w:val="1"/>
    <w:qFormat/>
    <w:uiPriority w:val="0"/>
    <w:pPr>
      <w:spacing w:before="0" w:line="240" w:lineRule="auto"/>
      <w:ind w:firstLine="420" w:firstLineChars="100"/>
    </w:pPr>
    <w:rPr>
      <w:rFonts w:eastAsia="宋体"/>
      <w:sz w:val="21"/>
      <w:szCs w:val="24"/>
    </w:rPr>
  </w:style>
  <w:style w:type="paragraph" w:styleId="9">
    <w:name w:val="Body Text First Indent 2"/>
    <w:basedOn w:val="1"/>
    <w:next w:val="8"/>
    <w:qFormat/>
    <w:uiPriority w:val="0"/>
    <w:pPr>
      <w:ind w:firstLine="420" w:firstLineChars="200"/>
    </w:pPr>
    <w:rPr>
      <w:kern w:val="2"/>
      <w:sz w:val="21"/>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表格标题（）"/>
    <w:basedOn w:val="1"/>
    <w:link w:val="29"/>
    <w:qFormat/>
    <w:uiPriority w:val="0"/>
    <w:pPr>
      <w:widowControl w:val="0"/>
      <w:adjustRightInd/>
      <w:snapToGrid/>
      <w:spacing w:line="240" w:lineRule="auto"/>
      <w:ind w:firstLine="0" w:firstLineChars="0"/>
      <w:jc w:val="center"/>
    </w:pPr>
    <w:rPr>
      <w:rFonts w:eastAsia="黑体"/>
      <w:color w:val="000000"/>
      <w:lang w:val="zh-CN" w:bidi="he-IL"/>
    </w:rPr>
  </w:style>
  <w:style w:type="paragraph" w:customStyle="1" w:styleId="14">
    <w:name w:val="一级标题（）"/>
    <w:basedOn w:val="1"/>
    <w:qFormat/>
    <w:uiPriority w:val="0"/>
    <w:pPr>
      <w:widowControl w:val="0"/>
      <w:ind w:firstLine="0" w:firstLineChars="0"/>
      <w:jc w:val="center"/>
      <w:outlineLvl w:val="0"/>
    </w:pPr>
    <w:rPr>
      <w:rFonts w:eastAsia="黑体"/>
      <w:bCs/>
      <w:sz w:val="32"/>
      <w:szCs w:val="28"/>
    </w:rPr>
  </w:style>
  <w:style w:type="paragraph" w:customStyle="1" w:styleId="15">
    <w:name w:val="表格内容（）"/>
    <w:basedOn w:val="1"/>
    <w:link w:val="24"/>
    <w:qFormat/>
    <w:uiPriority w:val="0"/>
    <w:pPr>
      <w:widowControl w:val="0"/>
      <w:spacing w:line="240" w:lineRule="auto"/>
      <w:ind w:firstLine="0" w:firstLineChars="0"/>
      <w:jc w:val="center"/>
    </w:pPr>
    <w:rPr>
      <w:rFonts w:ascii="Times New Roman" w:hAnsi="Times New Roman" w:eastAsia="宋体"/>
      <w:color w:val="000000" w:themeColor="text1"/>
      <w:sz w:val="21"/>
      <w14:textFill>
        <w14:solidFill>
          <w14:schemeClr w14:val="tx1"/>
        </w14:solidFill>
      </w14:textFill>
    </w:rPr>
  </w:style>
  <w:style w:type="paragraph" w:customStyle="1" w:styleId="16">
    <w:name w:val="正文（）"/>
    <w:basedOn w:val="1"/>
    <w:link w:val="19"/>
    <w:qFormat/>
    <w:uiPriority w:val="0"/>
    <w:rPr>
      <w:rFonts w:ascii="宋体" w:hAnsi="宋体"/>
      <w:color w:val="4BACC6"/>
      <w:kern w:val="0"/>
    </w:rPr>
  </w:style>
  <w:style w:type="paragraph" w:customStyle="1" w:styleId="17">
    <w:name w:val="三级标题（）"/>
    <w:basedOn w:val="1"/>
    <w:qFormat/>
    <w:uiPriority w:val="0"/>
    <w:pPr>
      <w:widowControl w:val="0"/>
      <w:tabs>
        <w:tab w:val="left" w:pos="3840"/>
      </w:tabs>
      <w:ind w:firstLine="0" w:firstLineChars="0"/>
      <w:outlineLvl w:val="2"/>
    </w:pPr>
    <w:rPr>
      <w:rFonts w:eastAsia="黑体"/>
      <w:sz w:val="28"/>
      <w:szCs w:val="30"/>
    </w:rPr>
  </w:style>
  <w:style w:type="paragraph" w:customStyle="1" w:styleId="18">
    <w:name w:val="表正文"/>
    <w:basedOn w:val="1"/>
    <w:link w:val="36"/>
    <w:qFormat/>
    <w:uiPriority w:val="0"/>
    <w:pPr>
      <w:widowControl/>
      <w:jc w:val="left"/>
    </w:pPr>
    <w:rPr>
      <w:rFonts w:ascii="宋体" w:hAnsi="宋体" w:cs="宋体"/>
      <w:szCs w:val="24"/>
    </w:rPr>
  </w:style>
  <w:style w:type="character" w:customStyle="1" w:styleId="19">
    <w:name w:val="正文（） Char"/>
    <w:link w:val="16"/>
    <w:qFormat/>
    <w:uiPriority w:val="0"/>
    <w:rPr>
      <w:rFonts w:ascii="宋体" w:hAnsi="宋体"/>
      <w:color w:val="4BACC6"/>
      <w:kern w:val="0"/>
    </w:rPr>
  </w:style>
  <w:style w:type="paragraph" w:customStyle="1" w:styleId="20">
    <w:name w:val="二级标题（）"/>
    <w:basedOn w:val="1"/>
    <w:qFormat/>
    <w:uiPriority w:val="0"/>
    <w:pPr>
      <w:widowControl w:val="0"/>
      <w:ind w:firstLine="0" w:firstLineChars="0"/>
      <w:outlineLvl w:val="1"/>
    </w:pPr>
    <w:rPr>
      <w:rFonts w:eastAsia="黑体"/>
      <w:sz w:val="30"/>
      <w:szCs w:val="30"/>
    </w:rPr>
  </w:style>
  <w:style w:type="character" w:customStyle="1" w:styleId="21">
    <w:name w:val="标题 1 Char"/>
    <w:link w:val="3"/>
    <w:qFormat/>
    <w:uiPriority w:val="0"/>
    <w:rPr>
      <w:b/>
      <w:kern w:val="44"/>
      <w:sz w:val="44"/>
    </w:rPr>
  </w:style>
  <w:style w:type="paragraph" w:customStyle="1" w:styleId="22">
    <w:name w:val="四级标题（）"/>
    <w:basedOn w:val="1"/>
    <w:qFormat/>
    <w:uiPriority w:val="0"/>
    <w:pPr>
      <w:keepNext/>
      <w:widowControl w:val="0"/>
      <w:suppressAutoHyphens/>
      <w:ind w:firstLine="0" w:firstLineChars="0"/>
      <w:textAlignment w:val="baseline"/>
      <w:outlineLvl w:val="3"/>
    </w:pPr>
    <w:rPr>
      <w:rFonts w:ascii="Calibri" w:hAnsi="Calibri" w:eastAsia="黑体"/>
      <w:bCs/>
      <w:kern w:val="28"/>
      <w:lang w:bidi="he-IL"/>
    </w:rPr>
  </w:style>
  <w:style w:type="paragraph" w:customStyle="1" w:styleId="23">
    <w:name w:val="11正文"/>
    <w:basedOn w:val="1"/>
    <w:qFormat/>
    <w:uiPriority w:val="0"/>
    <w:pPr>
      <w:adjustRightInd w:val="0"/>
      <w:snapToGrid w:val="0"/>
    </w:pPr>
    <w:rPr>
      <w:color w:val="C00000"/>
      <w:szCs w:val="24"/>
    </w:rPr>
  </w:style>
  <w:style w:type="character" w:customStyle="1" w:styleId="24">
    <w:name w:val="表格内容（） Char"/>
    <w:link w:val="15"/>
    <w:qFormat/>
    <w:uiPriority w:val="0"/>
    <w:rPr>
      <w:rFonts w:ascii="Times New Roman" w:hAnsi="Times New Roman" w:eastAsia="宋体"/>
      <w:color w:val="000000" w:themeColor="text1"/>
      <w:sz w:val="21"/>
      <w:szCs w:val="21"/>
      <w14:textFill>
        <w14:solidFill>
          <w14:schemeClr w14:val="tx1"/>
        </w14:solidFill>
      </w14:textFill>
    </w:rPr>
  </w:style>
  <w:style w:type="character" w:customStyle="1" w:styleId="25">
    <w:name w:val="15"/>
    <w:qFormat/>
    <w:uiPriority w:val="0"/>
    <w:rPr>
      <w:rFonts w:hint="eastAsia" w:ascii="宋体" w:hAnsi="宋体" w:eastAsia="宋体"/>
      <w:color w:val="4BACC6"/>
      <w:sz w:val="24"/>
      <w:szCs w:val="24"/>
    </w:rPr>
  </w:style>
  <w:style w:type="paragraph" w:customStyle="1" w:styleId="26">
    <w:name w:val="111表头"/>
    <w:basedOn w:val="27"/>
    <w:qFormat/>
    <w:uiPriority w:val="0"/>
    <w:pPr>
      <w:adjustRightInd w:val="0"/>
      <w:snapToGrid w:val="0"/>
      <w:spacing w:line="240" w:lineRule="auto"/>
      <w:ind w:firstLine="0" w:firstLineChars="0"/>
      <w:jc w:val="center"/>
    </w:pPr>
    <w:rPr>
      <w:rFonts w:eastAsia="黑体"/>
      <w:color w:val="000000" w:themeColor="text1"/>
      <w:sz w:val="24"/>
      <w14:textFill>
        <w14:solidFill>
          <w14:schemeClr w14:val="tx1"/>
        </w14:solidFill>
      </w14:textFill>
    </w:rPr>
  </w:style>
  <w:style w:type="paragraph" w:customStyle="1" w:styleId="27">
    <w:name w:val="表头 ylp"/>
    <w:basedOn w:val="1"/>
    <w:qFormat/>
    <w:uiPriority w:val="0"/>
    <w:pPr>
      <w:spacing w:line="240" w:lineRule="auto"/>
      <w:ind w:firstLine="0"/>
      <w:jc w:val="center"/>
    </w:pPr>
    <w:rPr>
      <w:rFonts w:eastAsia="黑体"/>
      <w:color w:val="0000FF"/>
      <w:sz w:val="24"/>
      <w:szCs w:val="24"/>
      <w:lang w:bidi="he-IL"/>
    </w:rPr>
  </w:style>
  <w:style w:type="paragraph" w:customStyle="1" w:styleId="28">
    <w:name w:val="【表格文字】"/>
    <w:basedOn w:val="1"/>
    <w:next w:val="1"/>
    <w:qFormat/>
    <w:uiPriority w:val="0"/>
    <w:pPr>
      <w:adjustRightInd w:val="0"/>
      <w:snapToGrid w:val="0"/>
      <w:jc w:val="center"/>
    </w:pPr>
  </w:style>
  <w:style w:type="character" w:customStyle="1" w:styleId="29">
    <w:name w:val="表格标题（） Char"/>
    <w:link w:val="13"/>
    <w:qFormat/>
    <w:uiPriority w:val="0"/>
    <w:rPr>
      <w:rFonts w:eastAsia="黑体"/>
      <w:color w:val="000000"/>
      <w:lang w:val="zh-CN" w:bidi="he-IL"/>
    </w:rPr>
  </w:style>
  <w:style w:type="paragraph" w:customStyle="1" w:styleId="30">
    <w:name w:val="正文的格式52"/>
    <w:basedOn w:val="31"/>
    <w:qFormat/>
    <w:uiPriority w:val="0"/>
    <w:pPr>
      <w:spacing w:line="360" w:lineRule="auto"/>
      <w:ind w:firstLine="200"/>
    </w:pPr>
    <w:rPr>
      <w:rFonts w:ascii="Times New Roman" w:hAnsi="Times New Roman"/>
      <w:color w:val="auto"/>
    </w:rPr>
  </w:style>
  <w:style w:type="paragraph" w:customStyle="1" w:styleId="31">
    <w:name w:val="正文格式11"/>
    <w:basedOn w:val="32"/>
    <w:qFormat/>
    <w:uiPriority w:val="0"/>
    <w:pPr>
      <w:spacing w:before="0" w:line="560" w:lineRule="exact"/>
      <w:ind w:firstLine="480"/>
    </w:pPr>
    <w:rPr>
      <w:rFonts w:ascii="Calibri" w:hAnsi="Calibri"/>
      <w:szCs w:val="20"/>
    </w:rPr>
  </w:style>
  <w:style w:type="paragraph" w:customStyle="1" w:styleId="32">
    <w:name w:val="正文格式"/>
    <w:basedOn w:val="33"/>
    <w:qFormat/>
    <w:uiPriority w:val="0"/>
    <w:pPr>
      <w:spacing w:line="360" w:lineRule="auto"/>
    </w:pPr>
    <w:rPr>
      <w:rFonts w:ascii="Times New Roman" w:hAnsi="Times New Roman"/>
    </w:rPr>
  </w:style>
  <w:style w:type="paragraph" w:customStyle="1" w:styleId="33">
    <w:name w:val="lin正文"/>
    <w:basedOn w:val="5"/>
    <w:qFormat/>
    <w:uiPriority w:val="0"/>
    <w:pPr>
      <w:spacing w:before="120" w:after="0" w:line="560" w:lineRule="exact"/>
      <w:ind w:firstLine="200" w:firstLineChars="200"/>
    </w:pPr>
    <w:rPr>
      <w:rFonts w:ascii="Calibri" w:hAnsi="Calibri"/>
      <w:color w:val="000000"/>
      <w:sz w:val="24"/>
    </w:rPr>
  </w:style>
  <w:style w:type="paragraph" w:customStyle="1" w:styleId="34">
    <w:name w:val="表头111"/>
    <w:basedOn w:val="1"/>
    <w:qFormat/>
    <w:uiPriority w:val="0"/>
    <w:pPr>
      <w:jc w:val="center"/>
    </w:pPr>
    <w:rPr>
      <w:rFonts w:eastAsia="黑体"/>
      <w:color w:val="000000"/>
      <w:sz w:val="24"/>
    </w:rPr>
  </w:style>
  <w:style w:type="paragraph" w:customStyle="1" w:styleId="35">
    <w:name w:val="7表格(壹澜)"/>
    <w:qFormat/>
    <w:uiPriority w:val="0"/>
    <w:pPr>
      <w:widowControl w:val="0"/>
      <w:jc w:val="center"/>
    </w:pPr>
    <w:rPr>
      <w:rFonts w:ascii="Times New Roman" w:hAnsi="Times New Roman" w:eastAsia="楷体_GB2312" w:cs="Times New Roman"/>
      <w:sz w:val="21"/>
      <w:szCs w:val="21"/>
      <w:lang w:val="en-US" w:eastAsia="zh-CN" w:bidi="ar-SA"/>
    </w:rPr>
  </w:style>
  <w:style w:type="character" w:customStyle="1" w:styleId="36">
    <w:name w:val="表正文 Char"/>
    <w:link w:val="18"/>
    <w:qFormat/>
    <w:uiPriority w:val="0"/>
    <w:rPr>
      <w:rFonts w:ascii="宋体" w:hAnsi="宋体" w:cs="宋体"/>
      <w:szCs w:val="24"/>
    </w:rPr>
  </w:style>
  <w:style w:type="paragraph" w:customStyle="1" w:styleId="37">
    <w:name w:val="文本"/>
    <w:qFormat/>
    <w:uiPriority w:val="0"/>
    <w:pPr>
      <w:widowControl w:val="0"/>
      <w:spacing w:line="360" w:lineRule="auto"/>
      <w:ind w:firstLine="480" w:firstLineChars="200"/>
      <w:jc w:val="both"/>
    </w:pPr>
    <w:rPr>
      <w:rFonts w:ascii="Times New Roman" w:hAnsi="Times New Roman" w:eastAsia="宋体" w:cs="宋体"/>
      <w:snapToGrid w:val="0"/>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3.bin"/><Relationship Id="rId17" Type="http://schemas.openxmlformats.org/officeDocument/2006/relationships/image" Target="media/image6.jpeg"/><Relationship Id="rId16" Type="http://schemas.openxmlformats.org/officeDocument/2006/relationships/image" Target="media/image5.emf"/><Relationship Id="rId15" Type="http://schemas.openxmlformats.org/officeDocument/2006/relationships/oleObject" Target="embeddings/oleObject2.bin"/><Relationship Id="rId14" Type="http://schemas.openxmlformats.org/officeDocument/2006/relationships/image" Target="media/image4.emf"/><Relationship Id="rId13" Type="http://schemas.openxmlformats.org/officeDocument/2006/relationships/oleObject" Target="embeddings/oleObject1.bin"/><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98</Pages>
  <Words>21163</Words>
  <Characters>24713</Characters>
  <Lines>0</Lines>
  <Paragraphs>0</Paragraphs>
  <TotalTime>6</TotalTime>
  <ScaleCrop>false</ScaleCrop>
  <LinksUpToDate>false</LinksUpToDate>
  <CharactersWithSpaces>24894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2022-09-23T06:34:00Z</dcterms:created>
  <dc:creator>Administrator</dc:creator>
  <cp:lastModifiedBy>益心</cp:lastModifiedBy>
  <dcterms:modified xsi:type="dcterms:W3CDTF">2023-02-01T01:01:00Z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6918D0DBA43D4039B5249EB4797B53BC</vt:lpwstr>
  </property>
</Properties>
</file>